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Candidate Form</w:t>
      </w:r>
    </w:p>
    <w:p>
      <w:pPr>
        <w:spacing w:before="0" w:after="60" w:line="240" w:lineRule="auto"/>
        <w:jc w:val="center"/>
        <w:pBdr>
          <w:bottom w:val="single" w:sz="12" w:space="1" w:color="159C9C"/>
        </w:pBdr>
      </w:pPr>
      <w:r>
        <w:rPr>
          <w:rFonts w:ascii="Arial" w:hAnsi="Arial" w:eastAsia="Arial"/>
          <w:b/>
          <w:i w:val="0"/>
          <w:color w:val="17365D"/>
          <w:sz w:val="44"/>
        </w:rPr>
        <w:t>Workbook 2: 17-Question Practice Bank</w:t>
      </w:r>
    </w:p>
    <w:p>
      <w:pPr>
        <w:spacing w:before="100" w:after="120" w:line="254" w:lineRule="auto"/>
        <w:jc w:val="center"/>
      </w:pPr>
      <w:r>
        <w:rPr>
          <w:rFonts w:ascii="Arial" w:hAnsi="Arial" w:eastAsia="Arial"/>
          <w:b/>
          <w:i w:val="0"/>
          <w:color w:val="17365D"/>
          <w:sz w:val="26"/>
        </w:rPr>
        <w:t>Professional Identity, California Scope, Competence, and Counselor Self-Awareness</w:t>
      </w:r>
    </w:p>
    <w:p>
      <w:pPr>
        <w:spacing w:before="0" w:after="260" w:line="254" w:lineRule="auto"/>
        <w:jc w:val="center"/>
      </w:pPr>
      <w:r>
        <w:rPr>
          <w:rFonts w:ascii="Arial" w:hAnsi="Arial" w:eastAsia="Arial"/>
          <w:b w:val="0"/>
          <w:i/>
          <w:color w:val="4E5B6B"/>
          <w:sz w:val="23"/>
        </w:rPr>
        <w:t>Questions only - complete before opening the rationale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Candidate Instructions</w:t>
      </w:r>
    </w:p>
    <w:p>
      <w:pPr>
        <w:pStyle w:val="ListBullet"/>
        <w:spacing w:after="50" w:line="250" w:lineRule="auto"/>
        <w:keepLines/>
      </w:pPr>
      <w:r>
        <w:rPr>
          <w:rFonts w:ascii="Arial" w:hAnsi="Arial" w:eastAsia="Arial"/>
          <w:color w:val="1F2937"/>
          <w:sz w:val="20"/>
        </w:rPr>
        <w:t>Complete all 17 questions without opening the rationale document. The CTA practice target is 35 minutes; this is a study target, not an official testing limit.</w:t>
      </w:r>
    </w:p>
    <w:p>
      <w:pPr>
        <w:pStyle w:val="ListBullet"/>
        <w:spacing w:after="50" w:line="250" w:lineRule="auto"/>
        <w:keepLines/>
      </w:pPr>
      <w:r>
        <w:rPr>
          <w:rFonts w:ascii="Arial" w:hAnsi="Arial" w:eastAsia="Arial"/>
          <w:color w:val="1F2937"/>
          <w:sz w:val="20"/>
        </w:rPr>
        <w:t>Record one answer, confidence from 1 (guessing) to 3 (high confidence), and any item you want to flag.</w:t>
      </w:r>
    </w:p>
    <w:p>
      <w:pPr>
        <w:pStyle w:val="ListBullet"/>
        <w:spacing w:after="50" w:line="250" w:lineRule="auto"/>
        <w:keepLines/>
      </w:pPr>
      <w:r>
        <w:rPr>
          <w:rFonts w:ascii="Arial" w:hAnsi="Arial" w:eastAsia="Arial"/>
          <w:color w:val="1F2937"/>
          <w:sz w:val="20"/>
        </w:rPr>
        <w:t>For every item, identify the professional role, scope, status, competence, fit, supervision need, and timing before selecting an action.</w:t>
      </w:r>
    </w:p>
    <w:p>
      <w:pPr>
        <w:pStyle w:val="ListBullet"/>
        <w:spacing w:after="50" w:line="250" w:lineRule="auto"/>
        <w:keepLines/>
      </w:pPr>
      <w:r>
        <w:rPr>
          <w:rFonts w:ascii="Arial" w:hAnsi="Arial" w:eastAsia="Arial"/>
          <w:color w:val="1F2937"/>
          <w:sz w:val="20"/>
        </w:rPr>
        <w:t>During the mini case, use only the information available in the current case section. Do not read ahead.</w:t>
      </w:r>
    </w:p>
    <w:p>
      <w:pPr>
        <w:pStyle w:val="ListBullet"/>
        <w:spacing w:after="50" w:line="250" w:lineRule="auto"/>
        <w:keepLines/>
      </w:pPr>
      <w:r>
        <w:rPr>
          <w:rFonts w:ascii="Arial" w:hAnsi="Arial" w:eastAsia="Arial"/>
          <w:color w:val="1F2937"/>
          <w:sz w:val="20"/>
        </w:rPr>
        <w:t>Low-confidence correct answers belong in remediation because the reasoning is not yet stable.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BANK DESIGN</w:t>
            </w:r>
          </w:p>
          <w:p>
            <w:pPr>
              <w:spacing w:after="20" w:line="250" w:lineRule="auto"/>
            </w:pPr>
            <w:r>
              <w:rPr>
                <w:rFonts w:ascii="Arial" w:hAnsi="Arial" w:eastAsia="Arial"/>
                <w:color w:val="1F2937"/>
                <w:sz w:val="20"/>
              </w:rPr>
              <w:t>17 original questions: 5 Easy, 7 Moderate, and 5 Difficult. Questions 1-5 are targeted questions. Questions 6-17 form one complete three-part NCMHCE-style mini case with 12 questions.</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WORKBOOK 2 DECISION LENS</w:t>
            </w:r>
          </w:p>
          <w:p>
            <w:pPr>
              <w:spacing w:after="20" w:line="250" w:lineRule="auto"/>
            </w:pPr>
            <w:r>
              <w:rPr>
                <w:rFonts w:ascii="Arial" w:hAnsi="Arial" w:eastAsia="Arial"/>
                <w:color w:val="1F2937"/>
                <w:sz w:val="20"/>
              </w:rPr>
              <w:t>Before acting, ask: What is my role? Is the activity within scope? Does current status permit it? Am I competent? Is the relationship fit sound? What supervision, consultation, referral, or self-regulation step protects the client next?</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EDUCATIONAL AND NON-AFFILIATION NOTICE</w:t>
            </w:r>
          </w:p>
          <w:p>
            <w:pPr>
              <w:spacing w:after="20" w:line="250" w:lineRule="auto"/>
            </w:pPr>
            <w:r>
              <w:rPr>
                <w:rFonts w:ascii="Arial" w:hAnsi="Arial" w:eastAsia="Arial"/>
                <w:color w:val="1F2937"/>
                <w:sz w:val="19"/>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spacing w:after="0"/>
      </w:pPr>
    </w:p>
    <w:p>
      <w:pPr>
        <w:pStyle w:val="Heading2"/>
        <w:spacing w:before="140" w:after="80"/>
        <w:keepNext/>
      </w:pPr>
      <w:r>
        <w:rPr>
          <w:rFonts w:ascii="Arial" w:hAnsi="Arial" w:eastAsia="Arial"/>
          <w:b/>
          <w:color w:val="159C9C"/>
          <w:sz w:val="26"/>
        </w:rPr>
        <w:t>Candidate Answer Sheet</w:t>
      </w:r>
    </w:p>
    <w:p>
      <w:pPr>
        <w:spacing w:before="20" w:after="40" w:line="254" w:lineRule="auto"/>
      </w:pPr>
      <w:r>
        <w:rPr>
          <w:rFonts w:ascii="Arial" w:hAnsi="Arial" w:eastAsia="Arial"/>
          <w:b/>
          <w:i w:val="0"/>
          <w:color w:val="17365D"/>
          <w:sz w:val="19"/>
        </w:rPr>
        <w:t>Start time: __________    End time: __________    Total time: __________</w:t>
      </w:r>
    </w:p>
    <w:p>
      <w:pPr>
        <w:spacing w:before="0" w:after="80" w:line="254" w:lineRule="auto"/>
      </w:pPr>
      <w:r>
        <w:rPr>
          <w:rFonts w:ascii="Arial" w:hAnsi="Arial" w:eastAsia="Arial"/>
          <w:b w:val="0"/>
          <w:i/>
          <w:color w:val="4E5B6B"/>
          <w:sz w:val="19"/>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bl>
    <w:p>
      <w:pPr>
        <w:spacing w:after="0"/>
      </w:pPr>
    </w:p>
    <w:p>
      <w:r>
        <w:br w:type="page"/>
      </w:r>
    </w:p>
    <w:p>
      <w:pPr>
        <w:pStyle w:val="Heading2"/>
        <w:spacing w:before="140" w:after="80"/>
        <w:keepNext/>
      </w:pPr>
      <w:r>
        <w:rPr>
          <w:rFonts w:ascii="Arial" w:hAnsi="Arial" w:eastAsia="Arial"/>
          <w:b/>
          <w:color w:val="159C9C"/>
          <w:sz w:val="26"/>
        </w:rPr>
        <w:t>Section I - Targeted Professional Practice Questions</w:t>
      </w:r>
    </w:p>
    <w:p>
      <w:pPr>
        <w:spacing w:before="0" w:after="100" w:line="254" w:lineRule="auto"/>
      </w:pPr>
      <w:r>
        <w:rPr>
          <w:rFonts w:ascii="Arial" w:hAnsi="Arial" w:eastAsia="Arial"/>
          <w:b w:val="0"/>
          <w:i w:val="0"/>
          <w:color w:val="1F2937"/>
          <w:sz w:val="20"/>
        </w:rPr>
        <w:t>Complete Questions 1-5 by separating professional scope, individual competence, current APCC/LPCC status, counselor-client suitability, and the need for supervision or referral.</w:t>
      </w:r>
    </w:p>
    <w:p>
      <w:pPr>
        <w:spacing w:before="100" w:after="40"/>
        <w:keepNext/>
      </w:pPr>
      <w:r>
        <w:rPr>
          <w:rFonts w:ascii="Arial" w:hAnsi="Arial" w:eastAsia="Arial"/>
          <w:b/>
          <w:color w:val="1F7A8C"/>
          <w:sz w:val="17"/>
        </w:rPr>
        <w:t>LPCC-WB02-PB-Q001 | Knowledge &amp; Recall | Easy | Primary concept: California professional clinical counseling scope</w:t>
      </w:r>
    </w:p>
    <w:p>
      <w:pPr>
        <w:spacing w:after="60" w:line="250" w:lineRule="auto"/>
        <w:keepNext/>
      </w:pPr>
      <w:r>
        <w:rPr>
          <w:rFonts w:ascii="Arial" w:hAnsi="Arial" w:eastAsia="Arial"/>
          <w:b/>
          <w:color w:val="1F2937"/>
          <w:sz w:val="20"/>
        </w:rPr>
        <w:t>Which service most clearly falls within California professional clinical counseling when performed within competence and a professional counseling relationship?</w:t>
      </w:r>
    </w:p>
    <w:p>
      <w:pPr>
        <w:spacing w:after="40" w:line="247" w:lineRule="auto"/>
        <w:ind w:left="230" w:hanging="230"/>
        <w:keepNext/>
      </w:pPr>
      <w:r>
        <w:rPr>
          <w:rFonts w:ascii="Arial" w:hAnsi="Arial" w:eastAsia="Arial"/>
          <w:sz w:val="20"/>
        </w:rPr>
        <w:t>A. Using counseling interventions to address anxiety, adjustment to disability, and psychosocial stress.</w:t>
      </w:r>
    </w:p>
    <w:p>
      <w:pPr>
        <w:spacing w:after="40" w:line="247" w:lineRule="auto"/>
        <w:ind w:left="230" w:hanging="230"/>
        <w:keepNext/>
      </w:pPr>
      <w:r>
        <w:rPr>
          <w:rFonts w:ascii="Arial" w:hAnsi="Arial" w:eastAsia="Arial"/>
          <w:sz w:val="20"/>
        </w:rPr>
        <w:t>B. Providing clinical social work services while advertising under an LPCC title.</w:t>
      </w:r>
    </w:p>
    <w:p>
      <w:pPr>
        <w:spacing w:after="40" w:line="247" w:lineRule="auto"/>
        <w:ind w:left="230" w:hanging="230"/>
        <w:keepNext/>
      </w:pPr>
      <w:r>
        <w:rPr>
          <w:rFonts w:ascii="Arial" w:hAnsi="Arial" w:eastAsia="Arial"/>
          <w:sz w:val="20"/>
        </w:rPr>
        <w:t>C. Administering an individually administered intelligence test to establish intellectual disability.</w:t>
      </w:r>
    </w:p>
    <w:p>
      <w:pPr>
        <w:spacing w:after="40" w:line="247" w:lineRule="auto"/>
        <w:ind w:left="230" w:hanging="230"/>
        <w:keepNext/>
      </w:pPr>
      <w:r>
        <w:rPr>
          <w:rFonts w:ascii="Arial" w:hAnsi="Arial" w:eastAsia="Arial"/>
          <w:sz w:val="20"/>
        </w:rPr>
        <w:t>D. Providing nonmental-health job placement services as licensed clinical counseling.</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LPCC-WB02-PB-Q002 | Application | Easy | Primary concept: Scope versus competence</w:t>
      </w:r>
    </w:p>
    <w:p>
      <w:pPr>
        <w:spacing w:after="60" w:line="250" w:lineRule="auto"/>
        <w:keepNext/>
      </w:pPr>
      <w:r>
        <w:rPr>
          <w:rFonts w:ascii="Arial" w:hAnsi="Arial" w:eastAsia="Arial"/>
          <w:b/>
          <w:color w:val="1F2937"/>
          <w:sz w:val="20"/>
        </w:rPr>
        <w:t>Which statement BEST distinguishes scope of practice from scope of competence?</w:t>
      </w:r>
    </w:p>
    <w:p>
      <w:pPr>
        <w:spacing w:after="40" w:line="247" w:lineRule="auto"/>
        <w:ind w:left="230" w:hanging="230"/>
        <w:keepNext/>
      </w:pPr>
      <w:r>
        <w:rPr>
          <w:rFonts w:ascii="Arial" w:hAnsi="Arial" w:eastAsia="Arial"/>
          <w:sz w:val="20"/>
        </w:rPr>
        <w:t>A. Scope of practice and competence are identical once a license is issued.</w:t>
      </w:r>
    </w:p>
    <w:p>
      <w:pPr>
        <w:spacing w:after="40" w:line="247" w:lineRule="auto"/>
        <w:ind w:left="230" w:hanging="230"/>
        <w:keepNext/>
      </w:pPr>
      <w:r>
        <w:rPr>
          <w:rFonts w:ascii="Arial" w:hAnsi="Arial" w:eastAsia="Arial"/>
          <w:sz w:val="20"/>
        </w:rPr>
        <w:t>B. Competence is determined only by the employer’s job description.</w:t>
      </w:r>
    </w:p>
    <w:p>
      <w:pPr>
        <w:spacing w:after="40" w:line="247" w:lineRule="auto"/>
        <w:ind w:left="230" w:hanging="230"/>
        <w:keepNext/>
      </w:pPr>
      <w:r>
        <w:rPr>
          <w:rFonts w:ascii="Arial" w:hAnsi="Arial" w:eastAsia="Arial"/>
          <w:sz w:val="20"/>
        </w:rPr>
        <w:t>C. Scope of practice describes what the profession may do; competence asks whether this counselor can perform the exact service safely based on current education, training, and experience.</w:t>
      </w:r>
    </w:p>
    <w:p>
      <w:pPr>
        <w:spacing w:after="40" w:line="247" w:lineRule="auto"/>
        <w:ind w:left="230" w:hanging="230"/>
        <w:keepNext/>
      </w:pPr>
      <w:r>
        <w:rPr>
          <w:rFonts w:ascii="Arial" w:hAnsi="Arial" w:eastAsia="Arial"/>
          <w:sz w:val="20"/>
        </w:rPr>
        <w:t>D. A service is competent whenever a supervisor is willing to sign the documentation.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LPCC-WB02-PB-Q003 | Application | Moderate | Primary concept: California assessment exclusions</w:t>
      </w:r>
    </w:p>
    <w:p>
      <w:pPr>
        <w:spacing w:after="60" w:line="250" w:lineRule="auto"/>
        <w:keepNext/>
      </w:pPr>
      <w:r>
        <w:rPr>
          <w:rFonts w:ascii="Arial" w:hAnsi="Arial" w:eastAsia="Arial"/>
          <w:b/>
          <w:color w:val="1F2937"/>
          <w:sz w:val="20"/>
        </w:rPr>
        <w:t>An LPCC is asked to use a three-test battery to determine whether a client has dementia. What is the BEST response?</w:t>
      </w:r>
    </w:p>
    <w:p>
      <w:pPr>
        <w:spacing w:after="40" w:line="247" w:lineRule="auto"/>
        <w:ind w:left="230" w:hanging="230"/>
        <w:keepNext/>
      </w:pPr>
      <w:r>
        <w:rPr>
          <w:rFonts w:ascii="Arial" w:hAnsi="Arial" w:eastAsia="Arial"/>
          <w:sz w:val="20"/>
        </w:rPr>
        <w:t>A. Use the battery if the client signs informed consent and the counselor follows the manuals.</w:t>
      </w:r>
    </w:p>
    <w:p>
      <w:pPr>
        <w:spacing w:after="40" w:line="247" w:lineRule="auto"/>
        <w:ind w:left="230" w:hanging="230"/>
        <w:keepNext/>
      </w:pPr>
      <w:r>
        <w:rPr>
          <w:rFonts w:ascii="Arial" w:hAnsi="Arial" w:eastAsia="Arial"/>
          <w:sz w:val="20"/>
        </w:rPr>
        <w:t>B. Decline the excluded testing, continue appropriate counseling assessment within scope and competence, and coordinate referral to a qualified professional.</w:t>
      </w:r>
    </w:p>
    <w:p>
      <w:pPr>
        <w:spacing w:after="40" w:line="247" w:lineRule="auto"/>
        <w:ind w:left="230" w:hanging="230"/>
        <w:keepNext/>
      </w:pPr>
      <w:r>
        <w:rPr>
          <w:rFonts w:ascii="Arial" w:hAnsi="Arial" w:eastAsia="Arial"/>
          <w:sz w:val="20"/>
        </w:rPr>
        <w:t>C. Avoid all formal or informal assessment because LPCCs may not use assessment tools.</w:t>
      </w:r>
    </w:p>
    <w:p>
      <w:pPr>
        <w:spacing w:after="40" w:line="247" w:lineRule="auto"/>
        <w:ind w:left="230" w:hanging="230"/>
        <w:keepNext/>
      </w:pPr>
      <w:r>
        <w:rPr>
          <w:rFonts w:ascii="Arial" w:hAnsi="Arial" w:eastAsia="Arial"/>
          <w:sz w:val="20"/>
        </w:rPr>
        <w:t>D. Administer only two of the three tests so the activity is automatically within scope.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LPCC-WB02-PB-Q004 | Scenario-Based | Moderate | Primary concept: APCC status and supervision</w:t>
      </w:r>
    </w:p>
    <w:p>
      <w:pPr>
        <w:spacing w:after="60" w:line="250" w:lineRule="auto"/>
        <w:keepNext/>
      </w:pPr>
      <w:r>
        <w:rPr>
          <w:rFonts w:ascii="Arial" w:hAnsi="Arial" w:eastAsia="Arial"/>
          <w:b/>
          <w:color w:val="1F2937"/>
          <w:sz w:val="20"/>
        </w:rPr>
        <w:t>An APCC has completed supervised hours and passed the NCMHCE, but the Board has not issued the LPCC license. A group practice offers the APCC an independent-contractor role with a licensed clinician available for occasional consultation. What should the APCC do?</w:t>
      </w:r>
    </w:p>
    <w:p>
      <w:pPr>
        <w:spacing w:after="40" w:line="247" w:lineRule="auto"/>
        <w:ind w:left="230" w:hanging="230"/>
        <w:keepNext/>
      </w:pPr>
      <w:r>
        <w:rPr>
          <w:rFonts w:ascii="Arial" w:hAnsi="Arial" w:eastAsia="Arial"/>
          <w:sz w:val="20"/>
        </w:rPr>
        <w:t>A. Accept because passing the clinical exam creates independent-practice authority.</w:t>
      </w:r>
    </w:p>
    <w:p>
      <w:pPr>
        <w:spacing w:after="40" w:line="247" w:lineRule="auto"/>
        <w:ind w:left="230" w:hanging="230"/>
        <w:keepNext/>
      </w:pPr>
      <w:r>
        <w:rPr>
          <w:rFonts w:ascii="Arial" w:hAnsi="Arial" w:eastAsia="Arial"/>
          <w:sz w:val="20"/>
        </w:rPr>
        <w:t>B. Accept if the APCC tells clients that licensure is pending.</w:t>
      </w:r>
    </w:p>
    <w:p>
      <w:pPr>
        <w:spacing w:after="40" w:line="247" w:lineRule="auto"/>
        <w:ind w:left="230" w:hanging="230"/>
        <w:keepNext/>
      </w:pPr>
      <w:r>
        <w:rPr>
          <w:rFonts w:ascii="Arial" w:hAnsi="Arial" w:eastAsia="Arial"/>
          <w:sz w:val="20"/>
        </w:rPr>
        <w:t>C. Accept because consultation by a licensee is equivalent to supervision.</w:t>
      </w:r>
    </w:p>
    <w:p>
      <w:pPr>
        <w:spacing w:after="40" w:line="247" w:lineRule="auto"/>
        <w:ind w:left="230" w:hanging="230"/>
        <w:keepNext/>
      </w:pPr>
      <w:r>
        <w:rPr>
          <w:rFonts w:ascii="Arial" w:hAnsi="Arial" w:eastAsia="Arial"/>
          <w:sz w:val="20"/>
        </w:rPr>
        <w:t>D. Decline the independent arrangement and continue only in a legally permitted supervised role until the LPCC license is issued.</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LPCC-WB02-PB-Q005 | Integrated Clinical Reasoning | Difficult | Primary concept: Counselor-client suitability and conflict</w:t>
      </w:r>
    </w:p>
    <w:p>
      <w:pPr>
        <w:spacing w:after="60" w:line="250" w:lineRule="auto"/>
        <w:keepNext/>
      </w:pPr>
      <w:r>
        <w:rPr>
          <w:rFonts w:ascii="Arial" w:hAnsi="Arial" w:eastAsia="Arial"/>
          <w:b/>
          <w:color w:val="1F2937"/>
          <w:sz w:val="20"/>
        </w:rPr>
        <w:t>A counselor is clinically trained to treat a prospective client’s trauma symptoms. The counselor is also involved in an unresolved lawsuit against the client’s employer, and the employer will be the central subject of treatment. What is the BEST initial response?</w:t>
      </w:r>
    </w:p>
    <w:p>
      <w:pPr>
        <w:spacing w:after="40" w:line="247" w:lineRule="auto"/>
        <w:ind w:left="230" w:hanging="230"/>
        <w:keepNext/>
      </w:pPr>
      <w:r>
        <w:rPr>
          <w:rFonts w:ascii="Arial" w:hAnsi="Arial" w:eastAsia="Arial"/>
          <w:sz w:val="20"/>
        </w:rPr>
        <w:t>A. Accept the client because clinical competence is the only relevant consideration.</w:t>
      </w:r>
    </w:p>
    <w:p>
      <w:pPr>
        <w:spacing w:after="40" w:line="247" w:lineRule="auto"/>
        <w:ind w:left="230" w:hanging="230"/>
        <w:keepNext/>
      </w:pPr>
      <w:r>
        <w:rPr>
          <w:rFonts w:ascii="Arial" w:hAnsi="Arial" w:eastAsia="Arial"/>
          <w:sz w:val="20"/>
        </w:rPr>
        <w:t>B. Evaluate whether the conflict could impair objectivity or create role complications, seek consultation as needed, and consider an alternative referral before accepting the case.</w:t>
      </w:r>
    </w:p>
    <w:p>
      <w:pPr>
        <w:spacing w:after="40" w:line="247" w:lineRule="auto"/>
        <w:ind w:left="230" w:hanging="230"/>
        <w:keepNext/>
      </w:pPr>
      <w:r>
        <w:rPr>
          <w:rFonts w:ascii="Arial" w:hAnsi="Arial" w:eastAsia="Arial"/>
          <w:sz w:val="20"/>
        </w:rPr>
        <w:t>C. Accept the case but instruct the client not to discuss the employer.</w:t>
      </w:r>
    </w:p>
    <w:p>
      <w:pPr>
        <w:spacing w:after="40" w:line="247" w:lineRule="auto"/>
        <w:ind w:left="230" w:hanging="230"/>
        <w:keepNext/>
      </w:pPr>
      <w:r>
        <w:rPr>
          <w:rFonts w:ascii="Arial" w:hAnsi="Arial" w:eastAsia="Arial"/>
          <w:sz w:val="20"/>
        </w:rPr>
        <w:t>D. Accept the case and disclose the lawsuit only if the client later asks about it.</w:t>
      </w:r>
    </w:p>
    <w:p>
      <w:pPr>
        <w:spacing w:after="6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1</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Leila Hassan and Mateo Alvarez - Initial Session</w:t>
            </w:r>
          </w:p>
        </w:tc>
      </w:tr>
    </w:tbl>
    <w:p>
      <w:pPr>
        <w:spacing w:before="120" w:after="140" w:line="254" w:lineRule="auto"/>
      </w:pPr>
      <w:r>
        <w:rPr>
          <w:rFonts w:ascii="Arial" w:hAnsi="Arial" w:eastAsia="Arial"/>
          <w:b w:val="0"/>
          <w:i/>
          <w:color w:val="4E5B6B"/>
          <w:sz w:val="21"/>
        </w:rPr>
        <w:t>Answer Questions 6-9 using only the information in this section.</w:t>
      </w:r>
    </w:p>
    <w:tbl>
      <w:tblPr>
        <w:tblW w:type="auto" w:w="0"/>
        <w:jc w:val="center"/>
        <w:tblLook w:firstColumn="1" w:firstRow="1" w:lastColumn="0" w:lastRow="0" w:noHBand="0" w:noVBand="1" w:val="04A0"/>
      </w:tblPr>
      <w:tblGrid>
        <w:gridCol w:w="10310"/>
      </w:tblGrid>
      <w:tr>
        <w:trPr>
          <w:cantSplit/>
          <w:tblHeader w:val="true"/>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1</w:t>
            </w:r>
          </w:p>
          <w:p>
            <w:pPr>
              <w:spacing w:after="20" w:line="250" w:lineRule="auto"/>
            </w:pPr>
            <w:r>
              <w:rPr>
                <w:rFonts w:ascii="Arial" w:hAnsi="Arial" w:eastAsia="Arial"/>
                <w:color w:val="1F2937"/>
                <w:sz w:val="20"/>
              </w:rPr>
              <w:t>Leila Hassan is an Associate Professional Clinical Counselor (APCC) at an outpatient community clinic. Her formal supervisor is Dr. Nguyen, an LPCC, who will be available after lunch. Leila meets with Mateo Alvarez, age 42, who reports anxiety, poor sleep, headaches, concentration problems, and memory lapses since a workplace accident six months ago. Mateo is oriented, communicates coherently, denies current suicidal or homicidal thoughts, and wants help managing fear about returning to work. An insurer asks the clinic to have Leila administer an individually administered intelligence test and a neuropsychological battery to determine whether Mateo has cognitive impairment. Leila has never administered either type of test. Mateo worries that a referral will mean Leila does not believe him because he has felt dismissed by prior health care providers.</w:t>
            </w:r>
          </w:p>
        </w:tc>
      </w:tr>
    </w:tbl>
    <w:p>
      <w:pPr>
        <w:spacing w:after="0"/>
      </w:pPr>
    </w:p>
    <w:p>
      <w:pPr>
        <w:spacing w:before="100" w:after="40"/>
        <w:keepNext/>
      </w:pPr>
      <w:r>
        <w:rPr>
          <w:rFonts w:ascii="Arial" w:hAnsi="Arial" w:eastAsia="Arial"/>
          <w:b/>
          <w:color w:val="1F7A8C"/>
          <w:sz w:val="17"/>
        </w:rPr>
        <w:t>LPCC-WB02-PB-Q006 | Application | Easy | Primary concept: Immediate counseling role within scope</w:t>
      </w:r>
    </w:p>
    <w:p>
      <w:pPr>
        <w:spacing w:after="60" w:line="250" w:lineRule="auto"/>
        <w:keepNext/>
      </w:pPr>
      <w:r>
        <w:rPr>
          <w:rFonts w:ascii="Arial" w:hAnsi="Arial" w:eastAsia="Arial"/>
          <w:b/>
          <w:color w:val="1F2937"/>
          <w:sz w:val="20"/>
        </w:rPr>
        <w:t>What is Leila’s BEST initial response to the insurer’s testing request and Mateo’s request for help today?</w:t>
      </w:r>
    </w:p>
    <w:p>
      <w:pPr>
        <w:spacing w:after="40" w:line="247" w:lineRule="auto"/>
        <w:ind w:left="230" w:hanging="230"/>
        <w:keepNext/>
      </w:pPr>
      <w:r>
        <w:rPr>
          <w:rFonts w:ascii="Arial" w:hAnsi="Arial" w:eastAsia="Arial"/>
          <w:sz w:val="20"/>
        </w:rPr>
        <w:t>A. Administer the requested tests because the insurer needs objective information.</w:t>
      </w:r>
    </w:p>
    <w:p>
      <w:pPr>
        <w:spacing w:after="40" w:line="247" w:lineRule="auto"/>
        <w:ind w:left="230" w:hanging="230"/>
        <w:keepNext/>
      </w:pPr>
      <w:r>
        <w:rPr>
          <w:rFonts w:ascii="Arial" w:hAnsi="Arial" w:eastAsia="Arial"/>
          <w:sz w:val="20"/>
        </w:rPr>
        <w:t>B. Decline all services until Mateo completes neuropsychological testing.</w:t>
      </w:r>
    </w:p>
    <w:p>
      <w:pPr>
        <w:spacing w:after="40" w:line="247" w:lineRule="auto"/>
        <w:ind w:left="230" w:hanging="230"/>
        <w:keepNext/>
      </w:pPr>
      <w:r>
        <w:rPr>
          <w:rFonts w:ascii="Arial" w:hAnsi="Arial" w:eastAsia="Arial"/>
          <w:sz w:val="20"/>
        </w:rPr>
        <w:t>C. Provide an appropriate counseling and safety assessment, explain the limits of her role, seek supervision, and coordinate medical or specialist referral while continuing support within competence.</w:t>
      </w:r>
    </w:p>
    <w:p>
      <w:pPr>
        <w:spacing w:after="40" w:line="247" w:lineRule="auto"/>
        <w:ind w:left="230" w:hanging="230"/>
        <w:keepNext/>
      </w:pPr>
      <w:r>
        <w:rPr>
          <w:rFonts w:ascii="Arial" w:hAnsi="Arial" w:eastAsia="Arial"/>
          <w:sz w:val="20"/>
        </w:rPr>
        <w:t>D. Ask Mateo to choose whether the tests are appropriate because informed consent transfers the decision to the client.</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LPCC-WB02-PB-Q007 | Scenario-Based | Moderate | Primary concept: Counseling assessment versus excluded testing</w:t>
      </w:r>
    </w:p>
    <w:p>
      <w:pPr>
        <w:spacing w:after="60" w:line="250" w:lineRule="auto"/>
        <w:keepNext/>
      </w:pPr>
      <w:r>
        <w:rPr>
          <w:rFonts w:ascii="Arial" w:hAnsi="Arial" w:eastAsia="Arial"/>
          <w:b/>
          <w:color w:val="1F2937"/>
          <w:sz w:val="20"/>
        </w:rPr>
        <w:t>Which assessment plan is MOST appropriate for Leila at this stage?</w:t>
      </w:r>
    </w:p>
    <w:p>
      <w:pPr>
        <w:spacing w:after="40" w:line="247" w:lineRule="auto"/>
        <w:ind w:left="230" w:hanging="230"/>
        <w:keepNext/>
      </w:pPr>
      <w:r>
        <w:rPr>
          <w:rFonts w:ascii="Arial" w:hAnsi="Arial" w:eastAsia="Arial"/>
          <w:sz w:val="20"/>
        </w:rPr>
        <w:t>A. Use counseling interviews and appropriate symptom or functioning measures within competence, while referring the intelligence and neuropsychological testing to qualified professionals.</w:t>
      </w:r>
    </w:p>
    <w:p>
      <w:pPr>
        <w:spacing w:after="40" w:line="247" w:lineRule="auto"/>
        <w:ind w:left="230" w:hanging="230"/>
        <w:keepNext/>
      </w:pPr>
      <w:r>
        <w:rPr>
          <w:rFonts w:ascii="Arial" w:hAnsi="Arial" w:eastAsia="Arial"/>
          <w:sz w:val="20"/>
        </w:rPr>
        <w:t>B. Administer the neuropsychological battery but ask Dr. Nguyen to sign the report.</w:t>
      </w:r>
    </w:p>
    <w:p>
      <w:pPr>
        <w:spacing w:after="40" w:line="247" w:lineRule="auto"/>
        <w:ind w:left="230" w:hanging="230"/>
        <w:keepNext/>
      </w:pPr>
      <w:r>
        <w:rPr>
          <w:rFonts w:ascii="Arial" w:hAnsi="Arial" w:eastAsia="Arial"/>
          <w:sz w:val="20"/>
        </w:rPr>
        <w:t>C. Use an intelligence test only, because one excluded method is safer than two.</w:t>
      </w:r>
    </w:p>
    <w:p>
      <w:pPr>
        <w:spacing w:after="40" w:line="247" w:lineRule="auto"/>
        <w:ind w:left="230" w:hanging="230"/>
        <w:keepNext/>
      </w:pPr>
      <w:r>
        <w:rPr>
          <w:rFonts w:ascii="Arial" w:hAnsi="Arial" w:eastAsia="Arial"/>
          <w:sz w:val="20"/>
        </w:rPr>
        <w:t>D. Avoid asking about memory or functioning because those topics belong only to medical professionals.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LPCC-WB02-PB-Q008 | Integrated Clinical Reasoning | Difficult | Primary concept: Formal supervision and focused consultation</w:t>
      </w:r>
    </w:p>
    <w:p>
      <w:pPr>
        <w:spacing w:after="60" w:line="250" w:lineRule="auto"/>
        <w:keepNext/>
      </w:pPr>
      <w:r>
        <w:rPr>
          <w:rFonts w:ascii="Arial" w:hAnsi="Arial" w:eastAsia="Arial"/>
          <w:b/>
          <w:color w:val="1F2937"/>
          <w:sz w:val="20"/>
        </w:rPr>
        <w:t>The clinic manager says an outside psychologist can be consulted next week and tells Leila to decide independently today. What should Leila do NEXT?</w:t>
      </w:r>
    </w:p>
    <w:p>
      <w:pPr>
        <w:spacing w:after="40" w:line="247" w:lineRule="auto"/>
        <w:ind w:left="230" w:hanging="230"/>
        <w:keepNext/>
      </w:pPr>
      <w:r>
        <w:rPr>
          <w:rFonts w:ascii="Arial" w:hAnsi="Arial" w:eastAsia="Arial"/>
          <w:sz w:val="20"/>
        </w:rPr>
        <w:t>A. Wait for the psychologist and skip supervision because specialist consultation is more authoritative.</w:t>
      </w:r>
    </w:p>
    <w:p>
      <w:pPr>
        <w:spacing w:after="40" w:line="247" w:lineRule="auto"/>
        <w:ind w:left="230" w:hanging="230"/>
        <w:keepNext/>
      </w:pPr>
      <w:r>
        <w:rPr>
          <w:rFonts w:ascii="Arial" w:hAnsi="Arial" w:eastAsia="Arial"/>
          <w:sz w:val="20"/>
        </w:rPr>
        <w:t>B. Follow the manager’s instruction because administrative authority replaces clinical supervision.</w:t>
      </w:r>
    </w:p>
    <w:p>
      <w:pPr>
        <w:spacing w:after="40" w:line="247" w:lineRule="auto"/>
        <w:ind w:left="230" w:hanging="230"/>
        <w:keepNext/>
      </w:pPr>
      <w:r>
        <w:rPr>
          <w:rFonts w:ascii="Arial" w:hAnsi="Arial" w:eastAsia="Arial"/>
          <w:sz w:val="20"/>
        </w:rPr>
        <w:t>C. Ask Mateo to sign a waiver allowing Leila to make the independent decision.</w:t>
      </w:r>
    </w:p>
    <w:p>
      <w:pPr>
        <w:spacing w:after="40" w:line="247" w:lineRule="auto"/>
        <w:ind w:left="230" w:hanging="230"/>
        <w:keepNext/>
      </w:pPr>
      <w:r>
        <w:rPr>
          <w:rFonts w:ascii="Arial" w:hAnsi="Arial" w:eastAsia="Arial"/>
          <w:sz w:val="20"/>
        </w:rPr>
        <w:t>D. Bring the scope, competence, continuity, and referral questions to Dr. Nguyen before taking action beyond Leila’s current role; use specialist consultation as an additional resource, not a substitute for supervision.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LPCC-WB02-PB-Q009 | Scenario-Based | Moderate | Primary concept: Referral alliance and client voice</w:t>
      </w:r>
    </w:p>
    <w:p>
      <w:pPr>
        <w:spacing w:after="60" w:line="250" w:lineRule="auto"/>
        <w:keepNext/>
      </w:pPr>
      <w:r>
        <w:rPr>
          <w:rFonts w:ascii="Arial" w:hAnsi="Arial" w:eastAsia="Arial"/>
          <w:b/>
          <w:color w:val="1F2937"/>
          <w:sz w:val="20"/>
        </w:rPr>
        <w:t>Mateo says, “Sending me somewhere else means you think I am making this up.” What is Leila’s BEST response?</w:t>
      </w:r>
    </w:p>
    <w:p>
      <w:pPr>
        <w:spacing w:after="40" w:line="247" w:lineRule="auto"/>
        <w:ind w:left="230" w:hanging="230"/>
        <w:keepNext/>
      </w:pPr>
      <w:r>
        <w:rPr>
          <w:rFonts w:ascii="Arial" w:hAnsi="Arial" w:eastAsia="Arial"/>
          <w:sz w:val="20"/>
        </w:rPr>
        <w:t>A. Tell Mateo that policy requires referral and that feelings about it are not clinically relevant.</w:t>
      </w:r>
    </w:p>
    <w:p>
      <w:pPr>
        <w:spacing w:after="40" w:line="247" w:lineRule="auto"/>
        <w:ind w:left="230" w:hanging="230"/>
        <w:keepNext/>
      </w:pPr>
      <w:r>
        <w:rPr>
          <w:rFonts w:ascii="Arial" w:hAnsi="Arial" w:eastAsia="Arial"/>
          <w:sz w:val="20"/>
        </w:rPr>
        <w:t>B. Acknowledge the prior experiences of dismissal, invite Mateo to explain his concerns, clarify that the referral addresses specialized evaluation rather than disbelief, and collaborate on coordination while continuing counseling support.</w:t>
      </w:r>
    </w:p>
    <w:p>
      <w:pPr>
        <w:spacing w:after="40" w:line="247" w:lineRule="auto"/>
        <w:ind w:left="230" w:hanging="230"/>
        <w:keepNext/>
      </w:pPr>
      <w:r>
        <w:rPr>
          <w:rFonts w:ascii="Arial" w:hAnsi="Arial" w:eastAsia="Arial"/>
          <w:sz w:val="20"/>
        </w:rPr>
        <w:t>C. Promise that the specialist will confirm Mateo’s concerns.</w:t>
      </w:r>
    </w:p>
    <w:p>
      <w:pPr>
        <w:spacing w:after="40" w:line="247" w:lineRule="auto"/>
        <w:ind w:left="230" w:hanging="230"/>
        <w:keepNext/>
      </w:pPr>
      <w:r>
        <w:rPr>
          <w:rFonts w:ascii="Arial" w:hAnsi="Arial" w:eastAsia="Arial"/>
          <w:sz w:val="20"/>
        </w:rPr>
        <w:t>D. Avoid discussing referral again so the alliance is not damaged.</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2, answer every Part 1 item and review flagged responses. Once you continue, do not revise Questions 6-9 or use later facts as earlier evidence.</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2</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Four Weeks Later</w:t>
            </w:r>
          </w:p>
        </w:tc>
      </w:tr>
    </w:tbl>
    <w:p>
      <w:pPr>
        <w:spacing w:before="120" w:after="140" w:line="254" w:lineRule="auto"/>
      </w:pPr>
      <w:r>
        <w:rPr>
          <w:rFonts w:ascii="Arial" w:hAnsi="Arial" w:eastAsia="Arial"/>
          <w:b w:val="0"/>
          <w:i/>
          <w:color w:val="4E5B6B"/>
          <w:sz w:val="21"/>
        </w:rPr>
        <w:t>Answer Questions 10-13 using the original information plus the new facts below.</w:t>
      </w:r>
    </w:p>
    <w:tbl>
      <w:tblPr>
        <w:tblW w:type="auto" w:w="0"/>
        <w:jc w:val="center"/>
        <w:tblLook w:firstColumn="1" w:firstRow="1" w:lastColumn="0" w:lastRow="0" w:noHBand="0" w:noVBand="1" w:val="04A0"/>
      </w:tblPr>
      <w:tblGrid>
        <w:gridCol w:w="10310"/>
      </w:tblGrid>
      <w:tr>
        <w:trPr>
          <w:cantSplit/>
          <w:tblHeader w:val="true"/>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2</w:t>
            </w:r>
          </w:p>
          <w:p>
            <w:pPr>
              <w:spacing w:after="20" w:line="250" w:lineRule="auto"/>
            </w:pPr>
            <w:r>
              <w:rPr>
                <w:rFonts w:ascii="Arial" w:hAnsi="Arial" w:eastAsia="Arial"/>
                <w:color w:val="1F2937"/>
                <w:sz w:val="20"/>
              </w:rPr>
              <w:t>Four weeks later, Mateo has authorized coordination with his primary care clinician and a neuropsychology referral is pending. No urgent neurological condition has been identified. Leila and Mateo are working on anxiety, sleep, coping, and gradual return-to-work goals. Mateo begins sending late-night portal messages and writes that Leila is “the only professional who believes me.” Leila’s older brother had a workplace injury and felt dismissed by providers, so Leila feels unusually protective. She has replied outside clinic policy several times and is considering telling Mateo her brother’s story. Separately, the clinic director asks counselors to begin using a new symptom-tracking app after seeing one small published study and a vendor webinar.</w:t>
            </w:r>
          </w:p>
        </w:tc>
      </w:tr>
    </w:tbl>
    <w:p>
      <w:pPr>
        <w:spacing w:after="0"/>
      </w:pPr>
    </w:p>
    <w:p>
      <w:pPr>
        <w:spacing w:before="100" w:after="40"/>
        <w:keepNext/>
      </w:pPr>
      <w:r>
        <w:rPr>
          <w:rFonts w:ascii="Arial" w:hAnsi="Arial" w:eastAsia="Arial"/>
          <w:b/>
          <w:color w:val="1F7A8C"/>
          <w:sz w:val="17"/>
        </w:rPr>
        <w:t>LPCC-WB02-PB-Q010 | Scenario-Based | Moderate | Primary concept: Countertransference and boundary pattern</w:t>
      </w:r>
    </w:p>
    <w:p>
      <w:pPr>
        <w:spacing w:after="60" w:line="250" w:lineRule="auto"/>
        <w:keepNext/>
      </w:pPr>
      <w:r>
        <w:rPr>
          <w:rFonts w:ascii="Arial" w:hAnsi="Arial" w:eastAsia="Arial"/>
          <w:b/>
          <w:color w:val="1F2937"/>
          <w:sz w:val="20"/>
        </w:rPr>
        <w:t>What should Leila do FIRST about the late-night messages and her protective reaction?</w:t>
      </w:r>
    </w:p>
    <w:p>
      <w:pPr>
        <w:spacing w:after="40" w:line="247" w:lineRule="auto"/>
        <w:ind w:left="230" w:hanging="230"/>
        <w:keepNext/>
      </w:pPr>
      <w:r>
        <w:rPr>
          <w:rFonts w:ascii="Arial" w:hAnsi="Arial" w:eastAsia="Arial"/>
          <w:sz w:val="20"/>
        </w:rPr>
        <w:t>A. Continue the exceptions because responsiveness proves that she believes Mateo.</w:t>
      </w:r>
    </w:p>
    <w:p>
      <w:pPr>
        <w:spacing w:after="40" w:line="247" w:lineRule="auto"/>
        <w:ind w:left="230" w:hanging="230"/>
        <w:keepNext/>
      </w:pPr>
      <w:r>
        <w:rPr>
          <w:rFonts w:ascii="Arial" w:hAnsi="Arial" w:eastAsia="Arial"/>
          <w:sz w:val="20"/>
        </w:rPr>
        <w:t>B. Terminate immediately so the boundary problem cannot worsen.</w:t>
      </w:r>
    </w:p>
    <w:p>
      <w:pPr>
        <w:spacing w:after="40" w:line="247" w:lineRule="auto"/>
        <w:ind w:left="230" w:hanging="230"/>
        <w:keepNext/>
      </w:pPr>
      <w:r>
        <w:rPr>
          <w:rFonts w:ascii="Arial" w:hAnsi="Arial" w:eastAsia="Arial"/>
          <w:sz w:val="20"/>
        </w:rPr>
        <w:t>C. Pause before making another exception, review the pattern and clinic policy, seek supervision, restore a clear communication frame, and explore Mateo’s underlying needs in session.</w:t>
      </w:r>
    </w:p>
    <w:p>
      <w:pPr>
        <w:spacing w:after="40" w:line="247" w:lineRule="auto"/>
        <w:ind w:left="230" w:hanging="230"/>
        <w:keepNext/>
      </w:pPr>
      <w:r>
        <w:rPr>
          <w:rFonts w:ascii="Arial" w:hAnsi="Arial" w:eastAsia="Arial"/>
          <w:sz w:val="20"/>
        </w:rPr>
        <w:t>D. Tell Mateo that he is causing Leila to feel overprotective and ask him to reduce the messages.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LPCC-WB02-PB-Q011 | Integrated Clinical Reasoning | Difficult | Primary concept: Purposeful self-disclosure</w:t>
      </w:r>
    </w:p>
    <w:p>
      <w:pPr>
        <w:spacing w:after="60" w:line="250" w:lineRule="auto"/>
        <w:keepNext/>
      </w:pPr>
      <w:r>
        <w:rPr>
          <w:rFonts w:ascii="Arial" w:hAnsi="Arial" w:eastAsia="Arial"/>
          <w:b/>
          <w:color w:val="1F2937"/>
          <w:sz w:val="20"/>
        </w:rPr>
        <w:t>How should Leila decide whether to disclose her brother’s workplace-injury experience?</w:t>
      </w:r>
    </w:p>
    <w:p>
      <w:pPr>
        <w:spacing w:after="40" w:line="247" w:lineRule="auto"/>
        <w:ind w:left="230" w:hanging="230"/>
        <w:keepNext/>
      </w:pPr>
      <w:r>
        <w:rPr>
          <w:rFonts w:ascii="Arial" w:hAnsi="Arial" w:eastAsia="Arial"/>
          <w:sz w:val="20"/>
        </w:rPr>
        <w:t>A. Evaluate the clinical purpose, likely impact, alternatives, cultural and power factors, timing, policy, and her own activation in supervision; disclose only if the decision is clearly client-centered and clinically justified.</w:t>
      </w:r>
    </w:p>
    <w:p>
      <w:pPr>
        <w:spacing w:after="40" w:line="247" w:lineRule="auto"/>
        <w:ind w:left="230" w:hanging="230"/>
        <w:keepNext/>
      </w:pPr>
      <w:r>
        <w:rPr>
          <w:rFonts w:ascii="Arial" w:hAnsi="Arial" w:eastAsia="Arial"/>
          <w:sz w:val="20"/>
        </w:rPr>
        <w:t>B. Disclose because shared experience will automatically strengthen trust.</w:t>
      </w:r>
    </w:p>
    <w:p>
      <w:pPr>
        <w:spacing w:after="40" w:line="247" w:lineRule="auto"/>
        <w:ind w:left="230" w:hanging="230"/>
        <w:keepNext/>
      </w:pPr>
      <w:r>
        <w:rPr>
          <w:rFonts w:ascii="Arial" w:hAnsi="Arial" w:eastAsia="Arial"/>
          <w:sz w:val="20"/>
        </w:rPr>
        <w:t>C. Never disclose personal information because all counselor self-disclosure is unethical.</w:t>
      </w:r>
    </w:p>
    <w:p>
      <w:pPr>
        <w:spacing w:after="40" w:line="247" w:lineRule="auto"/>
        <w:ind w:left="230" w:hanging="230"/>
        <w:keepNext/>
      </w:pPr>
      <w:r>
        <w:rPr>
          <w:rFonts w:ascii="Arial" w:hAnsi="Arial" w:eastAsia="Arial"/>
          <w:sz w:val="20"/>
        </w:rPr>
        <w:t>D. Ask Mateo whether he wants to hear the story and disclose if he says yes.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LPCC-WB02-PB-Q012 | Knowledge &amp; Recall | Easy | Primary concept: Supervision versus consultation</w:t>
      </w:r>
    </w:p>
    <w:p>
      <w:pPr>
        <w:spacing w:after="60" w:line="250" w:lineRule="auto"/>
        <w:keepNext/>
      </w:pPr>
      <w:r>
        <w:rPr>
          <w:rFonts w:ascii="Arial" w:hAnsi="Arial" w:eastAsia="Arial"/>
          <w:b/>
          <w:color w:val="1F2937"/>
          <w:sz w:val="20"/>
        </w:rPr>
        <w:t>Which statement BEST describes the difference between supervision and consultation in Leila’s case?</w:t>
      </w:r>
    </w:p>
    <w:p>
      <w:pPr>
        <w:spacing w:after="40" w:line="247" w:lineRule="auto"/>
        <w:ind w:left="230" w:hanging="230"/>
        <w:keepNext/>
      </w:pPr>
      <w:r>
        <w:rPr>
          <w:rFonts w:ascii="Arial" w:hAnsi="Arial" w:eastAsia="Arial"/>
          <w:sz w:val="20"/>
        </w:rPr>
        <w:t>A. Consultation transfers responsibility for Mateo’s case to the consultant.</w:t>
      </w:r>
    </w:p>
    <w:p>
      <w:pPr>
        <w:spacing w:after="40" w:line="247" w:lineRule="auto"/>
        <w:ind w:left="230" w:hanging="230"/>
        <w:keepNext/>
      </w:pPr>
      <w:r>
        <w:rPr>
          <w:rFonts w:ascii="Arial" w:hAnsi="Arial" w:eastAsia="Arial"/>
          <w:sz w:val="20"/>
        </w:rPr>
        <w:t>B. Supervision is optional once an APCC has enough experience.</w:t>
      </w:r>
    </w:p>
    <w:p>
      <w:pPr>
        <w:spacing w:after="40" w:line="247" w:lineRule="auto"/>
        <w:ind w:left="230" w:hanging="230"/>
        <w:keepNext/>
      </w:pPr>
      <w:r>
        <w:rPr>
          <w:rFonts w:ascii="Arial" w:hAnsi="Arial" w:eastAsia="Arial"/>
          <w:sz w:val="20"/>
        </w:rPr>
        <w:t>C. A consultant may authorize Leila to perform services outside LPCC scope.</w:t>
      </w:r>
    </w:p>
    <w:p>
      <w:pPr>
        <w:spacing w:after="40" w:line="247" w:lineRule="auto"/>
        <w:ind w:left="230" w:hanging="230"/>
        <w:keepNext/>
      </w:pPr>
      <w:r>
        <w:rPr>
          <w:rFonts w:ascii="Arial" w:hAnsi="Arial" w:eastAsia="Arial"/>
          <w:sz w:val="20"/>
        </w:rPr>
        <w:t>D. Dr. Nguyen provides formal oversight and accountability; a consultant may provide focused expertise but does not replace required supervision.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LPCC-WB02-PB-Q013 | Integrated Clinical Reasoning | Difficult | Primary concept: Research literacy and technology fit</w:t>
      </w:r>
    </w:p>
    <w:p>
      <w:pPr>
        <w:spacing w:after="60" w:line="250" w:lineRule="auto"/>
        <w:keepNext/>
      </w:pPr>
      <w:r>
        <w:rPr>
          <w:rFonts w:ascii="Arial" w:hAnsi="Arial" w:eastAsia="Arial"/>
          <w:b/>
          <w:color w:val="1F2937"/>
          <w:sz w:val="20"/>
        </w:rPr>
        <w:t>Before using the new symptom-tracking app with Mateo, what should Leila evaluate MOST carefully?</w:t>
      </w:r>
    </w:p>
    <w:p>
      <w:pPr>
        <w:spacing w:after="40" w:line="247" w:lineRule="auto"/>
        <w:ind w:left="230" w:hanging="230"/>
        <w:keepNext/>
      </w:pPr>
      <w:r>
        <w:rPr>
          <w:rFonts w:ascii="Arial" w:hAnsi="Arial" w:eastAsia="Arial"/>
          <w:sz w:val="20"/>
        </w:rPr>
        <w:t>A. Whether the vendor webinar was persuasive and the interface looks modern.</w:t>
      </w:r>
    </w:p>
    <w:p>
      <w:pPr>
        <w:spacing w:after="40" w:line="247" w:lineRule="auto"/>
        <w:ind w:left="230" w:hanging="230"/>
        <w:keepNext/>
      </w:pPr>
      <w:r>
        <w:rPr>
          <w:rFonts w:ascii="Arial" w:hAnsi="Arial" w:eastAsia="Arial"/>
          <w:sz w:val="20"/>
        </w:rPr>
        <w:t>B. The study design, population, effect size, limitations, potential harms, privacy and data practices, clinic approval, accessibility, and fit with Mateo’s goals and preferences.</w:t>
      </w:r>
    </w:p>
    <w:p>
      <w:pPr>
        <w:spacing w:after="40" w:line="247" w:lineRule="auto"/>
        <w:ind w:left="230" w:hanging="230"/>
        <w:keepNext/>
      </w:pPr>
      <w:r>
        <w:rPr>
          <w:rFonts w:ascii="Arial" w:hAnsi="Arial" w:eastAsia="Arial"/>
          <w:sz w:val="20"/>
        </w:rPr>
        <w:t>C. Whether the study reported statistical significance, because no other evidence is needed.</w:t>
      </w:r>
    </w:p>
    <w:p>
      <w:pPr>
        <w:spacing w:after="40" w:line="247" w:lineRule="auto"/>
        <w:ind w:left="230" w:hanging="230"/>
        <w:keepNext/>
      </w:pPr>
      <w:r>
        <w:rPr>
          <w:rFonts w:ascii="Arial" w:hAnsi="Arial" w:eastAsia="Arial"/>
          <w:sz w:val="20"/>
        </w:rPr>
        <w:t>D. Whether other counselors are already using the app, because popularity establishes effectiveness.</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3, answer every Part 2 item and review flagged responses. Once you continue, do not revise Questions 10-13.</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3</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Two Months Later</w:t>
            </w:r>
          </w:p>
        </w:tc>
      </w:tr>
    </w:tbl>
    <w:p>
      <w:pPr>
        <w:spacing w:before="120" w:after="140" w:line="254" w:lineRule="auto"/>
      </w:pPr>
      <w:r>
        <w:rPr>
          <w:rFonts w:ascii="Arial" w:hAnsi="Arial" w:eastAsia="Arial"/>
          <w:b w:val="0"/>
          <w:i/>
          <w:color w:val="4E5B6B"/>
          <w:sz w:val="21"/>
        </w:rPr>
        <w:t>Answer Questions 14-17 using all information presented through this final section.</w:t>
      </w:r>
    </w:p>
    <w:tbl>
      <w:tblPr>
        <w:tblW w:type="auto" w:w="0"/>
        <w:jc w:val="center"/>
        <w:tblLook w:firstColumn="1" w:firstRow="1" w:lastColumn="0" w:lastRow="0" w:noHBand="0" w:noVBand="1" w:val="04A0"/>
      </w:tblPr>
      <w:tblGrid>
        <w:gridCol w:w="10310"/>
      </w:tblGrid>
      <w:tr>
        <w:trPr>
          <w:cantSplit/>
          <w:tblHeader w:val="true"/>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3</w:t>
            </w:r>
          </w:p>
          <w:p>
            <w:pPr>
              <w:spacing w:after="20" w:line="250" w:lineRule="auto"/>
            </w:pPr>
            <w:r>
              <w:rPr>
                <w:rFonts w:ascii="Arial" w:hAnsi="Arial" w:eastAsia="Arial"/>
                <w:color w:val="1F2937"/>
                <w:sz w:val="20"/>
              </w:rPr>
              <w:t>Two months later, Mateo reports improved sleep and lower anxiety and asks to move to biweekly sessions. Leila, however, has become preoccupied with workplace-injury cases, sleeps poorly, and feels angry when colleagues recommend additional medical evaluation. She misses a supervision meeting, delays two clinical notes, and forgets an agreed safety follow-up with another client. Dr. Nguyen asks about Leila’s workload and ability to practice safely. Leila says her clients like her and plans to “push through” until vacation.</w:t>
            </w:r>
          </w:p>
        </w:tc>
      </w:tr>
    </w:tbl>
    <w:p>
      <w:pPr>
        <w:spacing w:after="0"/>
      </w:pPr>
    </w:p>
    <w:p>
      <w:pPr>
        <w:spacing w:before="100" w:after="40"/>
        <w:keepNext/>
      </w:pPr>
      <w:r>
        <w:rPr>
          <w:rFonts w:ascii="Arial" w:hAnsi="Arial" w:eastAsia="Arial"/>
          <w:b/>
          <w:color w:val="1F7A8C"/>
          <w:sz w:val="17"/>
        </w:rPr>
        <w:t>LPCC-WB02-PB-Q014 | Scenario-Based | Moderate | Primary concept: Professional wellbeing and impairment risk</w:t>
      </w:r>
    </w:p>
    <w:p>
      <w:pPr>
        <w:spacing w:after="60" w:line="250" w:lineRule="auto"/>
        <w:keepNext/>
      </w:pPr>
      <w:r>
        <w:rPr>
          <w:rFonts w:ascii="Arial" w:hAnsi="Arial" w:eastAsia="Arial"/>
          <w:b/>
          <w:color w:val="1F2937"/>
          <w:sz w:val="20"/>
        </w:rPr>
        <w:t>Which fact MOST clearly shows that Leila’s wellbeing concerns may already be affecting professional functioning?</w:t>
      </w:r>
    </w:p>
    <w:p>
      <w:pPr>
        <w:spacing w:after="40" w:line="247" w:lineRule="auto"/>
        <w:ind w:left="230" w:hanging="230"/>
        <w:keepNext/>
      </w:pPr>
      <w:r>
        <w:rPr>
          <w:rFonts w:ascii="Arial" w:hAnsi="Arial" w:eastAsia="Arial"/>
          <w:sz w:val="20"/>
        </w:rPr>
        <w:t>A. She feels empathy for clients with workplace injuries.</w:t>
      </w:r>
    </w:p>
    <w:p>
      <w:pPr>
        <w:spacing w:after="40" w:line="247" w:lineRule="auto"/>
        <w:ind w:left="230" w:hanging="230"/>
        <w:keepNext/>
      </w:pPr>
      <w:r>
        <w:rPr>
          <w:rFonts w:ascii="Arial" w:hAnsi="Arial" w:eastAsia="Arial"/>
          <w:sz w:val="20"/>
        </w:rPr>
        <w:t>B. She wants clients to feel believed.</w:t>
      </w:r>
    </w:p>
    <w:p>
      <w:pPr>
        <w:spacing w:after="40" w:line="247" w:lineRule="auto"/>
        <w:ind w:left="230" w:hanging="230"/>
        <w:keepNext/>
      </w:pPr>
      <w:r>
        <w:rPr>
          <w:rFonts w:ascii="Arial" w:hAnsi="Arial" w:eastAsia="Arial"/>
          <w:sz w:val="20"/>
        </w:rPr>
        <w:t>C. She missed supervision, delayed documentation, and forgot a safety follow-up.</w:t>
      </w:r>
    </w:p>
    <w:p>
      <w:pPr>
        <w:spacing w:after="40" w:line="247" w:lineRule="auto"/>
        <w:ind w:left="230" w:hanging="230"/>
        <w:keepNext/>
      </w:pPr>
      <w:r>
        <w:rPr>
          <w:rFonts w:ascii="Arial" w:hAnsi="Arial" w:eastAsia="Arial"/>
          <w:sz w:val="20"/>
        </w:rPr>
        <w:t>D. She prefers one treatment approach over another.</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LPCC-WB02-PB-Q015 | Integrated Clinical Reasoning | Difficult | Primary concept: Immediate protective response to impairment risk</w:t>
      </w:r>
    </w:p>
    <w:p>
      <w:pPr>
        <w:spacing w:after="60" w:line="250" w:lineRule="auto"/>
        <w:keepNext/>
      </w:pPr>
      <w:r>
        <w:rPr>
          <w:rFonts w:ascii="Arial" w:hAnsi="Arial" w:eastAsia="Arial"/>
          <w:b/>
          <w:color w:val="1F2937"/>
          <w:sz w:val="20"/>
        </w:rPr>
        <w:t>What is Leila’s BEST immediate response?</w:t>
      </w:r>
    </w:p>
    <w:p>
      <w:pPr>
        <w:spacing w:after="40" w:line="247" w:lineRule="auto"/>
        <w:ind w:left="230" w:hanging="230"/>
        <w:keepNext/>
      </w:pPr>
      <w:r>
        <w:rPr>
          <w:rFonts w:ascii="Arial" w:hAnsi="Arial" w:eastAsia="Arial"/>
          <w:sz w:val="20"/>
        </w:rPr>
        <w:t>A. Inform Dr. Nguyen fully, address the missed safety follow-up and delayed records, assess which clients need coverage or modified care, reduce or redistribute workload as needed, and obtain appropriate professional and personal support.</w:t>
      </w:r>
    </w:p>
    <w:p>
      <w:pPr>
        <w:spacing w:after="40" w:line="247" w:lineRule="auto"/>
        <w:ind w:left="230" w:hanging="230"/>
        <w:keepNext/>
      </w:pPr>
      <w:r>
        <w:rPr>
          <w:rFonts w:ascii="Arial" w:hAnsi="Arial" w:eastAsia="Arial"/>
          <w:sz w:val="20"/>
        </w:rPr>
        <w:t>B. Continue the current caseload because positive client feedback proves competence.</w:t>
      </w:r>
    </w:p>
    <w:p>
      <w:pPr>
        <w:spacing w:after="40" w:line="247" w:lineRule="auto"/>
        <w:ind w:left="230" w:hanging="230"/>
        <w:keepNext/>
      </w:pPr>
      <w:r>
        <w:rPr>
          <w:rFonts w:ascii="Arial" w:hAnsi="Arial" w:eastAsia="Arial"/>
          <w:sz w:val="20"/>
        </w:rPr>
        <w:t>C. Wait until vacation and use private self-care without changing practice.</w:t>
      </w:r>
    </w:p>
    <w:p>
      <w:pPr>
        <w:spacing w:after="40" w:line="247" w:lineRule="auto"/>
        <w:ind w:left="230" w:hanging="230"/>
        <w:keepNext/>
      </w:pPr>
      <w:r>
        <w:rPr>
          <w:rFonts w:ascii="Arial" w:hAnsi="Arial" w:eastAsia="Arial"/>
          <w:sz w:val="20"/>
        </w:rPr>
        <w:t>D. Tell all clients about her stress so they understand any delays.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LPCC-WB02-PB-Q016 | Application | Easy | Primary concept: Collaborative reduction in treatment frequency</w:t>
      </w:r>
    </w:p>
    <w:p>
      <w:pPr>
        <w:spacing w:after="60" w:line="250" w:lineRule="auto"/>
        <w:keepNext/>
      </w:pPr>
      <w:r>
        <w:rPr>
          <w:rFonts w:ascii="Arial" w:hAnsi="Arial" w:eastAsia="Arial"/>
          <w:b/>
          <w:color w:val="1F2937"/>
          <w:sz w:val="20"/>
        </w:rPr>
        <w:t>How should Leila and Dr. Nguyen approach Mateo’s request to move to biweekly sessions?</w:t>
      </w:r>
    </w:p>
    <w:p>
      <w:pPr>
        <w:spacing w:after="40" w:line="247" w:lineRule="auto"/>
        <w:ind w:left="230" w:hanging="230"/>
        <w:keepNext/>
      </w:pPr>
      <w:r>
        <w:rPr>
          <w:rFonts w:ascii="Arial" w:hAnsi="Arial" w:eastAsia="Arial"/>
          <w:sz w:val="20"/>
        </w:rPr>
        <w:t>A. Refuse because clients should remain weekly until every symptom has resolved.</w:t>
      </w:r>
    </w:p>
    <w:p>
      <w:pPr>
        <w:spacing w:after="40" w:line="247" w:lineRule="auto"/>
        <w:ind w:left="230" w:hanging="230"/>
        <w:keepNext/>
      </w:pPr>
      <w:r>
        <w:rPr>
          <w:rFonts w:ascii="Arial" w:hAnsi="Arial" w:eastAsia="Arial"/>
          <w:sz w:val="20"/>
        </w:rPr>
        <w:t>B. Agree automatically because the client requested it.</w:t>
      </w:r>
    </w:p>
    <w:p>
      <w:pPr>
        <w:spacing w:after="40" w:line="247" w:lineRule="auto"/>
        <w:ind w:left="230" w:hanging="230"/>
        <w:keepNext/>
      </w:pPr>
      <w:r>
        <w:rPr>
          <w:rFonts w:ascii="Arial" w:hAnsi="Arial" w:eastAsia="Arial"/>
          <w:sz w:val="20"/>
        </w:rPr>
        <w:t>C. Delay the decision until Leila feels less stressed, without discussing it with Mateo.</w:t>
      </w:r>
    </w:p>
    <w:p>
      <w:pPr>
        <w:spacing w:after="40" w:line="247" w:lineRule="auto"/>
        <w:ind w:left="230" w:hanging="230"/>
        <w:keepNext/>
      </w:pPr>
      <w:r>
        <w:rPr>
          <w:rFonts w:ascii="Arial" w:hAnsi="Arial" w:eastAsia="Arial"/>
          <w:sz w:val="20"/>
        </w:rPr>
        <w:t>D. Review Mateo’s progress, current risks, remaining goals, preferences, supports, and relapse plan, then collaborate on a clinically appropriate frequency and continuity plan.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LPCC-WB02-PB-Q017 | Scenario-Based | Moderate | Primary concept: Longer-term professional development</w:t>
      </w:r>
    </w:p>
    <w:p>
      <w:pPr>
        <w:spacing w:after="60" w:line="250" w:lineRule="auto"/>
        <w:keepNext/>
      </w:pPr>
      <w:r>
        <w:rPr>
          <w:rFonts w:ascii="Arial" w:hAnsi="Arial" w:eastAsia="Arial"/>
          <w:b/>
          <w:color w:val="1F2937"/>
          <w:sz w:val="20"/>
        </w:rPr>
        <w:t>After immediate client-protection steps are in place, which professional-development plan would BEST reduce recurrence?</w:t>
      </w:r>
    </w:p>
    <w:p>
      <w:pPr>
        <w:spacing w:after="40" w:line="247" w:lineRule="auto"/>
        <w:ind w:left="230" w:hanging="230"/>
        <w:keepNext/>
      </w:pPr>
      <w:r>
        <w:rPr>
          <w:rFonts w:ascii="Arial" w:hAnsi="Arial" w:eastAsia="Arial"/>
          <w:sz w:val="20"/>
        </w:rPr>
        <w:t>A. Avoid all workplace-injury clients permanently without reviewing competence or fit.</w:t>
      </w:r>
    </w:p>
    <w:p>
      <w:pPr>
        <w:spacing w:after="40" w:line="247" w:lineRule="auto"/>
        <w:ind w:left="230" w:hanging="230"/>
        <w:keepNext/>
      </w:pPr>
      <w:r>
        <w:rPr>
          <w:rFonts w:ascii="Arial" w:hAnsi="Arial" w:eastAsia="Arial"/>
          <w:sz w:val="20"/>
        </w:rPr>
        <w:t>B. Rely on positive feedback from clients to decide whether additional development is needed.</w:t>
      </w:r>
    </w:p>
    <w:p>
      <w:pPr>
        <w:spacing w:after="40" w:line="247" w:lineRule="auto"/>
        <w:ind w:left="230" w:hanging="230"/>
        <w:keepNext/>
      </w:pPr>
      <w:r>
        <w:rPr>
          <w:rFonts w:ascii="Arial" w:hAnsi="Arial" w:eastAsia="Arial"/>
          <w:sz w:val="20"/>
        </w:rPr>
        <w:t>C. Create a targeted plan that includes training and consultation on workplace-injury and medical-collaboration issues, regular supervision of countertransference and boundaries, workload monitoring, and clear early-warning actions.</w:t>
      </w:r>
    </w:p>
    <w:p>
      <w:pPr>
        <w:spacing w:after="40" w:line="247" w:lineRule="auto"/>
        <w:ind w:left="230" w:hanging="230"/>
        <w:keepNext/>
      </w:pPr>
      <w:r>
        <w:rPr>
          <w:rFonts w:ascii="Arial" w:hAnsi="Arial" w:eastAsia="Arial"/>
          <w:sz w:val="20"/>
        </w:rPr>
        <w:t>D. Complete one general wellness webinar and return to the same workload without monitoring.</w:t>
      </w:r>
    </w:p>
    <w:p>
      <w:pPr>
        <w:spacing w:after="60"/>
      </w:pPr>
      <w:r>
        <w:rPr>
          <w:rFonts w:ascii="Arial" w:hAnsi="Arial" w:eastAsia="Arial"/>
          <w:i/>
          <w:color w:val="4E5B6B"/>
          <w:sz w:val="18"/>
        </w:rPr>
        <w:t>My answer: ______    Confidence: 1  2  3</w:t>
      </w:r>
    </w:p>
    <w:p>
      <w:pPr>
        <w:pStyle w:val="Heading2"/>
        <w:spacing w:before="140" w:after="80"/>
        <w:keepNext/>
      </w:pPr>
      <w:r>
        <w:rPr>
          <w:rFonts w:ascii="Arial" w:hAnsi="Arial" w:eastAsia="Arial"/>
          <w:b/>
          <w:color w:val="159C9C"/>
          <w:sz w:val="26"/>
        </w:rPr>
        <w:t>Post-Bank Reflection - Complete Before Scoring</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Reflection Prompt</w:t>
            </w:r>
          </w:p>
        </w:tc>
        <w:tc>
          <w:tcPr>
            <w:tcW w:type="dxa" w:w="597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Candidate Notes</w:t>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you confuse professional scope with individual competence?</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item required supervision rather than consultation alone?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counselor emotion or identification create a boundary risk?</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referral option best protected continuity and client dignity?</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correct response had low confidence and still needs remediation?</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professional-practice rule will you transfer to a new case?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NEXT STEP</w:t>
            </w:r>
          </w:p>
          <w:p>
            <w:pPr>
              <w:spacing w:after="20" w:line="250" w:lineRule="auto"/>
            </w:pPr>
            <w:r>
              <w:rPr>
                <w:rFonts w:ascii="Arial" w:hAnsi="Arial" w:eastAsia="Arial"/>
                <w:color w:val="1F2937"/>
                <w:sz w:val="20"/>
              </w:rPr>
              <w:t>Open the separate Answer &amp; Rationales form. Review every option, code both incorrect and low-confidence correct responses, and write a transferable correction rule.</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WB2 Practice Bank Candidate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WB2 - 17-Question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2 17-Question Practice Bank - Candidate Form</dc:title>
  <dc:subject>Professional identity, California scope, competence, and counselor self-awareness</dc:subject>
  <dc:creator>Clinical Training and Supervision Academy</dc:creator>
  <cp:keywords>LPCC, APCC, NCMHCE, scope, competence, supervision, boundaries, counselor self-awareness,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