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2148840" cy="1553281"/>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2148840" cy="1553281"/>
                    </a:xfrm>
                    <a:prstGeom prst="rect"/>
                  </pic:spPr>
                </pic:pic>
              </a:graphicData>
            </a:graphic>
          </wp:inline>
        </w:drawing>
      </w:r>
    </w:p>
    <w:p>
      <w:pPr>
        <w:spacing w:before="40" w:after="100" w:line="254" w:lineRule="auto"/>
        <w:jc w:val="center"/>
      </w:pPr>
      <w:r>
        <w:rPr>
          <w:rFonts w:ascii="Arial" w:hAnsi="Arial" w:eastAsia="Arial"/>
          <w:b/>
          <w:i w:val="0"/>
          <w:color w:val="1F7A8C"/>
          <w:sz w:val="25"/>
        </w:rPr>
        <w:t>LPCC NCMHCE EXAM PREPARATION PROGRAM</w:t>
      </w:r>
    </w:p>
    <w:p>
      <w:pPr>
        <w:spacing w:before="0" w:after="160" w:line="254" w:lineRule="auto"/>
        <w:jc w:val="center"/>
      </w:pPr>
      <w:r>
        <w:rPr>
          <w:rFonts w:ascii="Arial" w:hAnsi="Arial" w:eastAsia="Arial"/>
          <w:b/>
          <w:i w:val="0"/>
          <w:color w:val="C6922F"/>
          <w:sz w:val="31"/>
        </w:rPr>
        <w:t>Candidate Question Form</w:t>
      </w:r>
    </w:p>
    <w:p>
      <w:pPr>
        <w:spacing w:before="0" w:after="60" w:line="240" w:lineRule="auto"/>
        <w:jc w:val="center"/>
        <w:pBdr>
          <w:bottom w:val="single" w:sz="12" w:space="1" w:color="159C9C"/>
        </w:pBdr>
      </w:pPr>
      <w:r>
        <w:rPr>
          <w:rFonts w:ascii="Arial" w:hAnsi="Arial" w:eastAsia="Arial"/>
          <w:b/>
          <w:i w:val="0"/>
          <w:color w:val="17365D"/>
          <w:sz w:val="44"/>
        </w:rPr>
        <w:t>Workbook 3: 17-Question Practice Bank</w:t>
      </w:r>
    </w:p>
    <w:p>
      <w:pPr>
        <w:spacing w:before="100" w:after="120" w:line="254" w:lineRule="auto"/>
        <w:jc w:val="center"/>
      </w:pPr>
      <w:r>
        <w:rPr>
          <w:rFonts w:ascii="Arial" w:hAnsi="Arial" w:eastAsia="Arial"/>
          <w:b/>
          <w:i w:val="0"/>
          <w:color w:val="17365D"/>
          <w:sz w:val="25"/>
        </w:rPr>
        <w:t>Intake, Informed Consent, Clinical Interviewing, MSE, and Biopsychosocial-Cultural Assessment</w:t>
      </w:r>
    </w:p>
    <w:p>
      <w:pPr>
        <w:spacing w:before="0" w:after="260" w:line="254" w:lineRule="auto"/>
        <w:jc w:val="center"/>
      </w:pPr>
      <w:r>
        <w:rPr>
          <w:rFonts w:ascii="Arial" w:hAnsi="Arial" w:eastAsia="Arial"/>
          <w:b w:val="0"/>
          <w:i/>
          <w:color w:val="4E5B6B"/>
          <w:sz w:val="23"/>
        </w:rPr>
        <w:t>Complete all questions before opening the separate Answer &amp; Rationales form</w:t>
      </w:r>
    </w:p>
    <w:p>
      <w:pPr>
        <w:spacing w:before="0" w:after="240" w:line="254" w:lineRule="auto"/>
        <w:jc w:val="center"/>
      </w:pPr>
      <w:r>
        <w:rPr>
          <w:rFonts w:ascii="Arial" w:hAnsi="Arial" w:eastAsia="Arial"/>
          <w:b w:val="0"/>
          <w:i w:val="0"/>
          <w:color w:val="4E5B6B"/>
          <w:sz w:val="20"/>
        </w:rPr>
        <w:t>Version 1.0 - July 2026</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ORIGINAL CTA PRACTICE MATERIAL</w:t>
            </w:r>
          </w:p>
          <w:p>
            <w:pPr>
              <w:spacing w:after="20" w:line="250" w:lineRule="auto"/>
            </w:pPr>
            <w:r>
              <w:rPr>
                <w:rFonts w:ascii="Arial" w:hAnsi="Arial" w:eastAsia="Arial"/>
                <w:color w:val="1F2937"/>
                <w:sz w:val="20"/>
              </w:rPr>
              <w:t>Every question and case detail in this bank is an original CTA educational item. No item is an actual, recalled, reconstructed, or purported licensing-examination question.</w:t>
            </w:r>
          </w:p>
        </w:tc>
      </w:tr>
    </w:tbl>
    <w:p>
      <w:pPr>
        <w:spacing w:after="0"/>
      </w:pPr>
    </w:p>
    <w:p>
      <w:pPr>
        <w:spacing w:before="80" w:after="0" w:line="254" w:lineRule="auto"/>
        <w:jc w:val="center"/>
      </w:pPr>
      <w:r>
        <w:rPr>
          <w:rFonts w:ascii="Arial" w:hAnsi="Arial" w:eastAsia="Arial"/>
          <w:b/>
          <w:i w:val="0"/>
          <w:color w:val="17365D"/>
          <w:sz w:val="22"/>
        </w:rPr>
        <w:t>Clinical Training Academy</w:t>
      </w:r>
    </w:p>
    <w:p>
      <w:r>
        <w:br w:type="page"/>
      </w:r>
    </w:p>
    <w:p>
      <w:pPr>
        <w:pStyle w:val="Heading1"/>
      </w:pPr>
      <w:r>
        <w:rPr>
          <w:rFonts w:ascii="Arial" w:hAnsi="Arial" w:eastAsia="Arial"/>
          <w:b/>
          <w:color w:val="17365D"/>
          <w:sz w:val="34"/>
        </w:rPr>
        <w:t>Candidate Instructions</w:t>
      </w:r>
    </w:p>
    <w:p>
      <w:pPr>
        <w:pStyle w:val="ListBullet"/>
        <w:spacing w:after="50" w:line="250" w:lineRule="auto"/>
        <w:keepLines/>
      </w:pPr>
      <w:r>
        <w:rPr>
          <w:rFonts w:ascii="Arial" w:hAnsi="Arial" w:eastAsia="Arial"/>
          <w:color w:val="1F2937"/>
          <w:sz w:val="20"/>
        </w:rPr>
        <w:t>Complete the five targeted questions first, followed by the three-part case in order.</w:t>
      </w:r>
    </w:p>
    <w:p>
      <w:pPr>
        <w:pStyle w:val="ListBullet"/>
        <w:spacing w:after="50" w:line="250" w:lineRule="auto"/>
        <w:keepLines/>
      </w:pPr>
      <w:r>
        <w:rPr>
          <w:rFonts w:ascii="Arial" w:hAnsi="Arial" w:eastAsia="Arial"/>
          <w:color w:val="1F2937"/>
          <w:sz w:val="20"/>
        </w:rPr>
        <w:t>For each item, select one best answer and record confidence: 1 = guessing, 2 = somewhat confident, 3 = confident.</w:t>
      </w:r>
    </w:p>
    <w:p>
      <w:pPr>
        <w:pStyle w:val="ListBullet"/>
        <w:spacing w:after="50" w:line="250" w:lineRule="auto"/>
        <w:keepLines/>
      </w:pPr>
      <w:r>
        <w:rPr>
          <w:rFonts w:ascii="Arial" w:hAnsi="Arial" w:eastAsia="Arial"/>
          <w:color w:val="1F2937"/>
          <w:sz w:val="20"/>
        </w:rPr>
        <w:t>Use only the information available through the current case section. Do not use later facts to revise earlier responses.</w:t>
      </w:r>
    </w:p>
    <w:p>
      <w:pPr>
        <w:pStyle w:val="ListBullet"/>
        <w:spacing w:after="50" w:line="250" w:lineRule="auto"/>
        <w:keepLines/>
      </w:pPr>
      <w:r>
        <w:rPr>
          <w:rFonts w:ascii="Arial" w:hAnsi="Arial" w:eastAsia="Arial"/>
          <w:color w:val="1F2937"/>
          <w:sz w:val="20"/>
        </w:rPr>
        <w:t>Separate client report, direct observation, measure results, collateral data, medical information, and counselor inference.</w:t>
      </w:r>
    </w:p>
    <w:p>
      <w:pPr>
        <w:pStyle w:val="ListBullet"/>
        <w:spacing w:after="50" w:line="250" w:lineRule="auto"/>
        <w:keepLines/>
      </w:pPr>
      <w:r>
        <w:rPr>
          <w:rFonts w:ascii="Arial" w:hAnsi="Arial" w:eastAsia="Arial"/>
          <w:color w:val="1F2937"/>
          <w:sz w:val="20"/>
        </w:rPr>
        <w:t>Choose the action that gathers enough relevant information for the next decision without delaying an urgent response.</w:t>
      </w:r>
    </w:p>
    <w:p>
      <w:pPr>
        <w:pStyle w:val="ListBullet"/>
        <w:spacing w:after="50" w:line="250" w:lineRule="auto"/>
        <w:keepLines/>
      </w:pPr>
      <w:r>
        <w:rPr>
          <w:rFonts w:ascii="Arial" w:hAnsi="Arial" w:eastAsia="Arial"/>
          <w:color w:val="1F2937"/>
          <w:sz w:val="20"/>
        </w:rPr>
        <w:t>Do not open the Answer &amp; Rationales form until every answer and the post-bank reflection are complete.</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BANK DESIGN</w:t>
            </w:r>
          </w:p>
          <w:p>
            <w:pPr>
              <w:spacing w:after="20" w:line="250" w:lineRule="auto"/>
            </w:pPr>
            <w:r>
              <w:rPr>
                <w:rFonts w:ascii="Arial" w:hAnsi="Arial" w:eastAsia="Arial"/>
                <w:color w:val="1F2937"/>
                <w:sz w:val="20"/>
              </w:rPr>
              <w:t>17 original questions: 5 Easy, 7 Moderate, and 5 Difficult. The bank contains five targeted questions and one complete three-part case with 12 questions.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CORE WORKBOOK 3 RULE</w:t>
            </w:r>
          </w:p>
          <w:p>
            <w:pPr>
              <w:spacing w:after="20" w:line="250" w:lineRule="auto"/>
            </w:pPr>
            <w:r>
              <w:rPr>
                <w:rFonts w:ascii="Arial" w:hAnsi="Arial" w:eastAsia="Arial"/>
                <w:color w:val="1F2937"/>
                <w:sz w:val="20"/>
              </w:rPr>
              <w:t>Orient first, assess purposefully, separate evidence sources, recognize medical and telehealth limits, and move only as far as the available data support.</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EDUCATIONAL AND NON-AFFILIATION NOTICE</w:t>
            </w:r>
          </w:p>
          <w:p>
            <w:pPr>
              <w:spacing w:after="20" w:line="250" w:lineRule="auto"/>
            </w:pPr>
            <w:r>
              <w:rPr>
                <w:rFonts w:ascii="Arial" w:hAnsi="Arial" w:eastAsia="Arial"/>
                <w:color w:val="1F2937"/>
                <w:sz w:val="19"/>
              </w:rPr>
              <w:t>This independent exam-preparation bank is not affiliated with or endorsed by the California Board of Behavioral Sciences, NBCC, Pearson VUE, or another testing organization. It does not guarantee passage and does not provide continuing-education credit.</w:t>
            </w:r>
          </w:p>
        </w:tc>
      </w:tr>
    </w:tbl>
    <w:p>
      <w:pPr>
        <w:spacing w:after="0"/>
      </w:pPr>
    </w:p>
    <w:p>
      <w:pPr>
        <w:pStyle w:val="Heading2"/>
        <w:spacing w:before="140" w:after="80"/>
        <w:keepNext/>
      </w:pPr>
      <w:r>
        <w:rPr>
          <w:rFonts w:ascii="Arial" w:hAnsi="Arial" w:eastAsia="Arial"/>
          <w:b/>
          <w:color w:val="159C9C"/>
          <w:sz w:val="26"/>
        </w:rPr>
        <w:t>Candidate Answer Sheet</w:t>
      </w:r>
    </w:p>
    <w:p>
      <w:pPr>
        <w:spacing w:before="20" w:after="40" w:line="254" w:lineRule="auto"/>
      </w:pPr>
      <w:r>
        <w:rPr>
          <w:rFonts w:ascii="Arial" w:hAnsi="Arial" w:eastAsia="Arial"/>
          <w:b/>
          <w:i w:val="0"/>
          <w:color w:val="17365D"/>
          <w:sz w:val="19"/>
        </w:rPr>
        <w:t>Start time: __________    End time: __________    Total time: __________</w:t>
      </w:r>
    </w:p>
    <w:p>
      <w:pPr>
        <w:spacing w:before="0" w:after="80" w:line="254" w:lineRule="auto"/>
      </w:pPr>
      <w:r>
        <w:rPr>
          <w:rFonts w:ascii="Arial" w:hAnsi="Arial" w:eastAsia="Arial"/>
          <w:b w:val="0"/>
          <w:i/>
          <w:color w:val="4E5B6B"/>
          <w:sz w:val="19"/>
        </w:rPr>
        <w:t>Do not open the Answer &amp; Rationales form until all 17 responses are complete.</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cantSplit/>
        </w:trPr>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Ans</w:t>
            </w:r>
          </w:p>
        </w:tc>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Conf</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Flag</w:t>
            </w:r>
          </w:p>
        </w:tc>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Ans</w:t>
            </w:r>
          </w:p>
        </w:tc>
        <w:tc>
          <w:tcPr>
            <w:tcW w:type="dxa" w:w="10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Conf</w:t>
            </w:r>
          </w:p>
        </w:tc>
        <w:tc>
          <w:tcPr>
            <w:tcW w:type="dxa" w:w="79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Flag</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10</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2</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11</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3</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12</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4</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13</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5</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14</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6</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15</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7</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16</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8</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17</w:t>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9</w:t>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10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c>
          <w:tcPr>
            <w:tcW w:type="dxa" w:w="79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r>
          </w:p>
        </w:tc>
      </w:tr>
    </w:tbl>
    <w:p>
      <w:pPr>
        <w:spacing w:after="0"/>
      </w:pPr>
    </w:p>
    <w:p>
      <w:r>
        <w:br w:type="page"/>
      </w:r>
    </w:p>
    <w:p>
      <w:pPr>
        <w:pStyle w:val="Heading2"/>
        <w:spacing w:before="140" w:after="80"/>
        <w:keepNext/>
      </w:pPr>
      <w:r>
        <w:rPr>
          <w:rFonts w:ascii="Arial" w:hAnsi="Arial" w:eastAsia="Arial"/>
          <w:b/>
          <w:color w:val="159C9C"/>
          <w:sz w:val="26"/>
        </w:rPr>
        <w:t>Section I - Targeted Intake and Assessment Questions</w:t>
      </w:r>
    </w:p>
    <w:p>
      <w:pPr>
        <w:spacing w:before="0" w:after="100" w:line="254" w:lineRule="auto"/>
      </w:pPr>
      <w:r>
        <w:rPr>
          <w:rFonts w:ascii="Arial" w:hAnsi="Arial" w:eastAsia="Arial"/>
          <w:b w:val="0"/>
          <w:i w:val="0"/>
          <w:color w:val="1F2937"/>
          <w:sz w:val="20"/>
        </w:rPr>
        <w:t>Complete Questions 1-5 by distinguishing informed consent from signatures, observation from inference, cultural meaning from assumption, measure fit from convenience, and collateral data from automatic truth.</w:t>
      </w:r>
    </w:p>
    <w:p>
      <w:pPr>
        <w:spacing w:before="100" w:after="40"/>
        <w:keepNext/>
      </w:pPr>
      <w:r>
        <w:rPr>
          <w:rFonts w:ascii="Arial" w:hAnsi="Arial" w:eastAsia="Arial"/>
          <w:b/>
          <w:color w:val="1F7A8C"/>
          <w:sz w:val="17"/>
        </w:rPr>
        <w:t>LPCC-WB03-PB-Q001 | Application | Easy | Primary concept: Informed consent and third-party referral</w:t>
      </w:r>
    </w:p>
    <w:p>
      <w:pPr>
        <w:spacing w:after="60" w:line="250" w:lineRule="auto"/>
        <w:keepNext/>
      </w:pPr>
      <w:r>
        <w:rPr>
          <w:rFonts w:ascii="Arial" w:hAnsi="Arial" w:eastAsia="Arial"/>
          <w:b/>
          <w:color w:val="1F2937"/>
          <w:sz w:val="20"/>
        </w:rPr>
        <w:t>A client referred through an employee assistance program has signed all intake forms but asks, “Will my supervisor receive everything I say?” What should the counselor do FIRST?</w:t>
      </w:r>
    </w:p>
    <w:p>
      <w:pPr>
        <w:spacing w:after="40" w:line="247" w:lineRule="auto"/>
        <w:ind w:left="230" w:hanging="230"/>
        <w:keepNext/>
      </w:pPr>
      <w:r>
        <w:rPr>
          <w:rFonts w:ascii="Arial" w:hAnsi="Arial" w:eastAsia="Arial"/>
          <w:sz w:val="20"/>
        </w:rPr>
        <w:t>A. Begin the clinical interview because the signed forms establish informed consent.</w:t>
      </w:r>
    </w:p>
    <w:p>
      <w:pPr>
        <w:spacing w:after="40" w:line="247" w:lineRule="auto"/>
        <w:ind w:left="230" w:hanging="230"/>
        <w:keepNext/>
      </w:pPr>
      <w:r>
        <w:rPr>
          <w:rFonts w:ascii="Arial" w:hAnsi="Arial" w:eastAsia="Arial"/>
          <w:sz w:val="20"/>
        </w:rPr>
        <w:t>B. Clarify the counselor’s role, the client’s rights, confidentiality and its limits, what information may be disclosed, and the client’s questions before proceeding.</w:t>
      </w:r>
    </w:p>
    <w:p>
      <w:pPr>
        <w:spacing w:after="40" w:line="247" w:lineRule="auto"/>
        <w:ind w:left="230" w:hanging="230"/>
        <w:keepNext/>
      </w:pPr>
      <w:r>
        <w:rPr>
          <w:rFonts w:ascii="Arial" w:hAnsi="Arial" w:eastAsia="Arial"/>
          <w:sz w:val="20"/>
        </w:rPr>
        <w:t>C. Assure the client that an employer can never receive any information under any circumstances.</w:t>
      </w:r>
    </w:p>
    <w:p>
      <w:pPr>
        <w:spacing w:after="40" w:line="247" w:lineRule="auto"/>
        <w:ind w:left="230" w:hanging="230"/>
        <w:keepNext/>
      </w:pPr>
      <w:r>
        <w:rPr>
          <w:rFonts w:ascii="Arial" w:hAnsi="Arial" w:eastAsia="Arial"/>
          <w:sz w:val="20"/>
        </w:rPr>
        <w:t>D. Ask the supervisor to explain the referral agreement directly to the client.</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LPCC-WB03-PB-Q002 | Knowledge &amp; Application | Easy | Primary concept: Objective MSE documentation</w:t>
      </w:r>
    </w:p>
    <w:p>
      <w:pPr>
        <w:spacing w:after="60" w:line="250" w:lineRule="auto"/>
        <w:keepNext/>
      </w:pPr>
      <w:r>
        <w:rPr>
          <w:rFonts w:ascii="Arial" w:hAnsi="Arial" w:eastAsia="Arial"/>
          <w:b/>
          <w:color w:val="1F2937"/>
          <w:sz w:val="20"/>
        </w:rPr>
        <w:t>Which statement is the MOST objective mental status documentation?</w:t>
      </w:r>
    </w:p>
    <w:p>
      <w:pPr>
        <w:spacing w:after="40" w:line="247" w:lineRule="auto"/>
        <w:ind w:left="230" w:hanging="230"/>
        <w:keepNext/>
      </w:pPr>
      <w:r>
        <w:rPr>
          <w:rFonts w:ascii="Arial" w:hAnsi="Arial" w:eastAsia="Arial"/>
          <w:sz w:val="20"/>
        </w:rPr>
        <w:t>A. The client was evasive and dramatic throughout the interview.</w:t>
      </w:r>
    </w:p>
    <w:p>
      <w:pPr>
        <w:spacing w:after="40" w:line="247" w:lineRule="auto"/>
        <w:ind w:left="230" w:hanging="230"/>
        <w:keepNext/>
      </w:pPr>
      <w:r>
        <w:rPr>
          <w:rFonts w:ascii="Arial" w:hAnsi="Arial" w:eastAsia="Arial"/>
          <w:sz w:val="20"/>
        </w:rPr>
        <w:t>B. The client appeared manipulative when discussing housing.</w:t>
      </w:r>
    </w:p>
    <w:p>
      <w:pPr>
        <w:spacing w:after="40" w:line="247" w:lineRule="auto"/>
        <w:ind w:left="230" w:hanging="230"/>
        <w:keepNext/>
      </w:pPr>
      <w:r>
        <w:rPr>
          <w:rFonts w:ascii="Arial" w:hAnsi="Arial" w:eastAsia="Arial"/>
          <w:sz w:val="20"/>
        </w:rPr>
        <w:t>C. The client was paranoid and refused to cooperate.</w:t>
      </w:r>
    </w:p>
    <w:p>
      <w:pPr>
        <w:spacing w:after="40" w:line="247" w:lineRule="auto"/>
        <w:ind w:left="230" w:hanging="230"/>
        <w:keepNext/>
      </w:pPr>
      <w:r>
        <w:rPr>
          <w:rFonts w:ascii="Arial" w:hAnsi="Arial" w:eastAsia="Arial"/>
          <w:sz w:val="20"/>
        </w:rPr>
        <w:t>D. The client looked toward the hallway six times, lowered their voice when footsteps passed, and declined two questions about housing.</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LPCC-WB03-PB-Q003 | Application | Moderate | Primary concept: Cultural formulation and client language</w:t>
      </w:r>
    </w:p>
    <w:p>
      <w:pPr>
        <w:spacing w:after="60" w:line="250" w:lineRule="auto"/>
        <w:keepNext/>
      </w:pPr>
      <w:r>
        <w:rPr>
          <w:rFonts w:ascii="Arial" w:hAnsi="Arial" w:eastAsia="Arial"/>
          <w:b/>
          <w:color w:val="1F2937"/>
          <w:sz w:val="20"/>
        </w:rPr>
        <w:t>A client repeatedly describes “pressure in my spirit” and rejects the counselor’s early use of the term anxiety. What is the BEST response?</w:t>
      </w:r>
    </w:p>
    <w:p>
      <w:pPr>
        <w:spacing w:after="40" w:line="247" w:lineRule="auto"/>
        <w:ind w:left="230" w:hanging="230"/>
        <w:keepNext/>
      </w:pPr>
      <w:r>
        <w:rPr>
          <w:rFonts w:ascii="Arial" w:hAnsi="Arial" w:eastAsia="Arial"/>
          <w:sz w:val="20"/>
        </w:rPr>
        <w:t>A. Ask what the phrase means to the client, how the client and community understand it, how it affects functioning, and then assess symptoms, duration, medical factors, substances, and differentials using the client’s language where possible.</w:t>
      </w:r>
    </w:p>
    <w:p>
      <w:pPr>
        <w:spacing w:after="40" w:line="247" w:lineRule="auto"/>
        <w:ind w:left="230" w:hanging="230"/>
        <w:keepNext/>
      </w:pPr>
      <w:r>
        <w:rPr>
          <w:rFonts w:ascii="Arial" w:hAnsi="Arial" w:eastAsia="Arial"/>
          <w:sz w:val="20"/>
        </w:rPr>
        <w:t>B. Explain that anxiety is the correct clinical term and continue with the standard diagnostic checklist.</w:t>
      </w:r>
    </w:p>
    <w:p>
      <w:pPr>
        <w:spacing w:after="40" w:line="247" w:lineRule="auto"/>
        <w:ind w:left="230" w:hanging="230"/>
        <w:keepNext/>
      </w:pPr>
      <w:r>
        <w:rPr>
          <w:rFonts w:ascii="Arial" w:hAnsi="Arial" w:eastAsia="Arial"/>
          <w:sz w:val="20"/>
        </w:rPr>
        <w:t>C. Avoid further symptom assessment because using diagnostic language could be culturally insensitive.</w:t>
      </w:r>
    </w:p>
    <w:p>
      <w:pPr>
        <w:spacing w:after="40" w:line="247" w:lineRule="auto"/>
        <w:ind w:left="230" w:hanging="230"/>
        <w:keepNext/>
      </w:pPr>
      <w:r>
        <w:rPr>
          <w:rFonts w:ascii="Arial" w:hAnsi="Arial" w:eastAsia="Arial"/>
          <w:sz w:val="20"/>
        </w:rPr>
        <w:t>D. Assume the phrase indicates a religious delusion and arrange emergency evaluation.</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LPCC-WB03-PB-Q004 | Application | Moderate | Primary concept: Instrument selection and population fit</w:t>
      </w:r>
    </w:p>
    <w:p>
      <w:pPr>
        <w:spacing w:after="60" w:line="250" w:lineRule="auto"/>
        <w:keepNext/>
      </w:pPr>
      <w:r>
        <w:rPr>
          <w:rFonts w:ascii="Arial" w:hAnsi="Arial" w:eastAsia="Arial"/>
          <w:b/>
          <w:color w:val="1F2937"/>
          <w:sz w:val="20"/>
        </w:rPr>
        <w:t>A counselor is selecting a symptom measure for an older adult whose preferred language is not English. Which factor is MOST important before administration?</w:t>
      </w:r>
    </w:p>
    <w:p>
      <w:pPr>
        <w:spacing w:after="40" w:line="247" w:lineRule="auto"/>
        <w:ind w:left="230" w:hanging="230"/>
        <w:keepNext/>
      </w:pPr>
      <w:r>
        <w:rPr>
          <w:rFonts w:ascii="Arial" w:hAnsi="Arial" w:eastAsia="Arial"/>
          <w:sz w:val="20"/>
        </w:rPr>
        <w:t>A. Whether the measure is the shortest option available.</w:t>
      </w:r>
    </w:p>
    <w:p>
      <w:pPr>
        <w:spacing w:after="40" w:line="247" w:lineRule="auto"/>
        <w:ind w:left="230" w:hanging="230"/>
        <w:keepNext/>
      </w:pPr>
      <w:r>
        <w:rPr>
          <w:rFonts w:ascii="Arial" w:hAnsi="Arial" w:eastAsia="Arial"/>
          <w:sz w:val="20"/>
        </w:rPr>
        <w:t>B. Whether the counselor has used the measure with other clients.</w:t>
      </w:r>
    </w:p>
    <w:p>
      <w:pPr>
        <w:spacing w:after="40" w:line="247" w:lineRule="auto"/>
        <w:ind w:left="230" w:hanging="230"/>
        <w:keepNext/>
      </w:pPr>
      <w:r>
        <w:rPr>
          <w:rFonts w:ascii="Arial" w:hAnsi="Arial" w:eastAsia="Arial"/>
          <w:sz w:val="20"/>
        </w:rPr>
        <w:t>C. Whether the measure’s purpose, language, evidence, norms, accessibility, limitations, and planned clinical use fit this client and the decision being made.</w:t>
      </w:r>
    </w:p>
    <w:p>
      <w:pPr>
        <w:spacing w:after="40" w:line="247" w:lineRule="auto"/>
        <w:ind w:left="230" w:hanging="230"/>
        <w:keepNext/>
      </w:pPr>
      <w:r>
        <w:rPr>
          <w:rFonts w:ascii="Arial" w:hAnsi="Arial" w:eastAsia="Arial"/>
          <w:sz w:val="20"/>
        </w:rPr>
        <w:t>D. Whether the measure produces a diagnostic label automatically.</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LPCC-WB03-PB-Q005 | Integrated Clinical Reasoning | Difficult | Primary concept: Conflicting collateral information</w:t>
      </w:r>
    </w:p>
    <w:p>
      <w:pPr>
        <w:spacing w:after="60" w:line="250" w:lineRule="auto"/>
        <w:keepNext/>
      </w:pPr>
      <w:r>
        <w:rPr>
          <w:rFonts w:ascii="Arial" w:hAnsi="Arial" w:eastAsia="Arial"/>
          <w:b/>
          <w:color w:val="1F2937"/>
          <w:sz w:val="20"/>
        </w:rPr>
        <w:t>A client reports that work functioning is unchanged, while an authorized collateral source says the client has missed several deadlines. What should the counselor do NEXT?</w:t>
      </w:r>
    </w:p>
    <w:p>
      <w:pPr>
        <w:spacing w:after="40" w:line="247" w:lineRule="auto"/>
        <w:ind w:left="230" w:hanging="230"/>
        <w:keepNext/>
      </w:pPr>
      <w:r>
        <w:rPr>
          <w:rFonts w:ascii="Arial" w:hAnsi="Arial" w:eastAsia="Arial"/>
          <w:sz w:val="20"/>
        </w:rPr>
        <w:t>A. Accept the collateral report because outside observers are more objective than clients.</w:t>
      </w:r>
    </w:p>
    <w:p>
      <w:pPr>
        <w:spacing w:after="40" w:line="247" w:lineRule="auto"/>
        <w:ind w:left="230" w:hanging="230"/>
        <w:keepNext/>
      </w:pPr>
      <w:r>
        <w:rPr>
          <w:rFonts w:ascii="Arial" w:hAnsi="Arial" w:eastAsia="Arial"/>
          <w:sz w:val="20"/>
        </w:rPr>
        <w:t>B. Document each source separately, explore the discrepancy with the client when clinically appropriate, assess context and possible bias, and determine what additional information is needed before drawing a conclusion.</w:t>
      </w:r>
    </w:p>
    <w:p>
      <w:pPr>
        <w:spacing w:after="40" w:line="247" w:lineRule="auto"/>
        <w:ind w:left="230" w:hanging="230"/>
        <w:keepNext/>
      </w:pPr>
      <w:r>
        <w:rPr>
          <w:rFonts w:ascii="Arial" w:hAnsi="Arial" w:eastAsia="Arial"/>
          <w:sz w:val="20"/>
        </w:rPr>
        <w:t>C. Conclude that the client lacks insight and revise the diagnosis immediately.</w:t>
      </w:r>
    </w:p>
    <w:p>
      <w:pPr>
        <w:spacing w:after="40" w:line="247" w:lineRule="auto"/>
        <w:ind w:left="230" w:hanging="230"/>
        <w:keepNext/>
      </w:pPr>
      <w:r>
        <w:rPr>
          <w:rFonts w:ascii="Arial" w:hAnsi="Arial" w:eastAsia="Arial"/>
          <w:sz w:val="20"/>
        </w:rPr>
        <w:t>D. Stop using collateral information because the sources disagree.</w:t>
      </w:r>
    </w:p>
    <w:p>
      <w:pPr>
        <w:spacing w:after="60"/>
      </w:pPr>
      <w:r>
        <w:rPr>
          <w:rFonts w:ascii="Arial" w:hAnsi="Arial" w:eastAsia="Arial"/>
          <w:i/>
          <w:color w:val="4E5B6B"/>
          <w:sz w:val="18"/>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1</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Dalia Rahman - Initial Intake</w:t>
            </w:r>
          </w:p>
        </w:tc>
      </w:tr>
    </w:tbl>
    <w:p>
      <w:pPr>
        <w:spacing w:before="120" w:after="140" w:line="254" w:lineRule="auto"/>
      </w:pPr>
      <w:r>
        <w:rPr>
          <w:rFonts w:ascii="Arial" w:hAnsi="Arial" w:eastAsia="Arial"/>
          <w:b w:val="0"/>
          <w:i/>
          <w:color w:val="4E5B6B"/>
          <w:sz w:val="21"/>
        </w:rPr>
        <w:t>Answer Questions 6-9 using only the information in this section.</w:t>
      </w:r>
    </w:p>
    <w:tbl>
      <w:tblPr>
        <w:tblW w:type="auto" w:w="0"/>
        <w:jc w:val="center"/>
        <w:tblLook w:firstColumn="1" w:firstRow="1" w:lastColumn="0" w:lastRow="0" w:noHBand="0" w:noVBand="1" w:val="04A0"/>
      </w:tblPr>
      <w:tblGrid>
        <w:gridCol w:w="10310"/>
      </w:tblGrid>
      <w:tr>
        <w:trPr>
          <w:cantSplit/>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PART 1</w:t>
            </w:r>
          </w:p>
          <w:p>
            <w:pPr>
              <w:spacing w:after="20" w:line="250" w:lineRule="auto"/>
            </w:pPr>
            <w:r>
              <w:rPr>
                <w:rFonts w:ascii="Arial" w:hAnsi="Arial" w:eastAsia="Arial"/>
                <w:color w:val="1F2937"/>
                <w:sz w:val="20"/>
              </w:rPr>
              <w:t>Dalia Rahman, age 39, attends an in-person intake after her primary care clinician suggested counseling for episodes of racing heart, trembling, dizziness, chest pressure, poor sleep, and increasing worry. She speaks English at work but says Arabic is easier when discussing emotions. Her adult cousin accompanies her and offers to interpret. Dalia says, “That is fine,” but glances at the cousin before answering questions about family stress. She has signed the clinic forms but asks whether her employer, which provided the referral benefit, will receive session details. She reports two energy drinks most workdays and a recent thyroid-medication dosage change. She denies current chest pain, suicidal thoughts, homicidal thoughts, and hallucinations. During the meeting she is alert and fully oriented, her speech is coherent, and she repeatedly rubs her hands when describing the episodes.</w:t>
            </w:r>
          </w:p>
        </w:tc>
      </w:tr>
    </w:tbl>
    <w:p>
      <w:pPr>
        <w:spacing w:after="0"/>
      </w:pPr>
    </w:p>
    <w:p>
      <w:pPr>
        <w:spacing w:before="100" w:after="40"/>
        <w:keepNext/>
      </w:pPr>
      <w:r>
        <w:rPr>
          <w:rFonts w:ascii="Arial" w:hAnsi="Arial" w:eastAsia="Arial"/>
          <w:b/>
          <w:color w:val="1F7A8C"/>
          <w:sz w:val="17"/>
        </w:rPr>
        <w:t>LPCC-WB03-PB-Q006 | Application | Easy | Primary concept: Language access and privacy</w:t>
      </w:r>
    </w:p>
    <w:p>
      <w:pPr>
        <w:spacing w:after="60" w:line="250" w:lineRule="auto"/>
        <w:keepNext/>
      </w:pPr>
      <w:r>
        <w:rPr>
          <w:rFonts w:ascii="Arial" w:hAnsi="Arial" w:eastAsia="Arial"/>
          <w:b/>
          <w:color w:val="1F2937"/>
          <w:sz w:val="20"/>
        </w:rPr>
        <w:t>What should the counselor do FIRST regarding the cousin’s offer to interpret?</w:t>
      </w:r>
    </w:p>
    <w:p>
      <w:pPr>
        <w:spacing w:after="40" w:line="247" w:lineRule="auto"/>
        <w:ind w:left="230" w:hanging="230"/>
        <w:keepNext/>
      </w:pPr>
      <w:r>
        <w:rPr>
          <w:rFonts w:ascii="Arial" w:hAnsi="Arial" w:eastAsia="Arial"/>
          <w:sz w:val="20"/>
        </w:rPr>
        <w:t>A. Use the cousin because Dalia said the arrangement was acceptable.</w:t>
      </w:r>
    </w:p>
    <w:p>
      <w:pPr>
        <w:spacing w:after="40" w:line="247" w:lineRule="auto"/>
        <w:ind w:left="230" w:hanging="230"/>
        <w:keepNext/>
      </w:pPr>
      <w:r>
        <w:rPr>
          <w:rFonts w:ascii="Arial" w:hAnsi="Arial" w:eastAsia="Arial"/>
          <w:sz w:val="20"/>
        </w:rPr>
        <w:t>B. Ask the cousin to leave permanently and conduct the intake only in English.</w:t>
      </w:r>
    </w:p>
    <w:p>
      <w:pPr>
        <w:spacing w:after="40" w:line="247" w:lineRule="auto"/>
        <w:ind w:left="230" w:hanging="230"/>
        <w:keepNext/>
      </w:pPr>
      <w:r>
        <w:rPr>
          <w:rFonts w:ascii="Arial" w:hAnsi="Arial" w:eastAsia="Arial"/>
          <w:sz w:val="20"/>
        </w:rPr>
        <w:t>C. Speak privately with Dalia about language preference, confidentiality, voluntariness, and qualified interpreter options before deciding how to proceed.</w:t>
      </w:r>
    </w:p>
    <w:p>
      <w:pPr>
        <w:spacing w:after="40" w:line="247" w:lineRule="auto"/>
        <w:ind w:left="230" w:hanging="230"/>
        <w:keepNext/>
      </w:pPr>
      <w:r>
        <w:rPr>
          <w:rFonts w:ascii="Arial" w:hAnsi="Arial" w:eastAsia="Arial"/>
          <w:sz w:val="20"/>
        </w:rPr>
        <w:t>D. Require Dalia to reschedule after locating her own professional interpreter.</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LPCC-WB03-PB-Q007 | Integrated Clinical Reasoning | Moderate | Primary concept: Biopsychosocial-cultural interview sequence</w:t>
      </w:r>
    </w:p>
    <w:p>
      <w:pPr>
        <w:spacing w:after="60" w:line="250" w:lineRule="auto"/>
        <w:keepNext/>
      </w:pPr>
      <w:r>
        <w:rPr>
          <w:rFonts w:ascii="Arial" w:hAnsi="Arial" w:eastAsia="Arial"/>
          <w:b/>
          <w:color w:val="1F2937"/>
          <w:sz w:val="20"/>
        </w:rPr>
        <w:t>Which assessment approach is BEST supported by the information available?</w:t>
      </w:r>
    </w:p>
    <w:p>
      <w:pPr>
        <w:spacing w:after="40" w:line="247" w:lineRule="auto"/>
        <w:ind w:left="230" w:hanging="230"/>
        <w:keepNext/>
      </w:pPr>
      <w:r>
        <w:rPr>
          <w:rFonts w:ascii="Arial" w:hAnsi="Arial" w:eastAsia="Arial"/>
          <w:sz w:val="20"/>
        </w:rPr>
        <w:t>A. Clarify episode onset, duration, triggers, impairment, medical symptoms, medication change, caffeine use, sleep, stress, cultural meaning, and safety before assigning a diagnosis.</w:t>
      </w:r>
    </w:p>
    <w:p>
      <w:pPr>
        <w:spacing w:after="40" w:line="247" w:lineRule="auto"/>
        <w:ind w:left="230" w:hanging="230"/>
        <w:keepNext/>
      </w:pPr>
      <w:r>
        <w:rPr>
          <w:rFonts w:ascii="Arial" w:hAnsi="Arial" w:eastAsia="Arial"/>
          <w:sz w:val="20"/>
        </w:rPr>
        <w:t>B. Diagnose panic disorder because the client reports racing heart, trembling, dizziness, and worry.</w:t>
      </w:r>
    </w:p>
    <w:p>
      <w:pPr>
        <w:spacing w:after="40" w:line="247" w:lineRule="auto"/>
        <w:ind w:left="230" w:hanging="230"/>
        <w:keepNext/>
      </w:pPr>
      <w:r>
        <w:rPr>
          <w:rFonts w:ascii="Arial" w:hAnsi="Arial" w:eastAsia="Arial"/>
          <w:sz w:val="20"/>
        </w:rPr>
        <w:t>C. Focus only on thyroid medication because medical factors exclude counseling concerns.</w:t>
      </w:r>
    </w:p>
    <w:p>
      <w:pPr>
        <w:spacing w:after="40" w:line="247" w:lineRule="auto"/>
        <w:ind w:left="230" w:hanging="230"/>
        <w:keepNext/>
      </w:pPr>
      <w:r>
        <w:rPr>
          <w:rFonts w:ascii="Arial" w:hAnsi="Arial" w:eastAsia="Arial"/>
          <w:sz w:val="20"/>
        </w:rPr>
        <w:t>D. Explore family conflict in depth before clarifying the physical symptoms or medication change.</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LPCC-WB03-PB-Q008 | Application | Moderate | Primary concept: Screening limits</w:t>
      </w:r>
    </w:p>
    <w:p>
      <w:pPr>
        <w:spacing w:after="60" w:line="250" w:lineRule="auto"/>
        <w:keepNext/>
      </w:pPr>
      <w:r>
        <w:rPr>
          <w:rFonts w:ascii="Arial" w:hAnsi="Arial" w:eastAsia="Arial"/>
          <w:b/>
          <w:color w:val="1F2937"/>
          <w:sz w:val="20"/>
        </w:rPr>
        <w:t>A brief anxiety screener is elevated. What is the MOST accurate interpretation?</w:t>
      </w:r>
    </w:p>
    <w:p>
      <w:pPr>
        <w:spacing w:after="40" w:line="247" w:lineRule="auto"/>
        <w:ind w:left="230" w:hanging="230"/>
        <w:keepNext/>
      </w:pPr>
      <w:r>
        <w:rPr>
          <w:rFonts w:ascii="Arial" w:hAnsi="Arial" w:eastAsia="Arial"/>
          <w:sz w:val="20"/>
        </w:rPr>
        <w:t>A. The score confirms an anxiety disorder and identifies the correct treatment.</w:t>
      </w:r>
    </w:p>
    <w:p>
      <w:pPr>
        <w:spacing w:after="40" w:line="247" w:lineRule="auto"/>
        <w:ind w:left="230" w:hanging="230"/>
        <w:keepNext/>
      </w:pPr>
      <w:r>
        <w:rPr>
          <w:rFonts w:ascii="Arial" w:hAnsi="Arial" w:eastAsia="Arial"/>
          <w:sz w:val="20"/>
        </w:rPr>
        <w:t>B. The score is invalid because a physician suggested the referral.</w:t>
      </w:r>
    </w:p>
    <w:p>
      <w:pPr>
        <w:spacing w:after="40" w:line="247" w:lineRule="auto"/>
        <w:ind w:left="230" w:hanging="230"/>
        <w:keepNext/>
      </w:pPr>
      <w:r>
        <w:rPr>
          <w:rFonts w:ascii="Arial" w:hAnsi="Arial" w:eastAsia="Arial"/>
          <w:sz w:val="20"/>
        </w:rPr>
        <w:t>C. The score proves the symptoms are not related to medication, caffeine, or a medical condition.</w:t>
      </w:r>
    </w:p>
    <w:p>
      <w:pPr>
        <w:spacing w:after="40" w:line="247" w:lineRule="auto"/>
        <w:ind w:left="230" w:hanging="230"/>
        <w:keepNext/>
      </w:pPr>
      <w:r>
        <w:rPr>
          <w:rFonts w:ascii="Arial" w:hAnsi="Arial" w:eastAsia="Arial"/>
          <w:sz w:val="20"/>
        </w:rPr>
        <w:t>D. The score supports further assessment and may provide a baseline, but it does not establish diagnosis or causation by itself.</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LPCC-WB03-PB-Q009 | Integrated Clinical Reasoning | Difficult | Primary concept: Evidence-matched working conclusion</w:t>
      </w:r>
    </w:p>
    <w:p>
      <w:pPr>
        <w:spacing w:after="60" w:line="250" w:lineRule="auto"/>
        <w:keepNext/>
      </w:pPr>
      <w:r>
        <w:rPr>
          <w:rFonts w:ascii="Arial" w:hAnsi="Arial" w:eastAsia="Arial"/>
          <w:b/>
          <w:color w:val="1F2937"/>
          <w:sz w:val="20"/>
        </w:rPr>
        <w:t>Which conclusion is BEST supported at the end of the initial section?</w:t>
      </w:r>
    </w:p>
    <w:p>
      <w:pPr>
        <w:spacing w:after="40" w:line="247" w:lineRule="auto"/>
        <w:ind w:left="230" w:hanging="230"/>
        <w:keepNext/>
      </w:pPr>
      <w:r>
        <w:rPr>
          <w:rFonts w:ascii="Arial" w:hAnsi="Arial" w:eastAsia="Arial"/>
          <w:sz w:val="20"/>
        </w:rPr>
        <w:t>A. Dalia has panic disorder caused by workplace stress.</w:t>
      </w:r>
    </w:p>
    <w:p>
      <w:pPr>
        <w:spacing w:after="40" w:line="247" w:lineRule="auto"/>
        <w:ind w:left="230" w:hanging="230"/>
        <w:keepNext/>
      </w:pPr>
      <w:r>
        <w:rPr>
          <w:rFonts w:ascii="Arial" w:hAnsi="Arial" w:eastAsia="Arial"/>
          <w:sz w:val="20"/>
        </w:rPr>
        <w:t>B. Dalia has clinically significant episodes requiring continued assessment of symptom pattern, functioning, medical and medication factors, caffeine, sleep, cultural meaning, and diagnostic differentials, with medical coordination as indicated.</w:t>
      </w:r>
    </w:p>
    <w:p>
      <w:pPr>
        <w:spacing w:after="40" w:line="247" w:lineRule="auto"/>
        <w:ind w:left="230" w:hanging="230"/>
        <w:keepNext/>
      </w:pPr>
      <w:r>
        <w:rPr>
          <w:rFonts w:ascii="Arial" w:hAnsi="Arial" w:eastAsia="Arial"/>
          <w:sz w:val="20"/>
        </w:rPr>
        <w:t>C. Dalia’s symptoms are primarily a cultural expression and do not require medical review.</w:t>
      </w:r>
    </w:p>
    <w:p>
      <w:pPr>
        <w:spacing w:after="40" w:line="247" w:lineRule="auto"/>
        <w:ind w:left="230" w:hanging="230"/>
        <w:keepNext/>
      </w:pPr>
      <w:r>
        <w:rPr>
          <w:rFonts w:ascii="Arial" w:hAnsi="Arial" w:eastAsia="Arial"/>
          <w:sz w:val="20"/>
        </w:rPr>
        <w:t>D. Dalia requires emergency psychiatric hospitalization because she reports chest pressure during past episodes.</w:t>
      </w:r>
    </w:p>
    <w:p>
      <w:pPr>
        <w:spacing w:after="60"/>
      </w:pPr>
      <w:r>
        <w:rPr>
          <w:rFonts w:ascii="Arial" w:hAnsi="Arial" w:eastAsia="Arial"/>
          <w:i/>
          <w:color w:val="4E5B6B"/>
          <w:sz w:val="18"/>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CONTINUE CHECK</w:t>
            </w:r>
          </w:p>
          <w:p>
            <w:pPr>
              <w:spacing w:after="20" w:line="250" w:lineRule="auto"/>
            </w:pPr>
            <w:r>
              <w:rPr>
                <w:rFonts w:ascii="Arial" w:hAnsi="Arial" w:eastAsia="Arial"/>
                <w:color w:val="1F2937"/>
                <w:sz w:val="19"/>
              </w:rPr>
              <w:t>Before reading Part 2, answer every Part 1 item and review flagged responses. Once you continue, do not revise Questions 6-9 or use later facts as earlier evidence.</w:t>
            </w:r>
          </w:p>
        </w:tc>
      </w:tr>
    </w:tbl>
    <w:p>
      <w:pPr>
        <w:spacing w:after="0"/>
      </w:pPr>
    </w:p>
    <w:p>
      <w:r>
        <w:br w:type="page"/>
      </w:r>
    </w:p>
    <w:tbl>
      <w:tblPr>
        <w:tblW w:type="auto" w:w="0"/>
        <w:jc w:val="center"/>
        <w:tblLayout w:type="fixed"/>
        <w:tblLook w:firstColumn="1" w:firstRow="1" w:lastColumn="0" w:lastRow="0" w:noHBand="0" w:noVBand="1" w:val="04A0"/>
      </w:tblPr>
      <w:tblGrid>
        <w:gridCol w:w="5155"/>
        <w:gridCol w:w="5155"/>
      </w:tblGrid>
      <w:t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2</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Two Weeks Later</w:t>
            </w:r>
          </w:p>
        </w:tc>
      </w:tr>
    </w:tbl>
    <w:p>
      <w:pPr>
        <w:spacing w:before="120" w:after="140" w:line="254" w:lineRule="auto"/>
      </w:pPr>
      <w:r>
        <w:rPr>
          <w:rFonts w:ascii="Arial" w:hAnsi="Arial" w:eastAsia="Arial"/>
          <w:b w:val="0"/>
          <w:i/>
          <w:color w:val="4E5B6B"/>
          <w:sz w:val="21"/>
        </w:rPr>
        <w:t>Answer Questions 10-13 using the original information plus the new facts below.</w:t>
      </w:r>
    </w:p>
    <w:tbl>
      <w:tblPr>
        <w:tblW w:type="auto" w:w="0"/>
        <w:jc w:val="center"/>
        <w:tblLook w:firstColumn="1" w:firstRow="1" w:lastColumn="0" w:lastRow="0" w:noHBand="0" w:noVBand="1" w:val="04A0"/>
      </w:tblPr>
      <w:tblGrid>
        <w:gridCol w:w="10310"/>
      </w:tblGrid>
      <w:tr>
        <w:trPr>
          <w:cantSplit/>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PART 2</w:t>
            </w:r>
          </w:p>
          <w:p>
            <w:pPr>
              <w:spacing w:after="20" w:line="250" w:lineRule="auto"/>
            </w:pPr>
            <w:r>
              <w:rPr>
                <w:rFonts w:ascii="Arial" w:hAnsi="Arial" w:eastAsia="Arial"/>
                <w:color w:val="1F2937"/>
                <w:sz w:val="20"/>
              </w:rPr>
              <w:t>Two weeks later, a qualified Arabic interpreter participates at Dalia’s request. Dalia authorizes focused coordination with her primary care clinician. The clinician confirms a recent thyroid-medication adjustment and recommends medical follow-up; no emergency condition has been identified. Dalia completes a validated anxiety measure in Arabic that shows high symptom severity and a depression measure showing mild symptoms. She reports missing two work shifts and avoiding driving on highways. During the session, Dalia is alert and oriented, speaks at a normal rate, wrings her hands, and pauses before answering questions about work. Her spouse calls the clinic without Dalia’s authorization, asks whether Dalia is a client, and says she has been “much worse” at home.</w:t>
            </w:r>
          </w:p>
        </w:tc>
      </w:tr>
    </w:tbl>
    <w:p>
      <w:pPr>
        <w:spacing w:after="0"/>
      </w:pPr>
    </w:p>
    <w:p>
      <w:pPr>
        <w:spacing w:before="100" w:after="40"/>
        <w:keepNext/>
      </w:pPr>
      <w:r>
        <w:rPr>
          <w:rFonts w:ascii="Arial" w:hAnsi="Arial" w:eastAsia="Arial"/>
          <w:b/>
          <w:color w:val="1F7A8C"/>
          <w:sz w:val="17"/>
        </w:rPr>
        <w:t>LPCC-WB03-PB-Q010 | Knowledge &amp; Application | Easy | Primary concept: MSE versus inference</w:t>
      </w:r>
    </w:p>
    <w:p>
      <w:pPr>
        <w:spacing w:after="60" w:line="250" w:lineRule="auto"/>
        <w:keepNext/>
      </w:pPr>
      <w:r>
        <w:rPr>
          <w:rFonts w:ascii="Arial" w:hAnsi="Arial" w:eastAsia="Arial"/>
          <w:b/>
          <w:color w:val="1F2937"/>
          <w:sz w:val="20"/>
        </w:rPr>
        <w:t>Which note BEST documents Dalia’s current presentation?</w:t>
      </w:r>
    </w:p>
    <w:p>
      <w:pPr>
        <w:spacing w:after="40" w:line="247" w:lineRule="auto"/>
        <w:ind w:left="230" w:hanging="230"/>
        <w:keepNext/>
      </w:pPr>
      <w:r>
        <w:rPr>
          <w:rFonts w:ascii="Arial" w:hAnsi="Arial" w:eastAsia="Arial"/>
          <w:sz w:val="20"/>
        </w:rPr>
        <w:t>A. Dalia was resistant and clearly minimizing her condition.</w:t>
      </w:r>
    </w:p>
    <w:p>
      <w:pPr>
        <w:spacing w:after="40" w:line="247" w:lineRule="auto"/>
        <w:ind w:left="230" w:hanging="230"/>
        <w:keepNext/>
      </w:pPr>
      <w:r>
        <w:rPr>
          <w:rFonts w:ascii="Arial" w:hAnsi="Arial" w:eastAsia="Arial"/>
          <w:sz w:val="20"/>
        </w:rPr>
        <w:t>B. Dalia appeared severely anxious and lacked insight.</w:t>
      </w:r>
    </w:p>
    <w:p>
      <w:pPr>
        <w:spacing w:after="40" w:line="247" w:lineRule="auto"/>
        <w:ind w:left="230" w:hanging="230"/>
        <w:keepNext/>
      </w:pPr>
      <w:r>
        <w:rPr>
          <w:rFonts w:ascii="Arial" w:hAnsi="Arial" w:eastAsia="Arial"/>
          <w:sz w:val="20"/>
        </w:rPr>
        <w:t>C. Dalia was alert and oriented, spoke at a normal rate, wrung her hands, and paused before answering questions about work.</w:t>
      </w:r>
    </w:p>
    <w:p>
      <w:pPr>
        <w:spacing w:after="40" w:line="247" w:lineRule="auto"/>
        <w:ind w:left="230" w:hanging="230"/>
        <w:keepNext/>
      </w:pPr>
      <w:r>
        <w:rPr>
          <w:rFonts w:ascii="Arial" w:hAnsi="Arial" w:eastAsia="Arial"/>
          <w:sz w:val="20"/>
        </w:rPr>
        <w:t>D. Dalia’s behavior proved that the spouse’s report was accurate.</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LPCC-WB03-PB-Q011 | Application | Moderate | Primary concept: Unsolicited collateral and confidentiality</w:t>
      </w:r>
    </w:p>
    <w:p>
      <w:pPr>
        <w:spacing w:after="60" w:line="250" w:lineRule="auto"/>
        <w:keepNext/>
      </w:pPr>
      <w:r>
        <w:rPr>
          <w:rFonts w:ascii="Arial" w:hAnsi="Arial" w:eastAsia="Arial"/>
          <w:b/>
          <w:color w:val="1F2937"/>
          <w:sz w:val="20"/>
        </w:rPr>
        <w:t>How should the counselor respond to the spouse’s call?</w:t>
      </w:r>
    </w:p>
    <w:p>
      <w:pPr>
        <w:spacing w:after="40" w:line="247" w:lineRule="auto"/>
        <w:ind w:left="230" w:hanging="230"/>
        <w:keepNext/>
      </w:pPr>
      <w:r>
        <w:rPr>
          <w:rFonts w:ascii="Arial" w:hAnsi="Arial" w:eastAsia="Arial"/>
          <w:sz w:val="20"/>
        </w:rPr>
        <w:t>A. Avoid confirming Dalia’s client status, clarify that the caller may share information, limit any disclosure, document the contact, and address authorization and clinical purpose with Dalia before routine two-way communication.</w:t>
      </w:r>
    </w:p>
    <w:p>
      <w:pPr>
        <w:spacing w:after="40" w:line="247" w:lineRule="auto"/>
        <w:ind w:left="230" w:hanging="230"/>
        <w:keepNext/>
      </w:pPr>
      <w:r>
        <w:rPr>
          <w:rFonts w:ascii="Arial" w:hAnsi="Arial" w:eastAsia="Arial"/>
          <w:sz w:val="20"/>
        </w:rPr>
        <w:t>B. Confirm that Dalia attends counseling so the spouse knows the correct clinic was reached.</w:t>
      </w:r>
    </w:p>
    <w:p>
      <w:pPr>
        <w:spacing w:after="40" w:line="247" w:lineRule="auto"/>
        <w:ind w:left="230" w:hanging="230"/>
        <w:keepNext/>
      </w:pPr>
      <w:r>
        <w:rPr>
          <w:rFonts w:ascii="Arial" w:hAnsi="Arial" w:eastAsia="Arial"/>
          <w:sz w:val="20"/>
        </w:rPr>
        <w:t>C. Refuse to hear any information and immediately disconnect the call.</w:t>
      </w:r>
    </w:p>
    <w:p>
      <w:pPr>
        <w:spacing w:after="40" w:line="247" w:lineRule="auto"/>
        <w:ind w:left="230" w:hanging="230"/>
        <w:keepNext/>
      </w:pPr>
      <w:r>
        <w:rPr>
          <w:rFonts w:ascii="Arial" w:hAnsi="Arial" w:eastAsia="Arial"/>
          <w:sz w:val="20"/>
        </w:rPr>
        <w:t>D. Ask the spouse to email all observations and promise a return call after the next session.</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LPCC-WB03-PB-Q012 | Application | Moderate | Primary concept: Baseline and outcome measurement</w:t>
      </w:r>
    </w:p>
    <w:p>
      <w:pPr>
        <w:spacing w:after="60" w:line="250" w:lineRule="auto"/>
        <w:keepNext/>
      </w:pPr>
      <w:r>
        <w:rPr>
          <w:rFonts w:ascii="Arial" w:hAnsi="Arial" w:eastAsia="Arial"/>
          <w:b/>
          <w:color w:val="1F2937"/>
          <w:sz w:val="20"/>
        </w:rPr>
        <w:t>Which measurement plan is MOST clinically useful now?</w:t>
      </w:r>
    </w:p>
    <w:p>
      <w:pPr>
        <w:spacing w:after="40" w:line="247" w:lineRule="auto"/>
        <w:ind w:left="230" w:hanging="230"/>
        <w:keepNext/>
      </w:pPr>
      <w:r>
        <w:rPr>
          <w:rFonts w:ascii="Arial" w:hAnsi="Arial" w:eastAsia="Arial"/>
          <w:sz w:val="20"/>
        </w:rPr>
        <w:t>A. Repeat every available measure at each session regardless of burden.</w:t>
      </w:r>
    </w:p>
    <w:p>
      <w:pPr>
        <w:spacing w:after="40" w:line="247" w:lineRule="auto"/>
        <w:ind w:left="230" w:hanging="230"/>
        <w:keepNext/>
      </w:pPr>
      <w:r>
        <w:rPr>
          <w:rFonts w:ascii="Arial" w:hAnsi="Arial" w:eastAsia="Arial"/>
          <w:sz w:val="20"/>
        </w:rPr>
        <w:t>B. Use only the spouse’s report because family observations are more accurate than self-report.</w:t>
      </w:r>
    </w:p>
    <w:p>
      <w:pPr>
        <w:spacing w:after="40" w:line="247" w:lineRule="auto"/>
        <w:ind w:left="230" w:hanging="230"/>
        <w:keepNext/>
      </w:pPr>
      <w:r>
        <w:rPr>
          <w:rFonts w:ascii="Arial" w:hAnsi="Arial" w:eastAsia="Arial"/>
          <w:sz w:val="20"/>
        </w:rPr>
        <w:t>C. Discontinue measurement because medical follow-up is also occurring.</w:t>
      </w:r>
    </w:p>
    <w:p>
      <w:pPr>
        <w:spacing w:after="40" w:line="247" w:lineRule="auto"/>
        <w:ind w:left="230" w:hanging="230"/>
        <w:keepNext/>
      </w:pPr>
      <w:r>
        <w:rPr>
          <w:rFonts w:ascii="Arial" w:hAnsi="Arial" w:eastAsia="Arial"/>
          <w:sz w:val="20"/>
        </w:rPr>
        <w:t>D. Use the validated anxiety score and functional targets as a baseline, repeat them at meaningful intervals, and define how change, no change, or deterioration will affect the formulation and plan.</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LPCC-WB03-PB-Q013 | Integrated Clinical Reasoning | Difficult | Primary concept: Integrated formulation without premature closure</w:t>
      </w:r>
    </w:p>
    <w:p>
      <w:pPr>
        <w:spacing w:after="60" w:line="250" w:lineRule="auto"/>
        <w:keepNext/>
      </w:pPr>
      <w:r>
        <w:rPr>
          <w:rFonts w:ascii="Arial" w:hAnsi="Arial" w:eastAsia="Arial"/>
          <w:b/>
          <w:color w:val="1F2937"/>
          <w:sz w:val="20"/>
        </w:rPr>
        <w:t>What is the BEST next clinical step after reviewing the new information?</w:t>
      </w:r>
    </w:p>
    <w:p>
      <w:pPr>
        <w:spacing w:after="40" w:line="247" w:lineRule="auto"/>
        <w:ind w:left="230" w:hanging="230"/>
        <w:keepNext/>
      </w:pPr>
      <w:r>
        <w:rPr>
          <w:rFonts w:ascii="Arial" w:hAnsi="Arial" w:eastAsia="Arial"/>
          <w:sz w:val="20"/>
        </w:rPr>
        <w:t>A. Finalize panic disorder because the anxiety score is high and Dalia avoids highways.</w:t>
      </w:r>
    </w:p>
    <w:p>
      <w:pPr>
        <w:spacing w:after="40" w:line="247" w:lineRule="auto"/>
        <w:ind w:left="230" w:hanging="230"/>
        <w:keepNext/>
      </w:pPr>
      <w:r>
        <w:rPr>
          <w:rFonts w:ascii="Arial" w:hAnsi="Arial" w:eastAsia="Arial"/>
          <w:sz w:val="20"/>
        </w:rPr>
        <w:t>B. Integrate the medical update, symptom timeline, functional impairment, measure results, caffeine and sleep patterns, cultural meaning, and differential criteria; continue medical coordination and develop a provisional, collaborative plan without treating the screen as the diagnosis.</w:t>
      </w:r>
    </w:p>
    <w:p>
      <w:pPr>
        <w:spacing w:after="40" w:line="247" w:lineRule="auto"/>
        <w:ind w:left="230" w:hanging="230"/>
        <w:keepNext/>
      </w:pPr>
      <w:r>
        <w:rPr>
          <w:rFonts w:ascii="Arial" w:hAnsi="Arial" w:eastAsia="Arial"/>
          <w:sz w:val="20"/>
        </w:rPr>
        <w:t>C. Conclude that the thyroid medication is the sole cause and suspend counseling until every medical question is resolved.</w:t>
      </w:r>
    </w:p>
    <w:p>
      <w:pPr>
        <w:spacing w:after="40" w:line="247" w:lineRule="auto"/>
        <w:ind w:left="230" w:hanging="230"/>
        <w:keepNext/>
      </w:pPr>
      <w:r>
        <w:rPr>
          <w:rFonts w:ascii="Arial" w:hAnsi="Arial" w:eastAsia="Arial"/>
          <w:sz w:val="20"/>
        </w:rPr>
        <w:t>D. Use the spouse’s statement to diagnose a more severe disorder despite the lack of authorization.</w:t>
      </w:r>
    </w:p>
    <w:p>
      <w:pPr>
        <w:spacing w:after="60"/>
      </w:pPr>
      <w:r>
        <w:rPr>
          <w:rFonts w:ascii="Arial" w:hAnsi="Arial" w:eastAsia="Arial"/>
          <w:i/>
          <w:color w:val="4E5B6B"/>
          <w:sz w:val="18"/>
        </w:rPr>
        <w:t>My answer: ______    Confidence: 1  2  3</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CONTINUE CHECK</w:t>
            </w:r>
          </w:p>
          <w:p>
            <w:pPr>
              <w:spacing w:after="20" w:line="250" w:lineRule="auto"/>
            </w:pPr>
            <w:r>
              <w:rPr>
                <w:rFonts w:ascii="Arial" w:hAnsi="Arial" w:eastAsia="Arial"/>
                <w:color w:val="1F2937"/>
                <w:sz w:val="19"/>
              </w:rPr>
              <w:t>Before reading Part 3, answer every Part 2 item and review flagged responses. Once you continue, do not revise Questions 10-13.</w:t>
            </w:r>
          </w:p>
        </w:tc>
      </w:tr>
    </w:tbl>
    <w:p>
      <w:pPr>
        <w:spacing w:after="0"/>
      </w:pPr>
    </w:p>
    <w:tbl>
      <w:tblPr>
        <w:tblW w:type="auto" w:w="0"/>
        <w:jc w:val="center"/>
        <w:tblLayout w:type="fixed"/>
        <w:tblLook w:firstColumn="1" w:firstRow="1" w:lastColumn="0" w:lastRow="0" w:noHBand="0" w:noVBand="1" w:val="04A0"/>
      </w:tblPr>
      <w:tblGrid>
        <w:gridCol w:w="5155"/>
        <w:gridCol w:w="5155"/>
      </w:tblGrid>
      <w:tr>
        <w:tc>
          <w:tcPr>
            <w:tcW w:type="dxa" w:w="1800"/>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26"/>
              </w:rPr>
              <w:t>PART 3</w:t>
            </w:r>
          </w:p>
        </w:tc>
        <w:tc>
          <w:tcPr>
            <w:tcW w:type="dxa" w:w="8712"/>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Mini Case: Telehealth Follow-Up</w:t>
            </w:r>
          </w:p>
        </w:tc>
      </w:tr>
    </w:tbl>
    <w:p>
      <w:pPr>
        <w:spacing w:before="120" w:after="140" w:line="254" w:lineRule="auto"/>
      </w:pPr>
      <w:r>
        <w:rPr>
          <w:rFonts w:ascii="Arial" w:hAnsi="Arial" w:eastAsia="Arial"/>
          <w:b w:val="0"/>
          <w:i/>
          <w:color w:val="4E5B6B"/>
          <w:sz w:val="21"/>
        </w:rPr>
        <w:t>Answer Questions 14-17 using all information presented through this final section.</w:t>
      </w:r>
    </w:p>
    <w:tbl>
      <w:tblPr>
        <w:tblW w:type="auto" w:w="0"/>
        <w:jc w:val="center"/>
        <w:tblLook w:firstColumn="1" w:firstRow="1" w:lastColumn="0" w:lastRow="0" w:noHBand="0" w:noVBand="1" w:val="04A0"/>
      </w:tblPr>
      <w:tblGrid>
        <w:gridCol w:w="10310"/>
      </w:tblGrid>
      <w:tr>
        <w:trPr>
          <w:cantSplit/>
        </w:trPr>
        <w:tc>
          <w:tcPr>
            <w:tcW w:type="dxa" w:w="10310"/>
            <w:shd w:fill="F2F7FB"/>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NARRATIVE - PART 3</w:t>
            </w:r>
          </w:p>
          <w:p>
            <w:pPr>
              <w:spacing w:after="20" w:line="250" w:lineRule="auto"/>
            </w:pPr>
            <w:r>
              <w:rPr>
                <w:rFonts w:ascii="Arial" w:hAnsi="Arial" w:eastAsia="Arial"/>
                <w:color w:val="1F2937"/>
                <w:sz w:val="20"/>
              </w:rPr>
              <w:t>At the next follow-up, Dalia joins by video from a parked car outside work. She confirms she is alone but initially gives only the city and says a coworker may approach. The connection freezes several times. After the counselor verifies the exact location and reviews privacy and emergency procedures, Dalia reports a severe headache that began suddenly 20 minutes earlier. Her speech becomes newly slurred, she loses track of the question twice, and she says she fell and hit her head the previous evening. She is not able to identify a nearby support person immediately.</w:t>
            </w:r>
          </w:p>
        </w:tc>
      </w:tr>
    </w:tbl>
    <w:p>
      <w:pPr>
        <w:spacing w:after="0"/>
      </w:pPr>
    </w:p>
    <w:p>
      <w:pPr>
        <w:spacing w:before="100" w:after="40"/>
        <w:keepNext/>
      </w:pPr>
      <w:r>
        <w:rPr>
          <w:rFonts w:ascii="Arial" w:hAnsi="Arial" w:eastAsia="Arial"/>
          <w:b/>
          <w:color w:val="1F7A8C"/>
          <w:sz w:val="17"/>
        </w:rPr>
        <w:t>LPCC-WB03-PB-Q014 | Scenario-Based | Moderate | Primary concept: Telehealth assessment conditions</w:t>
      </w:r>
    </w:p>
    <w:p>
      <w:pPr>
        <w:spacing w:after="60" w:line="250" w:lineRule="auto"/>
        <w:keepNext/>
      </w:pPr>
      <w:r>
        <w:rPr>
          <w:rFonts w:ascii="Arial" w:hAnsi="Arial" w:eastAsia="Arial"/>
          <w:b/>
          <w:color w:val="1F2937"/>
          <w:sz w:val="20"/>
        </w:rPr>
        <w:t>Before the new medical symptoms are disclosed, what should the counselor do NEXT about the telehealth setting?</w:t>
      </w:r>
    </w:p>
    <w:p>
      <w:pPr>
        <w:spacing w:after="40" w:line="247" w:lineRule="auto"/>
        <w:ind w:left="230" w:hanging="230"/>
        <w:keepNext/>
      </w:pPr>
      <w:r>
        <w:rPr>
          <w:rFonts w:ascii="Arial" w:hAnsi="Arial" w:eastAsia="Arial"/>
          <w:sz w:val="20"/>
        </w:rPr>
        <w:t>A. Continue the full assessment because Dalia says she is alone.</w:t>
      </w:r>
    </w:p>
    <w:p>
      <w:pPr>
        <w:spacing w:after="40" w:line="247" w:lineRule="auto"/>
        <w:ind w:left="230" w:hanging="230"/>
        <w:keepNext/>
      </w:pPr>
      <w:r>
        <w:rPr>
          <w:rFonts w:ascii="Arial" w:hAnsi="Arial" w:eastAsia="Arial"/>
          <w:sz w:val="20"/>
        </w:rPr>
        <w:t>B. End treatment permanently because a parked car is never an acceptable setting.</w:t>
      </w:r>
    </w:p>
    <w:p>
      <w:pPr>
        <w:spacing w:after="40" w:line="247" w:lineRule="auto"/>
        <w:ind w:left="230" w:hanging="230"/>
        <w:keepNext/>
      </w:pPr>
      <w:r>
        <w:rPr>
          <w:rFonts w:ascii="Arial" w:hAnsi="Arial" w:eastAsia="Arial"/>
          <w:sz w:val="20"/>
        </w:rPr>
        <w:t>C. Verify the exact location, assess privacy and the risk of interruption, review emergency and disconnection procedures, and decide whether a limited or rescheduled session is clinically appropriate.</w:t>
      </w:r>
    </w:p>
    <w:p>
      <w:pPr>
        <w:spacing w:after="40" w:line="247" w:lineRule="auto"/>
        <w:ind w:left="230" w:hanging="230"/>
        <w:keepNext/>
      </w:pPr>
      <w:r>
        <w:rPr>
          <w:rFonts w:ascii="Arial" w:hAnsi="Arial" w:eastAsia="Arial"/>
          <w:sz w:val="20"/>
        </w:rPr>
        <w:t>D. Ask Dalia to complete all measures through chat so the video limitations do not matter.</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LPCC-WB03-PB-Q015 | Integrated Clinical Reasoning | Difficult | Primary concept: Urgent medical change</w:t>
      </w:r>
    </w:p>
    <w:p>
      <w:pPr>
        <w:spacing w:after="60" w:line="250" w:lineRule="auto"/>
        <w:keepNext/>
      </w:pPr>
      <w:r>
        <w:rPr>
          <w:rFonts w:ascii="Arial" w:hAnsi="Arial" w:eastAsia="Arial"/>
          <w:b/>
          <w:color w:val="1F2937"/>
          <w:sz w:val="20"/>
        </w:rPr>
        <w:t>What is the BEST next action after Dalia develops new slurred speech, confusion, and a sudden severe headache following a recent head injury?</w:t>
      </w:r>
    </w:p>
    <w:p>
      <w:pPr>
        <w:spacing w:after="40" w:line="247" w:lineRule="auto"/>
        <w:ind w:left="230" w:hanging="230"/>
        <w:keepNext/>
      </w:pPr>
      <w:r>
        <w:rPr>
          <w:rFonts w:ascii="Arial" w:hAnsi="Arial" w:eastAsia="Arial"/>
          <w:sz w:val="20"/>
        </w:rPr>
        <w:t>A. Initiate emergency medical response using the verified location, remain focused on immediate safety, and arrange urgent medical evaluation according to emergency procedures.</w:t>
      </w:r>
    </w:p>
    <w:p>
      <w:pPr>
        <w:spacing w:after="40" w:line="247" w:lineRule="auto"/>
        <w:ind w:left="230" w:hanging="230"/>
        <w:keepNext/>
      </w:pPr>
      <w:r>
        <w:rPr>
          <w:rFonts w:ascii="Arial" w:hAnsi="Arial" w:eastAsia="Arial"/>
          <w:sz w:val="20"/>
        </w:rPr>
        <w:t>B. Complete the anxiety measure to determine whether panic explains the symptoms.</w:t>
      </w:r>
    </w:p>
    <w:p>
      <w:pPr>
        <w:spacing w:after="40" w:line="247" w:lineRule="auto"/>
        <w:ind w:left="230" w:hanging="230"/>
        <w:keepNext/>
      </w:pPr>
      <w:r>
        <w:rPr>
          <w:rFonts w:ascii="Arial" w:hAnsi="Arial" w:eastAsia="Arial"/>
          <w:sz w:val="20"/>
        </w:rPr>
        <w:t>C. Use grounding exercises first and reassess in thirty minutes.</w:t>
      </w:r>
    </w:p>
    <w:p>
      <w:pPr>
        <w:spacing w:after="40" w:line="247" w:lineRule="auto"/>
        <w:ind w:left="230" w:hanging="230"/>
        <w:keepNext/>
      </w:pPr>
      <w:r>
        <w:rPr>
          <w:rFonts w:ascii="Arial" w:hAnsi="Arial" w:eastAsia="Arial"/>
          <w:sz w:val="20"/>
        </w:rPr>
        <w:t>D. Schedule an in-person counseling appointment for the following week.</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LPCC-WB03-PB-Q016 | Integrated Clinical Reasoning | Difficult | Primary concept: Telehealth documentation and data limits</w:t>
      </w:r>
    </w:p>
    <w:p>
      <w:pPr>
        <w:spacing w:after="60" w:line="250" w:lineRule="auto"/>
        <w:keepNext/>
      </w:pPr>
      <w:r>
        <w:rPr>
          <w:rFonts w:ascii="Arial" w:hAnsi="Arial" w:eastAsia="Arial"/>
          <w:b/>
          <w:color w:val="1F2937"/>
          <w:sz w:val="20"/>
        </w:rPr>
        <w:t>Which documentation is MOST appropriate for the final telehealth section?</w:t>
      </w:r>
    </w:p>
    <w:p>
      <w:pPr>
        <w:spacing w:after="40" w:line="247" w:lineRule="auto"/>
        <w:ind w:left="230" w:hanging="230"/>
        <w:keepNext/>
      </w:pPr>
      <w:r>
        <w:rPr>
          <w:rFonts w:ascii="Arial" w:hAnsi="Arial" w:eastAsia="Arial"/>
          <w:sz w:val="20"/>
        </w:rPr>
        <w:t>A. Dalia was noncompliant, unstable, and probably experiencing a neurological event.</w:t>
      </w:r>
    </w:p>
    <w:p>
      <w:pPr>
        <w:spacing w:after="40" w:line="247" w:lineRule="auto"/>
        <w:ind w:left="230" w:hanging="230"/>
        <w:keepNext/>
      </w:pPr>
      <w:r>
        <w:rPr>
          <w:rFonts w:ascii="Arial" w:hAnsi="Arial" w:eastAsia="Arial"/>
          <w:sz w:val="20"/>
        </w:rPr>
        <w:t>B. The counselor diagnosed a head injury based on video observation.</w:t>
      </w:r>
    </w:p>
    <w:p>
      <w:pPr>
        <w:spacing w:after="40" w:line="247" w:lineRule="auto"/>
        <w:ind w:left="230" w:hanging="230"/>
        <w:keepNext/>
      </w:pPr>
      <w:r>
        <w:rPr>
          <w:rFonts w:ascii="Arial" w:hAnsi="Arial" w:eastAsia="Arial"/>
          <w:sz w:val="20"/>
        </w:rPr>
        <w:t>C. The session was unsuccessful because Dalia chose an inappropriate location.</w:t>
      </w:r>
    </w:p>
    <w:p>
      <w:pPr>
        <w:spacing w:after="40" w:line="247" w:lineRule="auto"/>
        <w:ind w:left="230" w:hanging="230"/>
        <w:keepNext/>
      </w:pPr>
      <w:r>
        <w:rPr>
          <w:rFonts w:ascii="Arial" w:hAnsi="Arial" w:eastAsia="Arial"/>
          <w:sz w:val="20"/>
        </w:rPr>
        <w:t>D. Document the verified location, privacy and connection limitations, Dalia’s reported headache and fall, directly observed slurred speech and loss of track, emergency actions taken, consultations or contacts, and the disposition without claiming a diagnosis outside the available evidence.</w:t>
      </w:r>
    </w:p>
    <w:p>
      <w:pPr>
        <w:spacing w:after="60"/>
      </w:pPr>
      <w:r>
        <w:rPr>
          <w:rFonts w:ascii="Arial" w:hAnsi="Arial" w:eastAsia="Arial"/>
          <w:i/>
          <w:color w:val="4E5B6B"/>
          <w:sz w:val="18"/>
        </w:rPr>
        <w:t>My answer: ______    Confidence: 1  2  3</w:t>
      </w:r>
    </w:p>
    <w:p>
      <w:pPr>
        <w:spacing w:before="100" w:after="40"/>
        <w:keepNext/>
      </w:pPr>
      <w:r>
        <w:rPr>
          <w:rFonts w:ascii="Arial" w:hAnsi="Arial" w:eastAsia="Arial"/>
          <w:b/>
          <w:color w:val="1F7A8C"/>
          <w:sz w:val="17"/>
        </w:rPr>
        <w:t>LPCC-WB03-PB-Q017 | Knowledge &amp; Application | Easy | Primary concept: Post-emergency continuity</w:t>
      </w:r>
    </w:p>
    <w:p>
      <w:pPr>
        <w:spacing w:after="60" w:line="250" w:lineRule="auto"/>
        <w:keepNext/>
      </w:pPr>
      <w:r>
        <w:rPr>
          <w:rFonts w:ascii="Arial" w:hAnsi="Arial" w:eastAsia="Arial"/>
          <w:b/>
          <w:color w:val="1F2937"/>
          <w:sz w:val="20"/>
        </w:rPr>
        <w:t>After emergency evaluation is arranged, which follow-up principle is MOST appropriate?</w:t>
      </w:r>
    </w:p>
    <w:p>
      <w:pPr>
        <w:spacing w:after="40" w:line="247" w:lineRule="auto"/>
        <w:ind w:left="230" w:hanging="230"/>
        <w:keepNext/>
      </w:pPr>
      <w:r>
        <w:rPr>
          <w:rFonts w:ascii="Arial" w:hAnsi="Arial" w:eastAsia="Arial"/>
          <w:sz w:val="20"/>
        </w:rPr>
        <w:t>A. Assume the emergency department will manage all future counseling needs.</w:t>
      </w:r>
    </w:p>
    <w:p>
      <w:pPr>
        <w:spacing w:after="40" w:line="247" w:lineRule="auto"/>
        <w:ind w:left="230" w:hanging="230"/>
        <w:keepNext/>
      </w:pPr>
      <w:r>
        <w:rPr>
          <w:rFonts w:ascii="Arial" w:hAnsi="Arial" w:eastAsia="Arial"/>
          <w:sz w:val="20"/>
        </w:rPr>
        <w:t>B. Document the transition, obtain information and coordinate within authorization or lawful authority, reassess counseling needs and modality after medical stabilization, and update the plan based on new information.</w:t>
      </w:r>
    </w:p>
    <w:p>
      <w:pPr>
        <w:spacing w:after="40" w:line="247" w:lineRule="auto"/>
        <w:ind w:left="230" w:hanging="230"/>
        <w:keepNext/>
      </w:pPr>
      <w:r>
        <w:rPr>
          <w:rFonts w:ascii="Arial" w:hAnsi="Arial" w:eastAsia="Arial"/>
          <w:sz w:val="20"/>
        </w:rPr>
        <w:t>C. Resume the previous assessment unchanged at the next appointment because later medical findings should not affect the formulation.</w:t>
      </w:r>
    </w:p>
    <w:p>
      <w:pPr>
        <w:spacing w:after="40" w:line="247" w:lineRule="auto"/>
        <w:ind w:left="230" w:hanging="230"/>
        <w:keepNext/>
      </w:pPr>
      <w:r>
        <w:rPr>
          <w:rFonts w:ascii="Arial" w:hAnsi="Arial" w:eastAsia="Arial"/>
          <w:sz w:val="20"/>
        </w:rPr>
        <w:t>D. Close the case automatically because a medical emergency occurred during telehealth.</w:t>
      </w:r>
    </w:p>
    <w:p>
      <w:pPr>
        <w:spacing w:after="60"/>
      </w:pPr>
      <w:r>
        <w:rPr>
          <w:rFonts w:ascii="Arial" w:hAnsi="Arial" w:eastAsia="Arial"/>
          <w:i/>
          <w:color w:val="4E5B6B"/>
          <w:sz w:val="18"/>
        </w:rPr>
        <w:t>My answer: ______    Confidence: 1  2  3</w:t>
      </w:r>
    </w:p>
    <w:p>
      <w:pPr>
        <w:pStyle w:val="Heading2"/>
        <w:spacing w:before="140" w:after="80"/>
        <w:keepNext/>
      </w:pPr>
      <w:r>
        <w:rPr>
          <w:rFonts w:ascii="Arial" w:hAnsi="Arial" w:eastAsia="Arial"/>
          <w:b/>
          <w:color w:val="159C9C"/>
          <w:sz w:val="26"/>
        </w:rPr>
        <w:t>Post-Bank Reflection - Complete Before Scoring</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53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Reflection Prompt</w:t>
            </w:r>
          </w:p>
        </w:tc>
        <w:tc>
          <w:tcPr>
            <w:tcW w:type="dxa" w:w="597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Candidate Notes</w:t>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Where did a signed form tempt you to skip an informed-consent conversation?</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item required you to separate observation, report, measure, collateral, and inference?</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Where did cultural meaning need to be explored without replacing medical or diagnostic assessment?</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option used a screening score as if it were a diagnosis?</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telehealth condition changed what the counselor could safely do?</w:t>
            </w:r>
          </w:p>
        </w:tc>
        <w:tc>
          <w:tcPr>
            <w:tcW w:type="dxa" w:w="597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453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assessment rule will you transfer to a new case?</w:t>
            </w:r>
          </w:p>
        </w:tc>
        <w:tc>
          <w:tcPr>
            <w:tcW w:type="dxa" w:w="597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NEXT STEP</w:t>
            </w:r>
          </w:p>
          <w:p>
            <w:pPr>
              <w:spacing w:after="20" w:line="250" w:lineRule="auto"/>
            </w:pPr>
            <w:r>
              <w:rPr>
                <w:rFonts w:ascii="Arial" w:hAnsi="Arial" w:eastAsia="Arial"/>
                <w:color w:val="1F2937"/>
                <w:sz w:val="20"/>
              </w:rPr>
              <w:t>Open the separate Answer &amp; Rationales form. Review every option, code both incorrect and low-confidence correct responses, and write a transferable correction rule.</w:t>
            </w:r>
          </w:p>
        </w:tc>
      </w:tr>
    </w:tbl>
    <w:p>
      <w:pPr>
        <w:spacing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6"/>
      </w:rPr>
      <w:t xml:space="preserve">Clinical Training Academy - LPCC WB3 Practice Bank Candidate Question Form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WB3 - 17-Question Practice Bank - Candidate Question Form</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3 17-Question Practice Bank - Candidate Question Form</dc:title>
  <dc:subject>Intake, informed consent, clinical interviewing, mental status examination, and biopsychosocial-cultural assessment</dc:subject>
  <dc:creator>Clinical Training and Supervision Academy</dc:creator>
  <cp:keywords>LPCC, APCC, NCMHCE, intake, informed consent, clinical interview, MSE, assessment, telehealth, practice bank</cp:keywords>
  <dc:description>generated by python-docx</dc:description>
  <cp:lastModifiedBy/>
  <cp:revision>1</cp:revision>
  <dcterms:created xsi:type="dcterms:W3CDTF">2013-12-23T23:15:00Z</dcterms:created>
  <dcterms:modified xsi:type="dcterms:W3CDTF">2013-12-23T23:15:00Z</dcterms:modified>
  <cp:category/>
</cp:coreProperties>
</file>