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2148840" cy="1553281"/>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553281"/>
                    </a:xfrm>
                    <a:prstGeom prst="rect"/>
                  </pic:spPr>
                </pic:pic>
              </a:graphicData>
            </a:graphic>
          </wp:inline>
        </w:drawing>
      </w:r>
    </w:p>
    <w:p>
      <w:pPr>
        <w:spacing w:before="0" w:after="100"/>
        <w:jc w:val="center"/>
      </w:pPr>
      <w:r>
        <w:rPr>
          <w:rFonts w:ascii="Arial" w:hAnsi="Arial" w:eastAsia="Arial"/>
          <w:b/>
          <w:color w:val="15768A"/>
          <w:sz w:val="22"/>
        </w:rPr>
        <w:t>LPCC NCMHCE EXAM PREPARATION PROGRAM</w:t>
      </w:r>
    </w:p>
    <w:p>
      <w:pPr>
        <w:spacing w:before="0" w:after="160"/>
        <w:jc w:val="center"/>
      </w:pPr>
      <w:r>
        <w:rPr>
          <w:rFonts w:ascii="Arial" w:hAnsi="Arial" w:eastAsia="Arial"/>
          <w:b/>
          <w:color w:val="C58B20"/>
          <w:sz w:val="30"/>
        </w:rPr>
        <w:t>Answer &amp; Rationales</w:t>
      </w:r>
    </w:p>
    <w:p>
      <w:pPr>
        <w:spacing w:before="0" w:after="40"/>
        <w:jc w:val="center"/>
      </w:pPr>
      <w:r>
        <w:rPr>
          <w:rFonts w:ascii="Arial" w:hAnsi="Arial" w:eastAsia="Arial"/>
          <w:b/>
          <w:color w:val="17365D"/>
          <w:sz w:val="38"/>
        </w:rPr>
        <w:t>Workbook 6: 17-Question Practice Bank</w:t>
      </w:r>
    </w:p>
    <w:tbl>
      <w:tblPr>
        <w:tblW w:type="auto" w:w="0"/>
        <w:jc w:val="center"/>
        <w:tblLayout w:type="fixed"/>
        <w:tblLook w:firstColumn="1" w:firstRow="1" w:lastColumn="0" w:lastRow="0" w:noHBand="0" w:noVBand="1" w:val="04A0"/>
      </w:tblPr>
      <w:tblGrid>
        <w:gridCol w:w="10310"/>
      </w:tblGrid>
      <w:tr>
        <w:tc>
          <w:tcPr>
            <w:tcW w:type="dxa" w:w="10080"/>
            <w:shd w:fill="159C9C"/>
            <w:tcMar>
              <w:top w:w="8" w:type="dxa"/>
              <w:start w:w="0" w:type="dxa"/>
              <w:bottom w:w="8" w:type="dxa"/>
              <w:end w:w="0" w:type="dxa"/>
            </w:tcMar>
            <w:tcBorders>
              <w:top w:val="single" w:sz="1" w:color="159C9C"/>
              <w:left w:val="single" w:sz="1" w:color="159C9C"/>
              <w:bottom w:val="single" w:sz="1" w:color="159C9C"/>
              <w:right w:val="single" w:sz="1" w:color="159C9C"/>
            </w:tcBorders>
          </w:tcPr>
          <w:p/>
        </w:tc>
      </w:tr>
    </w:tbl>
    <w:p>
      <w:pPr>
        <w:spacing w:before="0" w:after="40"/>
        <w:jc w:val="center"/>
      </w:pPr>
      <w:r>
        <w:rPr>
          <w:rFonts w:ascii="Arial" w:hAnsi="Arial" w:eastAsia="Arial"/>
          <w:b/>
          <w:color w:val="17365D"/>
          <w:sz w:val="23"/>
        </w:rPr>
        <w:t>Diagnosis and Differential Diagnosis II</w:t>
      </w:r>
    </w:p>
    <w:p>
      <w:pPr>
        <w:spacing w:before="0" w:after="120"/>
        <w:jc w:val="center"/>
      </w:pPr>
      <w:r>
        <w:rPr>
          <w:rFonts w:ascii="Arial" w:hAnsi="Arial" w:eastAsia="Arial"/>
          <w:b/>
          <w:color w:val="159C9C"/>
          <w:sz w:val="20"/>
        </w:rPr>
        <w:t>Substance Use, Personality, Neurodevelopmental, Eating, Sleep, Somatic, Medical, and Co-Occurring Conditions</w:t>
      </w:r>
    </w:p>
    <w:p>
      <w:pPr>
        <w:spacing w:before="0" w:after="160"/>
        <w:jc w:val="center"/>
      </w:pPr>
      <w:r>
        <w:rPr>
          <w:rFonts w:ascii="Arial" w:hAnsi="Arial" w:eastAsia="Arial"/>
          <w:i/>
          <w:color w:val="4B5563"/>
          <w:sz w:val="19"/>
        </w:rPr>
        <w:t>Controlled review form - open only after completing the candidate form</w:t>
      </w:r>
    </w:p>
    <w:p>
      <w:pPr>
        <w:spacing w:before="0" w:after="16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ORIGINAL CTA PRACTICE MATERIAL</w:t>
            </w:r>
          </w:p>
          <w:p>
            <w:pPr>
              <w:spacing w:after="0"/>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rPr>
        <w:t>How to Use the Rationales</w:t>
      </w:r>
    </w:p>
    <w:p>
      <w:pPr>
        <w:pStyle w:val="ListBullet"/>
        <w:keepLines/>
        <w:spacing w:after="24"/>
      </w:pPr>
      <w:r>
        <w:rPr>
          <w:rFonts w:ascii="Arial" w:hAnsi="Arial" w:eastAsia="Arial"/>
          <w:color w:val="1F2937"/>
          <w:sz w:val="17"/>
        </w:rPr>
        <w:t>Score the bank, but do not stop at the total. Mark every incorrect response and every correct response with confidence 1.</w:t>
      </w:r>
    </w:p>
    <w:p>
      <w:pPr>
        <w:pStyle w:val="ListBullet"/>
        <w:keepLines/>
        <w:spacing w:after="24"/>
      </w:pPr>
      <w:r>
        <w:rPr>
          <w:rFonts w:ascii="Arial" w:hAnsi="Arial" w:eastAsia="Arial"/>
          <w:color w:val="1F2937"/>
          <w:sz w:val="17"/>
        </w:rPr>
        <w:t>For each item, identify which Workbook 6 tool controlled the answer: CLEAR, PATTERN, DEVELOP, BODY-SYSTEMS, or INTEGRATE.</w:t>
      </w:r>
    </w:p>
    <w:p>
      <w:pPr>
        <w:pStyle w:val="ListBullet"/>
        <w:keepLines/>
        <w:spacing w:after="24"/>
      </w:pPr>
      <w:r>
        <w:rPr>
          <w:rFonts w:ascii="Arial" w:hAnsi="Arial" w:eastAsia="Arial"/>
          <w:color w:val="1F2937"/>
          <w:sz w:val="17"/>
        </w:rPr>
        <w:t>Explain why each distractor is weaker, especially when it diagnoses from one test, ignores withdrawal or medication timing, mistakes state for trait, overlooks developmental onset, exceeds California LPCC scope, or fragments co-occurring care.</w:t>
      </w:r>
    </w:p>
    <w:p>
      <w:pPr>
        <w:pStyle w:val="ListBullet"/>
        <w:keepLines/>
        <w:spacing w:after="24"/>
      </w:pPr>
      <w:r>
        <w:rPr>
          <w:rFonts w:ascii="Arial" w:hAnsi="Arial" w:eastAsia="Arial"/>
          <w:color w:val="1F2937"/>
          <w:sz w:val="17"/>
        </w:rPr>
        <w:t>Apply the listed CTA error code or select another Workbook 6 code that better describes your reasoning.</w:t>
      </w:r>
    </w:p>
    <w:p>
      <w:pPr>
        <w:pStyle w:val="ListBullet"/>
        <w:keepLines/>
        <w:spacing w:after="24"/>
      </w:pPr>
      <w:r>
        <w:rPr>
          <w:rFonts w:ascii="Arial" w:hAnsi="Arial" w:eastAsia="Arial"/>
          <w:color w:val="1F2937"/>
          <w:sz w:val="17"/>
        </w:rPr>
        <w:t>Write one transferable correction rule and complete a new application item after targeted review.</w:t>
      </w:r>
    </w:p>
    <w:p>
      <w:pPr>
        <w:pStyle w:val="ListBullet"/>
        <w:keepLines/>
        <w:spacing w:after="24"/>
      </w:pPr>
      <w:r>
        <w:rPr>
          <w:rFonts w:ascii="Arial" w:hAnsi="Arial" w:eastAsia="Arial"/>
          <w:color w:val="1F2937"/>
          <w:sz w:val="17"/>
        </w:rPr>
        <w:t>Do not treat this bank score as an official NCMHCE passing score or guarantee.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DIFFICULTY CONTROL</w:t>
            </w:r>
          </w:p>
          <w:p>
            <w:pPr>
              <w:spacing w:after="0"/>
            </w:pPr>
            <w:r>
              <w:rPr>
                <w:rFonts w:ascii="Arial" w:hAnsi="Arial" w:eastAsia="Arial"/>
                <w:color w:val="1F2937"/>
                <w:sz w:val="16"/>
              </w:rPr>
              <w:t>5 Easy, 7 Moderate, and 5 Difficult items. The bank contains five targeted questions and one three-part, 12-question case.</w:t>
            </w:r>
          </w:p>
        </w:tc>
      </w:tr>
    </w:tbl>
    <w:p>
      <w:pPr>
        <w:spacing w:before="0" w:after="0"/>
      </w:pPr>
    </w:p>
    <w:p>
      <w:pPr>
        <w:pStyle w:val="Heading2"/>
        <w:spacing w:before="0" w:after="80"/>
      </w:pPr>
      <w:r>
        <w:rPr>
          <w:rFonts w:ascii="Arial" w:hAnsi="Arial" w:eastAsia="Arial"/>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64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Key</w:t>
            </w:r>
          </w:p>
        </w:tc>
        <w:tc>
          <w:tcPr>
            <w:tcW w:type="dxa" w:w="129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Difficulty</w:t>
            </w:r>
          </w:p>
        </w:tc>
        <w:tc>
          <w:tcPr>
            <w:tcW w:type="dxa" w:w="410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Primary Concept</w:t>
            </w:r>
          </w:p>
        </w:tc>
        <w:tc>
          <w:tcPr>
            <w:tcW w:type="dxa" w:w="31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Primary Error Code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Toxicology versus substance use diagnosis</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E - Evidence hierarchy</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Sedative withdrawal danger</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W - Withdrawal danger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Medication effect versus anxiety</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 - Medication differential</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Adult ADHD evidence threshold</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 - Developmental evidence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Somatic symptom reasoning without dismissal</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 - Body-systems reasoning</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Immediate withdrawal and interaction risk</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W - Withdrawal danger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Substance-induced anxiety timeline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 - Timeline error</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8</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Primary versus substance-induced differential</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 - Timeline error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9</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No-wrong-door co-occurring care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 - Integration failure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10</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Developmental ADHD evidence</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 - Developmental evidence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Adult autism differential and referral</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 - Developmental evidence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California LPCC assessment limits</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 - Scope and referral</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Co-occurring neurodevelopmental formulation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 - False either/or</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Eating-disorder medical urgency</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 - Body-systems urgency</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Personality pattern versus trauma-related state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 - Pattern-versus-state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Medication self-adjustment and care coordination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 - Medication coordination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Integrated diagnostic and referral plan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 - Integration failure</w:t>
            </w:r>
          </w:p>
        </w:tc>
      </w:tr>
    </w:tbl>
    <w:p>
      <w:pPr>
        <w:spacing w:before="0" w:after="0"/>
      </w:pPr>
    </w:p>
    <w:p>
      <w:pPr>
        <w:pStyle w:val="Heading2"/>
        <w:spacing w:before="0" w:after="80"/>
      </w:pPr>
      <w:r>
        <w:rPr>
          <w:rFonts w:ascii="Arial" w:hAnsi="Arial" w:eastAsia="Arial"/>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0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Section</w:t>
            </w:r>
          </w:p>
        </w:tc>
        <w:tc>
          <w:tcPr>
            <w:tcW w:type="dxa" w:w="468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Decision-Relevant Evidence</w:t>
            </w:r>
          </w:p>
        </w:tc>
        <w:tc>
          <w:tcPr>
            <w:tcW w:type="dxa" w:w="352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What Is Not Yet Established</w:t>
            </w:r>
          </w:p>
        </w:tc>
      </w:tr>
      <w:tr>
        <w:tc>
          <w:tcPr>
            <w:tcW w:type="dxa" w:w="18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1 - Substance timeline</w:t>
            </w:r>
          </w:p>
        </w:tc>
        <w:tc>
          <w:tcPr>
            <w:tcW w:type="dxa" w:w="468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Daily alcohol and nonprescribed clonazepam, morning autonomic symptoms relieved by use, prior withdrawal seizure, planned abrupt cessation, occasional cocaine use, visible tremor.</w:t>
            </w:r>
          </w:p>
        </w:tc>
        <w:tc>
          <w:tcPr>
            <w:tcW w:type="dxa" w:w="352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Independent primary anxiety; developmental conditions; eating risk; personality pattern; medication self-adjustment.</w:t>
            </w:r>
          </w:p>
        </w:tc>
      </w:tr>
      <w:tr>
        <w:tc>
          <w:tcPr>
            <w:tcW w:type="dxa" w:w="18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2 - Developmental patterns</w:t>
            </w:r>
          </w:p>
        </w:tc>
        <w:tc>
          <w:tcPr>
            <w:tcW w:type="dxa" w:w="468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Eight weeks stable and abstinent; childhood-onset cross-setting attention/organization problems; collateral and school records; lifelong sensory, social-communication, restricted-interest, and masking pattern; accommodation-testing request.</w:t>
            </w:r>
          </w:p>
        </w:tc>
        <w:tc>
          <w:tcPr>
            <w:tcW w:type="dxa" w:w="352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Final ADHD or autism diagnosis; formal intelligence or neuropsychological findings; later eating, relationship, or medication facts.</w:t>
            </w:r>
          </w:p>
        </w:tc>
      </w:tr>
      <w:tr>
        <w:tc>
          <w:tcPr>
            <w:tcW w:type="dxa" w:w="18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3 - Integrated risk and care</w:t>
            </w:r>
          </w:p>
        </w:tc>
        <w:tc>
          <w:tcPr>
            <w:tcW w:type="dxa" w:w="468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Purging with palpitations and syncope; coercive relationship with recent context-bound instability; unauthorized stimulant dose increase; ongoing recovery; need for coordinated medical, specialty, developmental, and safety care.</w:t>
            </w:r>
          </w:p>
        </w:tc>
        <w:tc>
          <w:tcPr>
            <w:tcW w:type="dxa" w:w="352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Final medical findings; final personality conclusion; exact specialty-test results; long-term treatment response.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EVIDENCE-CONTROL REMINDER</w:t>
            </w:r>
          </w:p>
          <w:p>
            <w:pPr>
              <w:spacing w:after="0"/>
            </w:pPr>
            <w:r>
              <w:rPr>
                <w:rFonts w:ascii="Arial" w:hAnsi="Arial" w:eastAsia="Arial"/>
                <w:color w:val="1F2937"/>
                <w:sz w:val="16"/>
              </w:rPr>
              <w:t>Later facts can guide later questions, but they cannot retroactively become evidence for an earlier case section.</w:t>
            </w:r>
          </w:p>
        </w:tc>
      </w:tr>
    </w:tbl>
    <w:p>
      <w:pPr>
        <w:spacing w:before="0" w:after="0"/>
      </w:pPr>
    </w:p>
    <w:p>
      <w:r>
        <w:br w:type="page"/>
      </w:r>
    </w:p>
    <w:p>
      <w:pPr>
        <w:pStyle w:val="Heading2"/>
        <w:keepNext/>
        <w:spacing w:before="0" w:after="80"/>
      </w:pPr>
      <w:r>
        <w:rPr>
          <w:rFonts w:ascii="Arial" w:hAnsi="Arial" w:eastAsia="Arial"/>
        </w:rPr>
        <w:t>Question 1 (LPCC-WB06-PB-Q001)</w:t>
      </w:r>
    </w:p>
    <w:p>
      <w:pPr>
        <w:keepNext/>
        <w:spacing w:before="0" w:after="60"/>
      </w:pPr>
      <w:r>
        <w:rPr>
          <w:rFonts w:ascii="Arial" w:hAnsi="Arial" w:eastAsia="Arial"/>
          <w:b/>
          <w:color w:val="15768A"/>
          <w:sz w:val="16"/>
        </w:rPr>
        <w:t>LPCC-WB06-PB-Q001 | Knowledge &amp; Application | Easy | Primary concept: Toxicology versus substance use diagnosis</w:t>
      </w:r>
    </w:p>
    <w:p>
      <w:pPr>
        <w:keepNext/>
        <w:keepLines/>
        <w:spacing w:before="0" w:after="60"/>
      </w:pPr>
      <w:r>
        <w:rPr>
          <w:rFonts w:ascii="Arial" w:hAnsi="Arial" w:eastAsia="Arial"/>
          <w:b/>
          <w:color w:val="1F2937"/>
          <w:sz w:val="18"/>
        </w:rPr>
        <w:t>A client has a positive urine test for cannabis but reports no current impairment, failed responsibilities, hazardous use, loss of control, or persistent consequences. What is the counselor's BEST conclusion?</w:t>
      </w:r>
    </w:p>
    <w:p>
      <w:pPr>
        <w:keepLines/>
        <w:spacing w:before="0" w:after="24"/>
      </w:pPr>
      <w:r>
        <w:rPr>
          <w:rFonts w:ascii="Arial" w:hAnsi="Arial" w:eastAsia="Arial"/>
          <w:color w:val="1F2937"/>
          <w:sz w:val="17"/>
        </w:rPr>
        <w:t>A. The test documents recent exposure but does not by itself establish a substance use disorder or its severity; assess the full pattern and functional impact.</w:t>
      </w:r>
    </w:p>
    <w:p>
      <w:pPr>
        <w:keepLines/>
        <w:spacing w:before="0" w:after="24"/>
      </w:pPr>
      <w:r>
        <w:rPr>
          <w:rFonts w:ascii="Arial" w:hAnsi="Arial" w:eastAsia="Arial"/>
          <w:color w:val="1F2937"/>
          <w:sz w:val="17"/>
        </w:rPr>
        <w:t>B. The positive test confirms cannabis use disorder because biological evidence is more accurate than an interview.</w:t>
      </w:r>
    </w:p>
    <w:p>
      <w:pPr>
        <w:keepLines/>
        <w:spacing w:before="0" w:after="24"/>
      </w:pPr>
      <w:r>
        <w:rPr>
          <w:rFonts w:ascii="Arial" w:hAnsi="Arial" w:eastAsia="Arial"/>
          <w:color w:val="1F2937"/>
          <w:sz w:val="17"/>
        </w:rPr>
        <w:t>C. The counselor should diagnose intoxication even though no current intoxication signs are described.</w:t>
      </w:r>
    </w:p>
    <w:p>
      <w:pPr>
        <w:keepLines/>
        <w:spacing w:before="0" w:after="24"/>
      </w:pPr>
      <w:r>
        <w:rPr>
          <w:rFonts w:ascii="Arial" w:hAnsi="Arial" w:eastAsia="Arial"/>
          <w:color w:val="1F2937"/>
          <w:sz w:val="17"/>
        </w:rPr>
        <w:t>D. No further assessment is needed because the client denies problems.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The test documents recent exposure but does not by itself establish a substance use disorder or its severity; assess the full pattern and functional impact.</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Toxicology can support exposure history, but diagnosis requires the clinically significant pattern, impairment, consequences, and exclusions supported by the full assessment.</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A biological result does not independently establish the diagnostic pattern or severity.</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Exposure and intoxication are different questions; no current intoxication syndrome is established.</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Denial of impairment does not eliminate the need for a respectful pattern, context, and consequence assessment.</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Treat laboratory data as one evidence source. Ask what the result proves, what it does not prove, and what additional pattern evidence is required.</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E - Evidence hierarchy. Do not let one test result replace the broader clinical pattern and functional assessment.</w:t>
            </w:r>
          </w:p>
        </w:tc>
      </w:tr>
    </w:tbl>
    <w:p>
      <w:pPr>
        <w:spacing w:before="0" w:after="0"/>
      </w:pPr>
    </w:p>
    <w:p>
      <w:r>
        <w:br w:type="page"/>
      </w:r>
    </w:p>
    <w:p>
      <w:pPr>
        <w:pStyle w:val="Heading2"/>
        <w:keepNext/>
        <w:spacing w:before="0" w:after="80"/>
      </w:pPr>
      <w:r>
        <w:rPr>
          <w:rFonts w:ascii="Arial" w:hAnsi="Arial" w:eastAsia="Arial"/>
        </w:rPr>
        <w:t>Question 2 (LPCC-WB06-PB-Q002)</w:t>
      </w:r>
    </w:p>
    <w:p>
      <w:pPr>
        <w:keepNext/>
        <w:spacing w:before="0" w:after="60"/>
      </w:pPr>
      <w:r>
        <w:rPr>
          <w:rFonts w:ascii="Arial" w:hAnsi="Arial" w:eastAsia="Arial"/>
          <w:b/>
          <w:color w:val="15768A"/>
          <w:sz w:val="16"/>
        </w:rPr>
        <w:t>LPCC-WB06-PB-Q002 | Integrated Clinical Reasoning | Moderate | Primary concept: Sedative withdrawal danger</w:t>
      </w:r>
    </w:p>
    <w:p>
      <w:pPr>
        <w:keepNext/>
        <w:keepLines/>
        <w:spacing w:before="0" w:after="60"/>
      </w:pPr>
      <w:r>
        <w:rPr>
          <w:rFonts w:ascii="Arial" w:hAnsi="Arial" w:eastAsia="Arial"/>
          <w:b/>
          <w:color w:val="1F2937"/>
          <w:sz w:val="18"/>
        </w:rPr>
        <w:t>A client reports taking large daily doses of alprazolam obtained online, combining it with alcohol, and having a seizure during a previous attempt to stop. The client plans to quit both substances tonight. What should the counselor do FIRST?</w:t>
      </w:r>
    </w:p>
    <w:p>
      <w:pPr>
        <w:keepLines/>
        <w:spacing w:before="0" w:after="24"/>
      </w:pPr>
      <w:r>
        <w:rPr>
          <w:rFonts w:ascii="Arial" w:hAnsi="Arial" w:eastAsia="Arial"/>
          <w:color w:val="1F2937"/>
          <w:sz w:val="17"/>
        </w:rPr>
        <w:t>A. Help the client design an independent taper and schedule a counseling visit next week.</w:t>
      </w:r>
    </w:p>
    <w:p>
      <w:pPr>
        <w:keepLines/>
        <w:spacing w:before="0" w:after="24"/>
      </w:pPr>
      <w:r>
        <w:rPr>
          <w:rFonts w:ascii="Arial" w:hAnsi="Arial" w:eastAsia="Arial"/>
          <w:color w:val="1F2937"/>
          <w:sz w:val="17"/>
        </w:rPr>
        <w:t>B. Begin exposure exercises for the anxiety expected during withdrawal.</w:t>
      </w:r>
    </w:p>
    <w:p>
      <w:pPr>
        <w:keepLines/>
        <w:spacing w:before="0" w:after="24"/>
      </w:pPr>
      <w:r>
        <w:rPr>
          <w:rFonts w:ascii="Arial" w:hAnsi="Arial" w:eastAsia="Arial"/>
          <w:color w:val="1F2937"/>
          <w:sz w:val="17"/>
        </w:rPr>
        <w:t>C. Ask the client to stop for 24 hours so the counselor can observe whether symptoms develop.</w:t>
      </w:r>
    </w:p>
    <w:p>
      <w:pPr>
        <w:keepLines/>
        <w:spacing w:before="0" w:after="24"/>
      </w:pPr>
      <w:r>
        <w:rPr>
          <w:rFonts w:ascii="Arial" w:hAnsi="Arial" w:eastAsia="Arial"/>
          <w:color w:val="1F2937"/>
          <w:sz w:val="17"/>
        </w:rPr>
        <w:t>D. Arrange urgent medical or addiction evaluation for supervised withdrawal and communicate the seizure history, current amounts, combined use, and planned abrupt cessation.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Arrange urgent medical or addiction evaluation for supervised withdrawal and communicate the seizure history, current amounts, combined use, and planned abrupt cessation.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Directing an unsupervised taper is unsafe and exceeds routine counseling when severe sedative and alcohol withdrawal risk is present.</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Psychotherapy does not address the immediate seizure and withdrawal danger.</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Deliberately provoking unmonitored withdrawal could be dangerous.</w:t>
      </w:r>
    </w:p>
    <w:p>
      <w:pPr>
        <w:keepLines/>
        <w:spacing w:before="0" w:after="28"/>
      </w:pPr>
      <w:r>
        <w:rPr>
          <w:rFonts w:ascii="Arial" w:hAnsi="Arial" w:eastAsia="Arial"/>
          <w:b/>
          <w:color w:val="159C9C"/>
          <w:sz w:val="17"/>
        </w:rPr>
        <w:t xml:space="preserve">D. Correct. </w:t>
      </w:r>
      <w:r>
        <w:rPr>
          <w:rFonts w:ascii="Arial" w:hAnsi="Arial" w:eastAsia="Arial"/>
          <w:color w:val="1F2937"/>
          <w:sz w:val="17"/>
        </w:rPr>
        <w:t>Prior withdrawal seizure, high-dose sedative use, alcohol combination, and abrupt cessation plans require urgent medically supervised evaluation.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withdrawal can be life-threatening, medical stabilization comes before motivational work, diagnosis refinement, or routine psychotherapy.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W - Withdrawal danger. Prior seizure, heavy sedative or alcohol use, and abrupt cessation are escalation cues.</w:t>
            </w:r>
          </w:p>
        </w:tc>
      </w:tr>
    </w:tbl>
    <w:p>
      <w:pPr>
        <w:spacing w:before="0" w:after="0"/>
      </w:pPr>
    </w:p>
    <w:p>
      <w:r>
        <w:br w:type="page"/>
      </w:r>
    </w:p>
    <w:p>
      <w:pPr>
        <w:pStyle w:val="Heading2"/>
        <w:keepNext/>
        <w:spacing w:before="0" w:after="80"/>
      </w:pPr>
      <w:r>
        <w:rPr>
          <w:rFonts w:ascii="Arial" w:hAnsi="Arial" w:eastAsia="Arial"/>
        </w:rPr>
        <w:t>Question 3 (LPCC-WB06-PB-Q003)</w:t>
      </w:r>
    </w:p>
    <w:p>
      <w:pPr>
        <w:keepNext/>
        <w:spacing w:before="0" w:after="60"/>
      </w:pPr>
      <w:r>
        <w:rPr>
          <w:rFonts w:ascii="Arial" w:hAnsi="Arial" w:eastAsia="Arial"/>
          <w:b/>
          <w:color w:val="15768A"/>
          <w:sz w:val="16"/>
        </w:rPr>
        <w:t>LPCC-WB06-PB-Q003 | Knowledge &amp; Application | Easy | Primary concept: Medication effect versus anxiety</w:t>
      </w:r>
    </w:p>
    <w:p>
      <w:pPr>
        <w:keepNext/>
        <w:keepLines/>
        <w:spacing w:before="0" w:after="60"/>
      </w:pPr>
      <w:r>
        <w:rPr>
          <w:rFonts w:ascii="Arial" w:hAnsi="Arial" w:eastAsia="Arial"/>
          <w:b/>
          <w:color w:val="1F2937"/>
          <w:sz w:val="18"/>
        </w:rPr>
        <w:t>Two days after an antipsychotic dose increase, a client develops intense inner restlessness, constant pacing, and an inability to sit through session. The client calls it "anxiety." What is the counselor's BEST next step?</w:t>
      </w:r>
    </w:p>
    <w:p>
      <w:pPr>
        <w:keepLines/>
        <w:spacing w:before="0" w:after="24"/>
      </w:pPr>
      <w:r>
        <w:rPr>
          <w:rFonts w:ascii="Arial" w:hAnsi="Arial" w:eastAsia="Arial"/>
          <w:color w:val="1F2937"/>
          <w:sz w:val="17"/>
        </w:rPr>
        <w:t>A. Assume generalized anxiety disorder has worsened and begin relaxation training only.</w:t>
      </w:r>
    </w:p>
    <w:p>
      <w:pPr>
        <w:keepLines/>
        <w:spacing w:before="0" w:after="24"/>
      </w:pPr>
      <w:r>
        <w:rPr>
          <w:rFonts w:ascii="Arial" w:hAnsi="Arial" w:eastAsia="Arial"/>
          <w:color w:val="1F2937"/>
          <w:sz w:val="17"/>
        </w:rPr>
        <w:t>B. Assess the timing and quality of the restlessness as a possible medication effect and promptly coordinate with the prescriber while also evaluating safety.</w:t>
      </w:r>
    </w:p>
    <w:p>
      <w:pPr>
        <w:keepLines/>
        <w:spacing w:before="0" w:after="24"/>
      </w:pPr>
      <w:r>
        <w:rPr>
          <w:rFonts w:ascii="Arial" w:hAnsi="Arial" w:eastAsia="Arial"/>
          <w:color w:val="1F2937"/>
          <w:sz w:val="17"/>
        </w:rPr>
        <w:t>C. Tell the client to stop the medication immediately.</w:t>
      </w:r>
    </w:p>
    <w:p>
      <w:pPr>
        <w:keepLines/>
        <w:spacing w:before="0" w:after="24"/>
      </w:pPr>
      <w:r>
        <w:rPr>
          <w:rFonts w:ascii="Arial" w:hAnsi="Arial" w:eastAsia="Arial"/>
          <w:color w:val="1F2937"/>
          <w:sz w:val="17"/>
        </w:rPr>
        <w:t>D. Diagnose a new attention disorder because the client cannot remain seated.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Assess the timing and quality of the restlessness as a possible medication effect and promptly coordinate with the prescriber while also evaluating safety.</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abrupt onset after a dose change makes a medication-related differential important.</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The counselor should recognize the temporal signal, assess safety and severity, and coordinate medication evaluation without independently changing the prescription.</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counselor should not direct abrupt medication discontinuation unless acting within an authorized medical role.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Acute pacing after a medication change does not establish a developmental attention disorder.</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A symptom label from the client is not the differential. Match onset to medication changes and coordinate rather than prescribe.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M - Medication differential. Ask what changed immediately before the symptom and involve the qualified prescriber.</w:t>
            </w:r>
          </w:p>
        </w:tc>
      </w:tr>
    </w:tbl>
    <w:p>
      <w:pPr>
        <w:spacing w:before="0" w:after="0"/>
      </w:pPr>
    </w:p>
    <w:p>
      <w:r>
        <w:br w:type="page"/>
      </w:r>
    </w:p>
    <w:p>
      <w:pPr>
        <w:pStyle w:val="Heading2"/>
        <w:keepNext/>
        <w:spacing w:before="0" w:after="80"/>
      </w:pPr>
      <w:r>
        <w:rPr>
          <w:rFonts w:ascii="Arial" w:hAnsi="Arial" w:eastAsia="Arial"/>
        </w:rPr>
        <w:t>Question 4 (LPCC-WB06-PB-Q004)</w:t>
      </w:r>
    </w:p>
    <w:p>
      <w:pPr>
        <w:keepNext/>
        <w:spacing w:before="0" w:after="60"/>
      </w:pPr>
      <w:r>
        <w:rPr>
          <w:rFonts w:ascii="Arial" w:hAnsi="Arial" w:eastAsia="Arial"/>
          <w:b/>
          <w:color w:val="15768A"/>
          <w:sz w:val="16"/>
        </w:rPr>
        <w:t>LPCC-WB06-PB-Q004 | Integrated Clinical Reasoning | Difficult | Primary concept: Adult ADHD evidence threshold</w:t>
      </w:r>
    </w:p>
    <w:p>
      <w:pPr>
        <w:keepNext/>
        <w:keepLines/>
        <w:spacing w:before="0" w:after="60"/>
      </w:pPr>
      <w:r>
        <w:rPr>
          <w:rFonts w:ascii="Arial" w:hAnsi="Arial" w:eastAsia="Arial"/>
          <w:b/>
          <w:color w:val="1F2937"/>
          <w:sz w:val="18"/>
        </w:rPr>
        <w:t>An adult seeks an ADHD diagnosis after three months of distractibility while working rotating night shifts and using cannabis nightly. The client recalls no childhood impairment, and no collateral or school records are available. What is the MOST defensible diagnostic action?</w:t>
      </w:r>
    </w:p>
    <w:p>
      <w:pPr>
        <w:keepLines/>
        <w:spacing w:before="0" w:after="24"/>
      </w:pPr>
      <w:r>
        <w:rPr>
          <w:rFonts w:ascii="Arial" w:hAnsi="Arial" w:eastAsia="Arial"/>
          <w:color w:val="1F2937"/>
          <w:sz w:val="17"/>
        </w:rPr>
        <w:t>A. Diagnose ADHD because the symptoms interfere with work.</w:t>
      </w:r>
    </w:p>
    <w:p>
      <w:pPr>
        <w:keepLines/>
        <w:spacing w:before="0" w:after="24"/>
      </w:pPr>
      <w:r>
        <w:rPr>
          <w:rFonts w:ascii="Arial" w:hAnsi="Arial" w:eastAsia="Arial"/>
          <w:color w:val="1F2937"/>
          <w:sz w:val="17"/>
        </w:rPr>
        <w:t>B. Rule out ADHD permanently because the client cannot remember childhood symptoms.</w:t>
      </w:r>
    </w:p>
    <w:p>
      <w:pPr>
        <w:keepLines/>
        <w:spacing w:before="0" w:after="24"/>
      </w:pPr>
      <w:r>
        <w:rPr>
          <w:rFonts w:ascii="Arial" w:hAnsi="Arial" w:eastAsia="Arial"/>
          <w:color w:val="1F2937"/>
          <w:sz w:val="17"/>
        </w:rPr>
        <w:t>C. Assess sleep, substances, mood, anxiety, medical factors, and current demands; gather developmental and cross-setting evidence before deciding whether ADHD is supported.</w:t>
      </w:r>
    </w:p>
    <w:p>
      <w:pPr>
        <w:keepLines/>
        <w:spacing w:before="0" w:after="24"/>
      </w:pPr>
      <w:r>
        <w:rPr>
          <w:rFonts w:ascii="Arial" w:hAnsi="Arial" w:eastAsia="Arial"/>
          <w:color w:val="1F2937"/>
          <w:sz w:val="17"/>
        </w:rPr>
        <w:t>D. Use the client's response to stimulant medication as the diagnostic test.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Assess sleep, substances, mood, anxiety, medical factors, and current demands; gather developmental and cross-setting evidence before deciding whether ADHD is supported.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Current impairment alone does not establish developmental onset or rule out competing explanations.</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Limited recall is not proof of absence; collateral and records may clarify development.</w:t>
      </w:r>
    </w:p>
    <w:p>
      <w:pPr>
        <w:keepLines/>
        <w:spacing w:before="0" w:after="28"/>
      </w:pPr>
      <w:r>
        <w:rPr>
          <w:rFonts w:ascii="Arial" w:hAnsi="Arial" w:eastAsia="Arial"/>
          <w:b/>
          <w:color w:val="159C9C"/>
          <w:sz w:val="17"/>
        </w:rPr>
        <w:t xml:space="preserve">C. Correct. </w:t>
      </w:r>
      <w:r>
        <w:rPr>
          <w:rFonts w:ascii="Arial" w:hAnsi="Arial" w:eastAsia="Arial"/>
          <w:color w:val="1F2937"/>
          <w:sz w:val="17"/>
        </w:rPr>
        <w:t>ADHD reasoning requires developmental onset, cross-setting impairment, corroboration when available, and careful exclusion of sleep, substance, mood, medical, and environmental causes.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Medication response is nonspecific and is not a diagnostic test.</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For adult ADHD, look backward and sideways: childhood onset, multiple settings, corroboration, impairment, and rule-outs.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D - Developmental evidence. Do not convert current concentration problems into ADHD without a developmental pattern.</w:t>
            </w:r>
          </w:p>
        </w:tc>
      </w:tr>
    </w:tbl>
    <w:p>
      <w:pPr>
        <w:spacing w:before="0" w:after="0"/>
      </w:pPr>
    </w:p>
    <w:p>
      <w:r>
        <w:br w:type="page"/>
      </w:r>
    </w:p>
    <w:p>
      <w:pPr>
        <w:pStyle w:val="Heading2"/>
        <w:keepNext/>
        <w:spacing w:before="0" w:after="80"/>
      </w:pPr>
      <w:r>
        <w:rPr>
          <w:rFonts w:ascii="Arial" w:hAnsi="Arial" w:eastAsia="Arial"/>
        </w:rPr>
        <w:t>Question 5 (LPCC-WB06-PB-Q005)</w:t>
      </w:r>
    </w:p>
    <w:p>
      <w:pPr>
        <w:keepNext/>
        <w:spacing w:before="0" w:after="60"/>
      </w:pPr>
      <w:r>
        <w:rPr>
          <w:rFonts w:ascii="Arial" w:hAnsi="Arial" w:eastAsia="Arial"/>
          <w:b/>
          <w:color w:val="15768A"/>
          <w:sz w:val="16"/>
        </w:rPr>
        <w:t>LPCC-WB06-PB-Q005 | Application | Moderate | Primary concept: Somatic symptom reasoning without dismissal</w:t>
      </w:r>
    </w:p>
    <w:p>
      <w:pPr>
        <w:keepNext/>
        <w:keepLines/>
        <w:spacing w:before="0" w:after="60"/>
      </w:pPr>
      <w:r>
        <w:rPr>
          <w:rFonts w:ascii="Arial" w:hAnsi="Arial" w:eastAsia="Arial"/>
          <w:b/>
          <w:color w:val="1F2937"/>
          <w:sz w:val="18"/>
        </w:rPr>
        <w:t>A client has persistent abdominal pain despite several unrevealing medical evaluations. The client spends hours checking symptoms online, repeatedly seeks reassurance, and has stopped working because of health fears. What is the counselor's BEST response?</w:t>
      </w:r>
    </w:p>
    <w:p>
      <w:pPr>
        <w:keepLines/>
        <w:spacing w:before="0" w:after="24"/>
      </w:pPr>
      <w:r>
        <w:rPr>
          <w:rFonts w:ascii="Arial" w:hAnsi="Arial" w:eastAsia="Arial"/>
          <w:color w:val="1F2937"/>
          <w:sz w:val="17"/>
        </w:rPr>
        <w:t>A. Explain that the pain is psychological because testing has not found a cause.</w:t>
      </w:r>
    </w:p>
    <w:p>
      <w:pPr>
        <w:keepLines/>
        <w:spacing w:before="0" w:after="24"/>
      </w:pPr>
      <w:r>
        <w:rPr>
          <w:rFonts w:ascii="Arial" w:hAnsi="Arial" w:eastAsia="Arial"/>
          <w:color w:val="1F2937"/>
          <w:sz w:val="17"/>
        </w:rPr>
        <w:t>B. Validate the distress, confirm appropriate medical coordination, assess health-related thoughts, anxiety, behaviors, reassurance cycles, and impairment, and remain alert to new medical red flags.</w:t>
      </w:r>
    </w:p>
    <w:p>
      <w:pPr>
        <w:keepLines/>
        <w:spacing w:before="0" w:after="24"/>
      </w:pPr>
      <w:r>
        <w:rPr>
          <w:rFonts w:ascii="Arial" w:hAnsi="Arial" w:eastAsia="Arial"/>
          <w:color w:val="1F2937"/>
          <w:sz w:val="17"/>
        </w:rPr>
        <w:t>C. Avoid discussing the physical symptoms so the client will stop focusing on them.</w:t>
      </w:r>
    </w:p>
    <w:p>
      <w:pPr>
        <w:keepLines/>
        <w:spacing w:before="0" w:after="24"/>
      </w:pPr>
      <w:r>
        <w:rPr>
          <w:rFonts w:ascii="Arial" w:hAnsi="Arial" w:eastAsia="Arial"/>
          <w:color w:val="1F2937"/>
          <w:sz w:val="17"/>
        </w:rPr>
        <w:t>D. Require another complete medical workup before any counseling assessment can occur.</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Validate the distress, confirm appropriate medical coordination, assess health-related thoughts, anxiety, behaviors, reassurance cycles, and impairment, and remain alert to new medical red flags.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A somatic formulation should not dismiss the client's physical experience or claim certainty beyond the evidence.</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This response integrates validation, medical coordination, the cognitive-behavioral pattern, functional impact, and continued attention to red flags.</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Avoidance prevents assessment and can damage the alliance.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Appropriate medical coordination and counseling assessment can proceed together; repeated testing is not automatically the first step.</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The exam often tests whether you can assess health anxiety and behavior without invalidating symptoms or ignoring medicine.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B - Body-systems reasoning. Hold psychological pattern and medical vigilance at the same time.</w:t>
            </w:r>
          </w:p>
        </w:tc>
      </w:tr>
    </w:tbl>
    <w:p>
      <w:pPr>
        <w:spacing w:before="0" w:after="0"/>
      </w:pPr>
    </w:p>
    <w:p>
      <w:r>
        <w:br w:type="page"/>
      </w:r>
    </w:p>
    <w:p>
      <w:pPr>
        <w:pStyle w:val="Heading2"/>
        <w:keepNext/>
        <w:spacing w:before="0" w:after="80"/>
      </w:pPr>
      <w:r>
        <w:rPr>
          <w:rFonts w:ascii="Arial" w:hAnsi="Arial" w:eastAsia="Arial"/>
        </w:rPr>
        <w:t>Question 6 (LPCC-WB06-PB-Q006)</w:t>
      </w:r>
    </w:p>
    <w:p>
      <w:pPr>
        <w:keepNext/>
        <w:spacing w:before="0" w:after="60"/>
      </w:pPr>
      <w:r>
        <w:rPr>
          <w:rFonts w:ascii="Arial" w:hAnsi="Arial" w:eastAsia="Arial"/>
          <w:b/>
          <w:color w:val="15768A"/>
          <w:sz w:val="16"/>
        </w:rPr>
        <w:t>LPCC-WB06-PB-Q006 | Application | Easy | Primary concept: Immediate withdrawal and interaction risk</w:t>
      </w:r>
    </w:p>
    <w:p>
      <w:pPr>
        <w:keepNext/>
        <w:keepLines/>
        <w:spacing w:before="0" w:after="60"/>
      </w:pPr>
      <w:r>
        <w:rPr>
          <w:rFonts w:ascii="Arial" w:hAnsi="Arial" w:eastAsia="Arial"/>
          <w:b/>
          <w:color w:val="1F2937"/>
          <w:sz w:val="18"/>
        </w:rPr>
        <w:t>What should the counselor do FIRST after learning about Marisol's morning tremor, prior withdrawal seizure, daily alcohol use, clonazepam use, and plan to stop both substances abruptly?</w:t>
      </w:r>
    </w:p>
    <w:p>
      <w:pPr>
        <w:keepLines/>
        <w:spacing w:before="0" w:after="24"/>
      </w:pPr>
      <w:r>
        <w:rPr>
          <w:rFonts w:ascii="Arial" w:hAnsi="Arial" w:eastAsia="Arial"/>
          <w:color w:val="1F2937"/>
          <w:sz w:val="17"/>
        </w:rPr>
        <w:t>A. Complete a personality inventory before discussing substance use.</w:t>
      </w:r>
    </w:p>
    <w:p>
      <w:pPr>
        <w:keepLines/>
        <w:spacing w:before="0" w:after="24"/>
      </w:pPr>
      <w:r>
        <w:rPr>
          <w:rFonts w:ascii="Arial" w:hAnsi="Arial" w:eastAsia="Arial"/>
          <w:color w:val="1F2937"/>
          <w:sz w:val="17"/>
        </w:rPr>
        <w:t>B. Recommend that Marisol reduce each substance on alternating days without medical input.</w:t>
      </w:r>
    </w:p>
    <w:p>
      <w:pPr>
        <w:keepLines/>
        <w:spacing w:before="0" w:after="24"/>
      </w:pPr>
      <w:r>
        <w:rPr>
          <w:rFonts w:ascii="Arial" w:hAnsi="Arial" w:eastAsia="Arial"/>
          <w:color w:val="1F2937"/>
          <w:sz w:val="17"/>
        </w:rPr>
        <w:t>C. Arrange urgent medical or addiction evaluation for supervised withdrawal and communicate the combined-use and seizure-risk information.</w:t>
      </w:r>
    </w:p>
    <w:p>
      <w:pPr>
        <w:keepLines/>
        <w:spacing w:before="0" w:after="24"/>
      </w:pPr>
      <w:r>
        <w:rPr>
          <w:rFonts w:ascii="Arial" w:hAnsi="Arial" w:eastAsia="Arial"/>
          <w:color w:val="1F2937"/>
          <w:sz w:val="17"/>
        </w:rPr>
        <w:t>D. Begin treatment for panic disorder because panic is Marisol's stated concern.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Arrange urgent medical or addiction evaluation for supervised withdrawal and communicate the combined-use and seizure-risk information.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Routine diagnostic testing is secondary to immediate medical risk.</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Unsupervised taper instructions are unsafe in this high-risk presentation.</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The withdrawal history and combined depressant use require urgent medical stabilization planning.</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Panic assessment can continue after the immediate withdrawal and interaction risk is addressed.</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a case contains a withdrawal seizure history, do not let the presenting complaint distract from the medical priority.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W - Withdrawal danger. Safety and stabilization precede routine diagnostic classification.</w:t>
            </w:r>
          </w:p>
        </w:tc>
      </w:tr>
    </w:tbl>
    <w:p>
      <w:pPr>
        <w:spacing w:before="0" w:after="0"/>
      </w:pPr>
    </w:p>
    <w:p>
      <w:r>
        <w:br w:type="page"/>
      </w:r>
    </w:p>
    <w:p>
      <w:pPr>
        <w:pStyle w:val="Heading2"/>
        <w:keepNext/>
        <w:spacing w:before="0" w:after="80"/>
      </w:pPr>
      <w:r>
        <w:rPr>
          <w:rFonts w:ascii="Arial" w:hAnsi="Arial" w:eastAsia="Arial"/>
        </w:rPr>
        <w:t>Question 7 (LPCC-WB06-PB-Q007)</w:t>
      </w:r>
    </w:p>
    <w:p>
      <w:pPr>
        <w:keepNext/>
        <w:spacing w:before="0" w:after="60"/>
      </w:pPr>
      <w:r>
        <w:rPr>
          <w:rFonts w:ascii="Arial" w:hAnsi="Arial" w:eastAsia="Arial"/>
          <w:b/>
          <w:color w:val="15768A"/>
          <w:sz w:val="16"/>
        </w:rPr>
        <w:t>LPCC-WB06-PB-Q007 | Integrated Clinical Reasoning | Moderate | Primary concept: Substance-induced anxiety timeline</w:t>
      </w:r>
    </w:p>
    <w:p>
      <w:pPr>
        <w:keepNext/>
        <w:keepLines/>
        <w:spacing w:before="0" w:after="60"/>
      </w:pPr>
      <w:r>
        <w:rPr>
          <w:rFonts w:ascii="Arial" w:hAnsi="Arial" w:eastAsia="Arial"/>
          <w:b/>
          <w:color w:val="1F2937"/>
          <w:sz w:val="18"/>
        </w:rPr>
        <w:t>Which finding would MOST strongly support a substance- or withdrawal-related explanation for Marisol's panic-like episodes?</w:t>
      </w:r>
    </w:p>
    <w:p>
      <w:pPr>
        <w:keepLines/>
        <w:spacing w:before="0" w:after="24"/>
      </w:pPr>
      <w:r>
        <w:rPr>
          <w:rFonts w:ascii="Arial" w:hAnsi="Arial" w:eastAsia="Arial"/>
          <w:color w:val="1F2937"/>
          <w:sz w:val="17"/>
        </w:rPr>
        <w:t>A. The episodes reliably intensify as alcohol and clonazepam levels fall and resolve after medically supervised stabilization and sustained abstinence.</w:t>
      </w:r>
    </w:p>
    <w:p>
      <w:pPr>
        <w:keepLines/>
        <w:spacing w:before="0" w:after="24"/>
      </w:pPr>
      <w:r>
        <w:rPr>
          <w:rFonts w:ascii="Arial" w:hAnsi="Arial" w:eastAsia="Arial"/>
          <w:color w:val="1F2937"/>
          <w:sz w:val="17"/>
        </w:rPr>
        <w:t>B. Marisol worries that coworkers will judge her.</w:t>
      </w:r>
    </w:p>
    <w:p>
      <w:pPr>
        <w:keepLines/>
        <w:spacing w:before="0" w:after="24"/>
      </w:pPr>
      <w:r>
        <w:rPr>
          <w:rFonts w:ascii="Arial" w:hAnsi="Arial" w:eastAsia="Arial"/>
          <w:color w:val="1F2937"/>
          <w:sz w:val="17"/>
        </w:rPr>
        <w:t>C. A sibling has a history of depression.</w:t>
      </w:r>
    </w:p>
    <w:p>
      <w:pPr>
        <w:keepLines/>
        <w:spacing w:before="0" w:after="24"/>
      </w:pPr>
      <w:r>
        <w:rPr>
          <w:rFonts w:ascii="Arial" w:hAnsi="Arial" w:eastAsia="Arial"/>
          <w:color w:val="1F2937"/>
          <w:sz w:val="17"/>
        </w:rPr>
        <w:t>D. The episodes include a racing heart and shortness of breath.</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The episodes reliably intensify as alcohol and clonazepam levels fall and resolve after medically supervised stabilization and sustained abstinence.</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Repeated temporal linkage to falling substance levels and resolution after stabilization is strong differential evidence.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Social worry can occur in several conditions and does not establish causation.</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Family depression history does not answer the substance-timing question.</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Panic symptoms are nonspecific and can occur in withdrawal, anxiety disorders, medical conditions, and intoxication.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The strongest induced-versus-primary evidence usually comes from onset, offset, recurrence, and persistence during abstinence.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T - Timeline error. Map symptoms against use, intoxication, withdrawal, and abstinence rather than relying on symptom vocabulary.</w:t>
            </w:r>
          </w:p>
        </w:tc>
      </w:tr>
    </w:tbl>
    <w:p>
      <w:pPr>
        <w:spacing w:before="0" w:after="0"/>
      </w:pPr>
    </w:p>
    <w:p>
      <w:r>
        <w:br w:type="page"/>
      </w:r>
    </w:p>
    <w:p>
      <w:pPr>
        <w:pStyle w:val="Heading2"/>
        <w:keepNext/>
        <w:spacing w:before="0" w:after="80"/>
      </w:pPr>
      <w:r>
        <w:rPr>
          <w:rFonts w:ascii="Arial" w:hAnsi="Arial" w:eastAsia="Arial"/>
        </w:rPr>
        <w:t>Question 8 (LPCC-WB06-PB-Q008)</w:t>
      </w:r>
    </w:p>
    <w:p>
      <w:pPr>
        <w:keepNext/>
        <w:spacing w:before="0" w:after="60"/>
      </w:pPr>
      <w:r>
        <w:rPr>
          <w:rFonts w:ascii="Arial" w:hAnsi="Arial" w:eastAsia="Arial"/>
          <w:b/>
          <w:color w:val="15768A"/>
          <w:sz w:val="16"/>
        </w:rPr>
        <w:t>LPCC-WB06-PB-Q008 | Integrated Clinical Reasoning | Difficult | Primary concept: Primary versus substance-induced differential</w:t>
      </w:r>
    </w:p>
    <w:p>
      <w:pPr>
        <w:keepNext/>
        <w:keepLines/>
        <w:spacing w:before="0" w:after="60"/>
      </w:pPr>
      <w:r>
        <w:rPr>
          <w:rFonts w:ascii="Arial" w:hAnsi="Arial" w:eastAsia="Arial"/>
          <w:b/>
          <w:color w:val="1F2937"/>
          <w:sz w:val="18"/>
        </w:rPr>
        <w:t>After Marisol is medically stable, which information is MOST important for determining whether a primary anxiety disorder also remains present?</w:t>
      </w:r>
    </w:p>
    <w:p>
      <w:pPr>
        <w:keepLines/>
        <w:spacing w:before="0" w:after="24"/>
      </w:pPr>
      <w:r>
        <w:rPr>
          <w:rFonts w:ascii="Arial" w:hAnsi="Arial" w:eastAsia="Arial"/>
          <w:color w:val="1F2937"/>
          <w:sz w:val="17"/>
        </w:rPr>
        <w:t>A. Whether Marisol prefers individual counseling to group treatment.</w:t>
      </w:r>
    </w:p>
    <w:p>
      <w:pPr>
        <w:keepLines/>
        <w:spacing w:before="0" w:after="24"/>
      </w:pPr>
      <w:r>
        <w:rPr>
          <w:rFonts w:ascii="Arial" w:hAnsi="Arial" w:eastAsia="Arial"/>
          <w:color w:val="1F2937"/>
          <w:sz w:val="17"/>
        </w:rPr>
        <w:t>B. Whether the substances were expensive.</w:t>
      </w:r>
    </w:p>
    <w:p>
      <w:pPr>
        <w:keepLines/>
        <w:spacing w:before="0" w:after="24"/>
      </w:pPr>
      <w:r>
        <w:rPr>
          <w:rFonts w:ascii="Arial" w:hAnsi="Arial" w:eastAsia="Arial"/>
          <w:color w:val="1F2937"/>
          <w:sz w:val="17"/>
        </w:rPr>
        <w:t>C. Whether Marisol felt embarrassed when discussing use.</w:t>
      </w:r>
    </w:p>
    <w:p>
      <w:pPr>
        <w:keepLines/>
        <w:spacing w:before="0" w:after="24"/>
      </w:pPr>
      <w:r>
        <w:rPr>
          <w:rFonts w:ascii="Arial" w:hAnsi="Arial" w:eastAsia="Arial"/>
          <w:color w:val="1F2937"/>
          <w:sz w:val="17"/>
        </w:rPr>
        <w:t>D. Whether clinically significant anxiety and panic persist during a meaningful period of stabilization and abstinence, independent of intoxication, withdrawal, medication effects, and medical causes.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Whether clinically significant anxiety and panic persist during a meaningful period of stabilization and abstinence, independent of intoxication, withdrawal, medication effects, and medical causes.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Treatment preference does not establish diagnostic independence.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Cost may reflect consequences but not whether anxiety is primary.</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Embarrassment is clinically relevant but not the key causal discriminator.</w:t>
      </w:r>
    </w:p>
    <w:p>
      <w:pPr>
        <w:keepLines/>
        <w:spacing w:before="0" w:after="28"/>
      </w:pPr>
      <w:r>
        <w:rPr>
          <w:rFonts w:ascii="Arial" w:hAnsi="Arial" w:eastAsia="Arial"/>
          <w:b/>
          <w:color w:val="159C9C"/>
          <w:sz w:val="17"/>
        </w:rPr>
        <w:t xml:space="preserve">D. Correct. </w:t>
      </w:r>
      <w:r>
        <w:rPr>
          <w:rFonts w:ascii="Arial" w:hAnsi="Arial" w:eastAsia="Arial"/>
          <w:color w:val="1F2937"/>
          <w:sz w:val="17"/>
        </w:rPr>
        <w:t>Persistence outside substance, medication, and medical effects is central to determining whether a primary anxiety condition remains.</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Do not force either/or reasoning too early. Stabilize, observe the independent symptom course, and allow co-occurrence when evidence supports it.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T - Timeline error. The independent course during stabilization often decides primary versus induced classification.</w:t>
            </w:r>
          </w:p>
        </w:tc>
      </w:tr>
    </w:tbl>
    <w:p>
      <w:pPr>
        <w:spacing w:before="0" w:after="0"/>
      </w:pPr>
    </w:p>
    <w:p>
      <w:r>
        <w:br w:type="page"/>
      </w:r>
    </w:p>
    <w:p>
      <w:pPr>
        <w:pStyle w:val="Heading2"/>
        <w:keepNext/>
        <w:spacing w:before="0" w:after="80"/>
      </w:pPr>
      <w:r>
        <w:rPr>
          <w:rFonts w:ascii="Arial" w:hAnsi="Arial" w:eastAsia="Arial"/>
        </w:rPr>
        <w:t>Question 9 (LPCC-WB06-PB-Q009)</w:t>
      </w:r>
    </w:p>
    <w:p>
      <w:pPr>
        <w:keepNext/>
        <w:spacing w:before="0" w:after="60"/>
      </w:pPr>
      <w:r>
        <w:rPr>
          <w:rFonts w:ascii="Arial" w:hAnsi="Arial" w:eastAsia="Arial"/>
          <w:b/>
          <w:color w:val="15768A"/>
          <w:sz w:val="16"/>
        </w:rPr>
        <w:t>LPCC-WB06-PB-Q009 | Application | Moderate | Primary concept: No-wrong-door co-occurring care</w:t>
      </w:r>
    </w:p>
    <w:p>
      <w:pPr>
        <w:keepNext/>
        <w:keepLines/>
        <w:spacing w:before="0" w:after="60"/>
      </w:pPr>
      <w:r>
        <w:rPr>
          <w:rFonts w:ascii="Arial" w:hAnsi="Arial" w:eastAsia="Arial"/>
          <w:b/>
          <w:color w:val="1F2937"/>
          <w:sz w:val="18"/>
        </w:rPr>
        <w:t>Which follow-up plan BEST reflects sound co-occurring care during Marisol's early recovery?</w:t>
      </w:r>
    </w:p>
    <w:p>
      <w:pPr>
        <w:keepLines/>
        <w:spacing w:before="0" w:after="24"/>
      </w:pPr>
      <w:r>
        <w:rPr>
          <w:rFonts w:ascii="Arial" w:hAnsi="Arial" w:eastAsia="Arial"/>
          <w:color w:val="1F2937"/>
          <w:sz w:val="17"/>
        </w:rPr>
        <w:t>A. Delay all mental health assessment until Marisol has maintained one year of abstinence.</w:t>
      </w:r>
    </w:p>
    <w:p>
      <w:pPr>
        <w:keepLines/>
        <w:spacing w:before="0" w:after="24"/>
      </w:pPr>
      <w:r>
        <w:rPr>
          <w:rFonts w:ascii="Arial" w:hAnsi="Arial" w:eastAsia="Arial"/>
          <w:color w:val="1F2937"/>
          <w:sz w:val="17"/>
        </w:rPr>
        <w:t>B. Treat panic only and ask the addiction program to address every other concern.</w:t>
      </w:r>
    </w:p>
    <w:p>
      <w:pPr>
        <w:keepLines/>
        <w:spacing w:before="0" w:after="24"/>
      </w:pPr>
      <w:r>
        <w:rPr>
          <w:rFonts w:ascii="Arial" w:hAnsi="Arial" w:eastAsia="Arial"/>
          <w:color w:val="1F2937"/>
          <w:sz w:val="17"/>
        </w:rPr>
        <w:t>C. Coordinate addiction and medical care, continue mental health and safety assessment, monitor symptom course during recovery, and revise the formulation as new evidence emerges.</w:t>
      </w:r>
    </w:p>
    <w:p>
      <w:pPr>
        <w:keepLines/>
        <w:spacing w:before="0" w:after="24"/>
      </w:pPr>
      <w:r>
        <w:rPr>
          <w:rFonts w:ascii="Arial" w:hAnsi="Arial" w:eastAsia="Arial"/>
          <w:color w:val="1F2937"/>
          <w:sz w:val="17"/>
        </w:rPr>
        <w:t>D. Refer Marisol away from counseling because more than one condition may be present.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Coordinate addiction and medical care, continue mental health and safety assessment, monitor symptom course during recovery, and revise the formulation as new evidence emerges.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Delaying all mental health care can miss risk, co-occurrence, and opportunities for engagement.</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Fragmenting care can obscure interactions and leave major needs unaddressed.</w:t>
      </w:r>
    </w:p>
    <w:p>
      <w:pPr>
        <w:keepLines/>
        <w:spacing w:before="0" w:after="28"/>
      </w:pPr>
      <w:r>
        <w:rPr>
          <w:rFonts w:ascii="Arial" w:hAnsi="Arial" w:eastAsia="Arial"/>
          <w:b/>
          <w:color w:val="159C9C"/>
          <w:sz w:val="17"/>
        </w:rPr>
        <w:t xml:space="preserve">C. Correct. </w:t>
      </w:r>
      <w:r>
        <w:rPr>
          <w:rFonts w:ascii="Arial" w:hAnsi="Arial" w:eastAsia="Arial"/>
          <w:color w:val="1F2937"/>
          <w:sz w:val="17"/>
        </w:rPr>
        <w:t>Coordinated, ongoing assessment and revision address the whole person while preserving specialty roles.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Referral may supplement care, but co-occurrence does not automatically require abandonment.</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Choose the option that screens and treats both sides of the case while coordinating roles and preserving continuity.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I - Integration failure. Avoid sequential or siloed care when coordinated assessment is feasible.</w:t>
            </w:r>
          </w:p>
        </w:tc>
      </w:tr>
    </w:tbl>
    <w:p>
      <w:pPr>
        <w:spacing w:before="0" w:after="0"/>
      </w:pPr>
    </w:p>
    <w:p>
      <w:r>
        <w:br w:type="page"/>
      </w:r>
    </w:p>
    <w:p>
      <w:pPr>
        <w:pStyle w:val="Heading2"/>
        <w:keepNext/>
        <w:spacing w:before="0" w:after="80"/>
      </w:pPr>
      <w:r>
        <w:rPr>
          <w:rFonts w:ascii="Arial" w:hAnsi="Arial" w:eastAsia="Arial"/>
        </w:rPr>
        <w:t>Question 10 (LPCC-WB06-PB-Q010)</w:t>
      </w:r>
    </w:p>
    <w:p>
      <w:pPr>
        <w:keepNext/>
        <w:spacing w:before="0" w:after="60"/>
      </w:pPr>
      <w:r>
        <w:rPr>
          <w:rFonts w:ascii="Arial" w:hAnsi="Arial" w:eastAsia="Arial"/>
          <w:b/>
          <w:color w:val="15768A"/>
          <w:sz w:val="16"/>
        </w:rPr>
        <w:t>LPCC-WB06-PB-Q010 | Knowledge &amp; Application | Easy | Primary concept: Developmental ADHD evidence</w:t>
      </w:r>
    </w:p>
    <w:p>
      <w:pPr>
        <w:keepNext/>
        <w:keepLines/>
        <w:spacing w:before="0" w:after="60"/>
      </w:pPr>
      <w:r>
        <w:rPr>
          <w:rFonts w:ascii="Arial" w:hAnsi="Arial" w:eastAsia="Arial"/>
          <w:b/>
          <w:color w:val="1F2937"/>
          <w:sz w:val="18"/>
        </w:rPr>
        <w:t>Which new information MOST strongly supports an ADHD evaluation after Marisol has remained abstinent and medically stable?</w:t>
      </w:r>
    </w:p>
    <w:p>
      <w:pPr>
        <w:keepLines/>
        <w:spacing w:before="0" w:after="24"/>
      </w:pPr>
      <w:r>
        <w:rPr>
          <w:rFonts w:ascii="Arial" w:hAnsi="Arial" w:eastAsia="Arial"/>
          <w:color w:val="1F2937"/>
          <w:sz w:val="17"/>
        </w:rPr>
        <w:t>A. Marisol sometimes becomes bored during long meetings.</w:t>
      </w:r>
    </w:p>
    <w:p>
      <w:pPr>
        <w:keepLines/>
        <w:spacing w:before="0" w:after="24"/>
      </w:pPr>
      <w:r>
        <w:rPr>
          <w:rFonts w:ascii="Arial" w:hAnsi="Arial" w:eastAsia="Arial"/>
          <w:color w:val="1F2937"/>
          <w:sz w:val="17"/>
        </w:rPr>
        <w:t>B. School records and a parent describe similar attention, organization, and task-completion problems beginning in elementary school and occurring across home, school, and work settings.</w:t>
      </w:r>
    </w:p>
    <w:p>
      <w:pPr>
        <w:keepLines/>
        <w:spacing w:before="0" w:after="24"/>
      </w:pPr>
      <w:r>
        <w:rPr>
          <w:rFonts w:ascii="Arial" w:hAnsi="Arial" w:eastAsia="Arial"/>
          <w:color w:val="1F2937"/>
          <w:sz w:val="17"/>
        </w:rPr>
        <w:t>C. Marisol concentrates better when highly interested in a task.</w:t>
      </w:r>
    </w:p>
    <w:p>
      <w:pPr>
        <w:keepLines/>
        <w:spacing w:before="0" w:after="24"/>
      </w:pPr>
      <w:r>
        <w:rPr>
          <w:rFonts w:ascii="Arial" w:hAnsi="Arial" w:eastAsia="Arial"/>
          <w:color w:val="1F2937"/>
          <w:sz w:val="17"/>
        </w:rPr>
        <w:t>D. A current self-report scale is elevated.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School records and a parent describe similar attention, organization, and task-completion problems beginning in elementary school and occurring across home, school, and work settings.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Boredom in one context is common and nonspecific.</w:t>
      </w:r>
    </w:p>
    <w:p>
      <w:pPr>
        <w:keepLines/>
        <w:spacing w:before="0" w:after="28"/>
      </w:pPr>
      <w:r>
        <w:rPr>
          <w:rFonts w:ascii="Arial" w:hAnsi="Arial" w:eastAsia="Arial"/>
          <w:b/>
          <w:color w:val="159C9C"/>
          <w:sz w:val="17"/>
        </w:rPr>
        <w:t xml:space="preserve">B. Correct. </w:t>
      </w:r>
      <w:r>
        <w:rPr>
          <w:rFonts w:ascii="Arial" w:hAnsi="Arial" w:eastAsia="Arial"/>
          <w:color w:val="1F2937"/>
          <w:sz w:val="17"/>
        </w:rPr>
        <w:t>Childhood onset, cross-setting impairment, and corroboration provide high-value developmental evidence.</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Interest-based variability can occur in many people and is not diagnostic by itself.</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 rating scale supports but does not replace developmental and functional evidence.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Developmental disorders require developmental data. Give the most weight to early onset, multiple settings, corroboration, and impairment.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D - Developmental evidence. Current symptoms and scales do not substitute for a childhood pattern.</w:t>
            </w:r>
          </w:p>
        </w:tc>
      </w:tr>
    </w:tbl>
    <w:p>
      <w:pPr>
        <w:spacing w:before="0" w:after="0"/>
      </w:pPr>
    </w:p>
    <w:p>
      <w:r>
        <w:br w:type="page"/>
      </w:r>
    </w:p>
    <w:p>
      <w:pPr>
        <w:pStyle w:val="Heading2"/>
        <w:keepNext/>
        <w:spacing w:before="0" w:after="80"/>
      </w:pPr>
      <w:r>
        <w:rPr>
          <w:rFonts w:ascii="Arial" w:hAnsi="Arial" w:eastAsia="Arial"/>
        </w:rPr>
        <w:t>Question 11 (LPCC-WB06-PB-Q011)</w:t>
      </w:r>
    </w:p>
    <w:p>
      <w:pPr>
        <w:keepNext/>
        <w:spacing w:before="0" w:after="60"/>
      </w:pPr>
      <w:r>
        <w:rPr>
          <w:rFonts w:ascii="Arial" w:hAnsi="Arial" w:eastAsia="Arial"/>
          <w:b/>
          <w:color w:val="15768A"/>
          <w:sz w:val="16"/>
        </w:rPr>
        <w:t>LPCC-WB06-PB-Q011 | Integrated Clinical Reasoning | Difficult | Primary concept: Adult autism differential and referral</w:t>
      </w:r>
    </w:p>
    <w:p>
      <w:pPr>
        <w:keepNext/>
        <w:keepLines/>
        <w:spacing w:before="0" w:after="60"/>
      </w:pPr>
      <w:r>
        <w:rPr>
          <w:rFonts w:ascii="Arial" w:hAnsi="Arial" w:eastAsia="Arial"/>
          <w:b/>
          <w:color w:val="1F2937"/>
          <w:sz w:val="18"/>
        </w:rPr>
        <w:t>Marisol also reports lifelong sensory sensitivity, intense restricted interests, rehearsing conversations, literal interpretation, and exhaustion from masking. What is the counselor's BEST next step?</w:t>
      </w:r>
    </w:p>
    <w:p>
      <w:pPr>
        <w:keepLines/>
        <w:spacing w:before="0" w:after="24"/>
      </w:pPr>
      <w:r>
        <w:rPr>
          <w:rFonts w:ascii="Arial" w:hAnsi="Arial" w:eastAsia="Arial"/>
          <w:color w:val="1F2937"/>
          <w:sz w:val="17"/>
        </w:rPr>
        <w:t>A. Gather developmental and collateral history, assess current function and overlap, and consider referral to a clinician experienced in adult autism assessment.</w:t>
      </w:r>
    </w:p>
    <w:p>
      <w:pPr>
        <w:keepLines/>
        <w:spacing w:before="0" w:after="24"/>
      </w:pPr>
      <w:r>
        <w:rPr>
          <w:rFonts w:ascii="Arial" w:hAnsi="Arial" w:eastAsia="Arial"/>
          <w:color w:val="1F2937"/>
          <w:sz w:val="17"/>
        </w:rPr>
        <w:t>B. Diagnose avoidant personality disorder because Marisol rehearses conversations.</w:t>
      </w:r>
    </w:p>
    <w:p>
      <w:pPr>
        <w:keepLines/>
        <w:spacing w:before="0" w:after="24"/>
      </w:pPr>
      <w:r>
        <w:rPr>
          <w:rFonts w:ascii="Arial" w:hAnsi="Arial" w:eastAsia="Arial"/>
          <w:color w:val="1F2937"/>
          <w:sz w:val="17"/>
        </w:rPr>
        <w:t>C. Rule out autism because Marisol has maintained employment and friendships.</w:t>
      </w:r>
    </w:p>
    <w:p>
      <w:pPr>
        <w:keepLines/>
        <w:spacing w:before="0" w:after="24"/>
      </w:pPr>
      <w:r>
        <w:rPr>
          <w:rFonts w:ascii="Arial" w:hAnsi="Arial" w:eastAsia="Arial"/>
          <w:color w:val="1F2937"/>
          <w:sz w:val="17"/>
        </w:rPr>
        <w:t>D. Confirm autism by administering an individually administered intelligence test.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Gather developmental and collateral history, assess current function and overlap, and consider referral to a clinician experienced in adult autism assessment.</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Adult autism assessment requires developmental, functional, collateral, masking, and overlap evidence, often with specialty evaluation.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One social coping behavior does not establish an enduring personality disorder and may reflect developmental adaptation.</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Employment and relationships do not rule out autism, especially when masking and support are present.</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Intelligence testing does not confirm autism, and individually administered intelligence tests are excluded from California LPCC assessment scope.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Do not confuse compensation with absence. Assess developmental pattern and use specialty referral when the question exceeds competence or scope.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D - Developmental evidence. Evaluate lifelong pattern, masking, function, and overlap before classifying.</w:t>
            </w:r>
          </w:p>
        </w:tc>
      </w:tr>
    </w:tbl>
    <w:p>
      <w:pPr>
        <w:spacing w:before="0" w:after="0"/>
      </w:pPr>
    </w:p>
    <w:p>
      <w:r>
        <w:br w:type="page"/>
      </w:r>
    </w:p>
    <w:p>
      <w:pPr>
        <w:pStyle w:val="Heading2"/>
        <w:keepNext/>
        <w:spacing w:before="0" w:after="80"/>
      </w:pPr>
      <w:r>
        <w:rPr>
          <w:rFonts w:ascii="Arial" w:hAnsi="Arial" w:eastAsia="Arial"/>
        </w:rPr>
        <w:t>Question 12 (LPCC-WB06-PB-Q012)</w:t>
      </w:r>
    </w:p>
    <w:p>
      <w:pPr>
        <w:keepNext/>
        <w:spacing w:before="0" w:after="60"/>
      </w:pPr>
      <w:r>
        <w:rPr>
          <w:rFonts w:ascii="Arial" w:hAnsi="Arial" w:eastAsia="Arial"/>
          <w:b/>
          <w:color w:val="15768A"/>
          <w:sz w:val="16"/>
        </w:rPr>
        <w:t>LPCC-WB06-PB-Q012 | Application | Moderate | Primary concept: California LPCC assessment limits</w:t>
      </w:r>
    </w:p>
    <w:p>
      <w:pPr>
        <w:keepNext/>
        <w:keepLines/>
        <w:spacing w:before="0" w:after="60"/>
      </w:pPr>
      <w:r>
        <w:rPr>
          <w:rFonts w:ascii="Arial" w:hAnsi="Arial" w:eastAsia="Arial"/>
          <w:b/>
          <w:color w:val="1F2937"/>
          <w:sz w:val="18"/>
        </w:rPr>
        <w:t>Marisol requests testing for workplace accommodations and asks the LPCC to administer an individually administered intelligence test and a neuropsychological battery. What is the counselor's BEST response?</w:t>
      </w:r>
    </w:p>
    <w:p>
      <w:pPr>
        <w:keepLines/>
        <w:spacing w:before="0" w:after="24"/>
      </w:pPr>
      <w:r>
        <w:rPr>
          <w:rFonts w:ascii="Arial" w:hAnsi="Arial" w:eastAsia="Arial"/>
          <w:color w:val="1F2937"/>
          <w:sz w:val="17"/>
        </w:rPr>
        <w:t>A. Administer both because all psychological testing is included in LPCC scope.</w:t>
      </w:r>
    </w:p>
    <w:p>
      <w:pPr>
        <w:keepLines/>
        <w:spacing w:before="0" w:after="24"/>
      </w:pPr>
      <w:r>
        <w:rPr>
          <w:rFonts w:ascii="Arial" w:hAnsi="Arial" w:eastAsia="Arial"/>
          <w:color w:val="1F2937"/>
          <w:sz w:val="17"/>
        </w:rPr>
        <w:t>B. Administer only the intelligence test because it is shorter than a battery.</w:t>
      </w:r>
    </w:p>
    <w:p>
      <w:pPr>
        <w:keepLines/>
        <w:spacing w:before="0" w:after="24"/>
      </w:pPr>
      <w:r>
        <w:rPr>
          <w:rFonts w:ascii="Arial" w:hAnsi="Arial" w:eastAsia="Arial"/>
          <w:color w:val="1F2937"/>
          <w:sz w:val="17"/>
        </w:rPr>
        <w:t>C. Decline all assessment and provide no clinical information to the referral source.</w:t>
      </w:r>
    </w:p>
    <w:p>
      <w:pPr>
        <w:keepLines/>
        <w:spacing w:before="0" w:after="24"/>
      </w:pPr>
      <w:r>
        <w:rPr>
          <w:rFonts w:ascii="Arial" w:hAnsi="Arial" w:eastAsia="Arial"/>
          <w:color w:val="1F2937"/>
          <w:sz w:val="17"/>
        </w:rPr>
        <w:t>D. Explain the counselor's assessment role and limits, obtain consent to coordinate, and refer the excluded testing questions to appropriately qualified professionals while continuing relevant counseling assessment within competence.</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Explain the counselor's assessment role and limits, obtain consent to coordinate, and refer the excluded testing questions to appropriately qualified professionals while continuing relevant counseling assessment within competence.</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California LPCC assessment specifically excludes individually administered intelligence and neuropsychological testing.</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The intelligence test remains excluded regardless of length.</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counselor can continue appropriate clinical assessment and coordinate relevant information with consent.</w:t>
      </w:r>
    </w:p>
    <w:p>
      <w:pPr>
        <w:keepLines/>
        <w:spacing w:before="0" w:after="28"/>
      </w:pPr>
      <w:r>
        <w:rPr>
          <w:rFonts w:ascii="Arial" w:hAnsi="Arial" w:eastAsia="Arial"/>
          <w:b/>
          <w:color w:val="159C9C"/>
          <w:sz w:val="17"/>
        </w:rPr>
        <w:t xml:space="preserve">D. Correct. </w:t>
      </w:r>
      <w:r>
        <w:rPr>
          <w:rFonts w:ascii="Arial" w:hAnsi="Arial" w:eastAsia="Arial"/>
          <w:color w:val="1F2937"/>
          <w:sz w:val="17"/>
        </w:rPr>
        <w:t>This response protects scope, continuity, informed coordination, and the client's access to the needed evaluation.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A scope question is rarely solved by doing nothing. Identify what you can do, what must be referred, and how to preserve continuity.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S - Scope and referral. Refer the excluded testing function while continuing appropriate counseling care.</w:t>
            </w:r>
          </w:p>
        </w:tc>
      </w:tr>
    </w:tbl>
    <w:p>
      <w:pPr>
        <w:spacing w:before="0" w:after="0"/>
      </w:pPr>
    </w:p>
    <w:p>
      <w:r>
        <w:br w:type="page"/>
      </w:r>
    </w:p>
    <w:p>
      <w:pPr>
        <w:pStyle w:val="Heading2"/>
        <w:keepNext/>
        <w:spacing w:before="0" w:after="80"/>
      </w:pPr>
      <w:r>
        <w:rPr>
          <w:rFonts w:ascii="Arial" w:hAnsi="Arial" w:eastAsia="Arial"/>
        </w:rPr>
        <w:t>Question 13 (LPCC-WB06-PB-Q013)</w:t>
      </w:r>
    </w:p>
    <w:p>
      <w:pPr>
        <w:keepNext/>
        <w:spacing w:before="0" w:after="60"/>
      </w:pPr>
      <w:r>
        <w:rPr>
          <w:rFonts w:ascii="Arial" w:hAnsi="Arial" w:eastAsia="Arial"/>
          <w:b/>
          <w:color w:val="15768A"/>
          <w:sz w:val="16"/>
        </w:rPr>
        <w:t>LPCC-WB06-PB-Q013 | Integrated Clinical Reasoning | Difficult | Primary concept: Co-occurring neurodevelopmental formulation</w:t>
      </w:r>
    </w:p>
    <w:p>
      <w:pPr>
        <w:keepNext/>
        <w:keepLines/>
        <w:spacing w:before="0" w:after="60"/>
      </w:pPr>
      <w:r>
        <w:rPr>
          <w:rFonts w:ascii="Arial" w:hAnsi="Arial" w:eastAsia="Arial"/>
          <w:b/>
          <w:color w:val="1F2937"/>
          <w:sz w:val="18"/>
        </w:rPr>
        <w:t>Which formulation is MOST appropriate given the developmental attention evidence and the separate lifelong social-communication and sensory pattern?</w:t>
      </w:r>
    </w:p>
    <w:p>
      <w:pPr>
        <w:keepLines/>
        <w:spacing w:before="0" w:after="24"/>
      </w:pPr>
      <w:r>
        <w:rPr>
          <w:rFonts w:ascii="Arial" w:hAnsi="Arial" w:eastAsia="Arial"/>
          <w:color w:val="1F2937"/>
          <w:sz w:val="17"/>
        </w:rPr>
        <w:t>A. Choose either ADHD or autism because the two conditions cannot co-occur.</w:t>
      </w:r>
    </w:p>
    <w:p>
      <w:pPr>
        <w:keepLines/>
        <w:spacing w:before="0" w:after="24"/>
      </w:pPr>
      <w:r>
        <w:rPr>
          <w:rFonts w:ascii="Arial" w:hAnsi="Arial" w:eastAsia="Arial"/>
          <w:color w:val="1F2937"/>
          <w:sz w:val="17"/>
        </w:rPr>
        <w:t>B. Assume every residual symptom is a permanent effect of prior alcohol use.</w:t>
      </w:r>
    </w:p>
    <w:p>
      <w:pPr>
        <w:keepLines/>
        <w:spacing w:before="0" w:after="24"/>
      </w:pPr>
      <w:r>
        <w:rPr>
          <w:rFonts w:ascii="Arial" w:hAnsi="Arial" w:eastAsia="Arial"/>
          <w:color w:val="1F2937"/>
          <w:sz w:val="17"/>
        </w:rPr>
        <w:t>C. Evaluate each developmental pattern on its own evidence, consider co-occurrence and overlap, and avoid assigning either diagnosis beyond the support of the developmental and specialty assessment.</w:t>
      </w:r>
    </w:p>
    <w:p>
      <w:pPr>
        <w:keepLines/>
        <w:spacing w:before="0" w:after="24"/>
      </w:pPr>
      <w:r>
        <w:rPr>
          <w:rFonts w:ascii="Arial" w:hAnsi="Arial" w:eastAsia="Arial"/>
          <w:color w:val="1F2937"/>
          <w:sz w:val="17"/>
        </w:rPr>
        <w:t>D. Use whichever diagnosis produces the simplest treatment plan.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Evaluate each developmental pattern on its own evidence, consider co-occurrence and overlap, and avoid assigning either diagnosis beyond the support of the developmental and specialty assessment.</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Neurodevelopmental conditions can co-occur, and the case should not be forced into a single category.</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Substance history matters, but persistent childhood-onset patterns require independent evaluation.</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This approach preserves separate evidence streams, overlap, co-occurrence, and appropriate certainty.</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Diagnostic accuracy is not determined by treatment-plan convenience.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two patterns have independent evidence, do not erase one to simplify the case. Integrate without overclaiming.</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I - False either/or. Co-occurrence is allowed when each condition is independently supported.</w:t>
            </w:r>
          </w:p>
        </w:tc>
      </w:tr>
    </w:tbl>
    <w:p>
      <w:pPr>
        <w:spacing w:before="0" w:after="0"/>
      </w:pPr>
    </w:p>
    <w:p>
      <w:r>
        <w:br w:type="page"/>
      </w:r>
    </w:p>
    <w:p>
      <w:pPr>
        <w:pStyle w:val="Heading2"/>
        <w:keepNext/>
        <w:spacing w:before="0" w:after="80"/>
      </w:pPr>
      <w:r>
        <w:rPr>
          <w:rFonts w:ascii="Arial" w:hAnsi="Arial" w:eastAsia="Arial"/>
        </w:rPr>
        <w:t>Question 14 (LPCC-WB06-PB-Q014)</w:t>
      </w:r>
    </w:p>
    <w:p>
      <w:pPr>
        <w:keepNext/>
        <w:spacing w:before="0" w:after="60"/>
      </w:pPr>
      <w:r>
        <w:rPr>
          <w:rFonts w:ascii="Arial" w:hAnsi="Arial" w:eastAsia="Arial"/>
          <w:b/>
          <w:color w:val="15768A"/>
          <w:sz w:val="16"/>
        </w:rPr>
        <w:t>LPCC-WB06-PB-Q014 | Application | Easy | Primary concept: Eating-disorder medical urgency</w:t>
      </w:r>
    </w:p>
    <w:p>
      <w:pPr>
        <w:keepNext/>
        <w:keepLines/>
        <w:spacing w:before="0" w:after="60"/>
      </w:pPr>
      <w:r>
        <w:rPr>
          <w:rFonts w:ascii="Arial" w:hAnsi="Arial" w:eastAsia="Arial"/>
          <w:b/>
          <w:color w:val="1F2937"/>
          <w:sz w:val="18"/>
        </w:rPr>
        <w:t>Marisol later reports recurrent self-induced vomiting, dizziness, palpitations, and a recent fainting episode. What is the counselor's priority?</w:t>
      </w:r>
    </w:p>
    <w:p>
      <w:pPr>
        <w:keepLines/>
        <w:spacing w:before="0" w:after="24"/>
      </w:pPr>
      <w:r>
        <w:rPr>
          <w:rFonts w:ascii="Arial" w:hAnsi="Arial" w:eastAsia="Arial"/>
          <w:color w:val="1F2937"/>
          <w:sz w:val="17"/>
        </w:rPr>
        <w:t>A. Arrange prompt medical evaluation for possible instability while coordinating specialized eating-disorder care.</w:t>
      </w:r>
    </w:p>
    <w:p>
      <w:pPr>
        <w:keepLines/>
        <w:spacing w:before="0" w:after="24"/>
      </w:pPr>
      <w:r>
        <w:rPr>
          <w:rFonts w:ascii="Arial" w:hAnsi="Arial" w:eastAsia="Arial"/>
          <w:color w:val="1F2937"/>
          <w:sz w:val="17"/>
        </w:rPr>
        <w:t>B. Wait until Marisol's body weight falls below a specific threshold.</w:t>
      </w:r>
    </w:p>
    <w:p>
      <w:pPr>
        <w:keepLines/>
        <w:spacing w:before="0" w:after="24"/>
      </w:pPr>
      <w:r>
        <w:rPr>
          <w:rFonts w:ascii="Arial" w:hAnsi="Arial" w:eastAsia="Arial"/>
          <w:color w:val="1F2937"/>
          <w:sz w:val="17"/>
        </w:rPr>
        <w:t>C. Explore childhood body-image experiences before making any referral.</w:t>
      </w:r>
    </w:p>
    <w:p>
      <w:pPr>
        <w:keepLines/>
        <w:spacing w:before="0" w:after="24"/>
      </w:pPr>
      <w:r>
        <w:rPr>
          <w:rFonts w:ascii="Arial" w:hAnsi="Arial" w:eastAsia="Arial"/>
          <w:color w:val="1F2937"/>
          <w:sz w:val="17"/>
        </w:rPr>
        <w:t>D. Begin a monthly food diary and reassess after four weeks.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Arrange prompt medical evaluation for possible instability while coordinating specialized eating-disorder care.</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Vomiting, palpitations, dizziness, and syncope can signal urgent medical complications at any body size.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Medical instability cannot be judged by appearance or a single weight threshold.</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Historical exploration is secondary to immediate medical risk.</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Delay could be unsafe in the presence of cardiac and fainting symptoms.</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Body size does not control urgency. Vital signs, fainting, purging, chest symptoms, dehydration, and rapid deterioration do.</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B - Body-systems urgency. Medical red flags override routine psychotherapy sequencing.</w:t>
            </w:r>
          </w:p>
        </w:tc>
      </w:tr>
    </w:tbl>
    <w:p>
      <w:pPr>
        <w:spacing w:before="0" w:after="0"/>
      </w:pPr>
    </w:p>
    <w:p>
      <w:r>
        <w:br w:type="page"/>
      </w:r>
    </w:p>
    <w:p>
      <w:pPr>
        <w:pStyle w:val="Heading2"/>
        <w:keepNext/>
        <w:spacing w:before="0" w:after="80"/>
      </w:pPr>
      <w:r>
        <w:rPr>
          <w:rFonts w:ascii="Arial" w:hAnsi="Arial" w:eastAsia="Arial"/>
        </w:rPr>
        <w:t>Question 15 (LPCC-WB06-PB-Q015)</w:t>
      </w:r>
    </w:p>
    <w:p>
      <w:pPr>
        <w:keepNext/>
        <w:spacing w:before="0" w:after="60"/>
      </w:pPr>
      <w:r>
        <w:rPr>
          <w:rFonts w:ascii="Arial" w:hAnsi="Arial" w:eastAsia="Arial"/>
          <w:b/>
          <w:color w:val="15768A"/>
          <w:sz w:val="16"/>
        </w:rPr>
        <w:t>LPCC-WB06-PB-Q015 | Integrated Clinical Reasoning | Moderate | Primary concept: Personality pattern versus trauma-related state</w:t>
      </w:r>
    </w:p>
    <w:p>
      <w:pPr>
        <w:keepNext/>
        <w:keepLines/>
        <w:spacing w:before="0" w:after="60"/>
      </w:pPr>
      <w:r>
        <w:rPr>
          <w:rFonts w:ascii="Arial" w:hAnsi="Arial" w:eastAsia="Arial"/>
          <w:b/>
          <w:color w:val="1F2937"/>
          <w:sz w:val="18"/>
        </w:rPr>
        <w:t>Marisol describes frantic messaging, impulsive decisions, and fear of abandonment during eight months in a coercive relationship. Prior partners, family, and work history do not show the same pattern. What is the BEST diagnostic action?</w:t>
      </w:r>
    </w:p>
    <w:p>
      <w:pPr>
        <w:keepLines/>
        <w:spacing w:before="0" w:after="24"/>
      </w:pPr>
      <w:r>
        <w:rPr>
          <w:rFonts w:ascii="Arial" w:hAnsi="Arial" w:eastAsia="Arial"/>
          <w:color w:val="1F2937"/>
          <w:sz w:val="17"/>
        </w:rPr>
        <w:t>A. Diagnose a personality disorder because the behaviors are intense.</w:t>
      </w:r>
    </w:p>
    <w:p>
      <w:pPr>
        <w:keepLines/>
        <w:spacing w:before="0" w:after="24"/>
      </w:pPr>
      <w:r>
        <w:rPr>
          <w:rFonts w:ascii="Arial" w:hAnsi="Arial" w:eastAsia="Arial"/>
          <w:color w:val="1F2937"/>
          <w:sz w:val="17"/>
        </w:rPr>
        <w:t>B. Assess the longitudinal baseline, relationship violence, trauma responses, substance recovery, mood states, and cross-setting history before deciding whether an enduring personality pattern exists.</w:t>
      </w:r>
    </w:p>
    <w:p>
      <w:pPr>
        <w:keepLines/>
        <w:spacing w:before="0" w:after="24"/>
      </w:pPr>
      <w:r>
        <w:rPr>
          <w:rFonts w:ascii="Arial" w:hAnsi="Arial" w:eastAsia="Arial"/>
          <w:color w:val="1F2937"/>
          <w:sz w:val="17"/>
        </w:rPr>
        <w:t>C. Conclude that the current partner caused every symptom.</w:t>
      </w:r>
    </w:p>
    <w:p>
      <w:pPr>
        <w:keepLines/>
        <w:spacing w:before="0" w:after="24"/>
      </w:pPr>
      <w:r>
        <w:rPr>
          <w:rFonts w:ascii="Arial" w:hAnsi="Arial" w:eastAsia="Arial"/>
          <w:color w:val="1F2937"/>
          <w:sz w:val="17"/>
        </w:rPr>
        <w:t>D. Avoid documenting the behaviors because personality topics can be stigmatizing.</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Assess the longitudinal baseline, relationship violence, trauma responses, substance recovery, mood states, and cross-setting history before deciding whether an enduring personality pattern exists.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Intensity in one context and limited duration do not establish an enduring, pervasive pattern.</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The current coercive context and absence of longitudinal cross-setting evidence require careful pattern-versus-state assessment.</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Context is important but should not be used to explain every symptom without assessment.</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Neutral, behaviorally specific documentation is appropriate and clinically useful.</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Personality diagnosis requires PATTERN: persistence, across settings, timing, rule-outs, early course, and neutral documentation.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P - Pattern-versus-state. Do not convert a crisis-bound or relationship-bound state into a lifelong trait diagnosis.</w:t>
            </w:r>
          </w:p>
        </w:tc>
      </w:tr>
    </w:tbl>
    <w:p>
      <w:pPr>
        <w:spacing w:before="0" w:after="0"/>
      </w:pPr>
    </w:p>
    <w:p>
      <w:r>
        <w:br w:type="page"/>
      </w:r>
    </w:p>
    <w:p>
      <w:pPr>
        <w:pStyle w:val="Heading2"/>
        <w:keepNext/>
        <w:spacing w:before="0" w:after="80"/>
      </w:pPr>
      <w:r>
        <w:rPr>
          <w:rFonts w:ascii="Arial" w:hAnsi="Arial" w:eastAsia="Arial"/>
        </w:rPr>
        <w:t>Question 16 (LPCC-WB06-PB-Q016)</w:t>
      </w:r>
    </w:p>
    <w:p>
      <w:pPr>
        <w:keepNext/>
        <w:spacing w:before="0" w:after="60"/>
      </w:pPr>
      <w:r>
        <w:rPr>
          <w:rFonts w:ascii="Arial" w:hAnsi="Arial" w:eastAsia="Arial"/>
          <w:b/>
          <w:color w:val="15768A"/>
          <w:sz w:val="16"/>
        </w:rPr>
        <w:t>LPCC-WB06-PB-Q016 | Integrated Clinical Reasoning | Difficult | Primary concept: Medication self-adjustment and care coordination</w:t>
      </w:r>
    </w:p>
    <w:p>
      <w:pPr>
        <w:keepNext/>
        <w:keepLines/>
        <w:spacing w:before="0" w:after="60"/>
      </w:pPr>
      <w:r>
        <w:rPr>
          <w:rFonts w:ascii="Arial" w:hAnsi="Arial" w:eastAsia="Arial"/>
          <w:b/>
          <w:color w:val="1F2937"/>
          <w:sz w:val="18"/>
        </w:rPr>
        <w:t>Marisol reports doubling a prescribed stimulant dose without consulting the prescriber and now has worsening palpitations and insomnia. What is the counselor's BEST response?</w:t>
      </w:r>
    </w:p>
    <w:p>
      <w:pPr>
        <w:keepLines/>
        <w:spacing w:before="0" w:after="24"/>
      </w:pPr>
      <w:r>
        <w:rPr>
          <w:rFonts w:ascii="Arial" w:hAnsi="Arial" w:eastAsia="Arial"/>
          <w:color w:val="1F2937"/>
          <w:sz w:val="17"/>
        </w:rPr>
        <w:t>A. Direct Marisol to continue the doubled dose until the next counseling session.</w:t>
      </w:r>
    </w:p>
    <w:p>
      <w:pPr>
        <w:keepLines/>
        <w:spacing w:before="0" w:after="24"/>
      </w:pPr>
      <w:r>
        <w:rPr>
          <w:rFonts w:ascii="Arial" w:hAnsi="Arial" w:eastAsia="Arial"/>
          <w:color w:val="1F2937"/>
          <w:sz w:val="17"/>
        </w:rPr>
        <w:t>B. Tell Marisol to stop all medication immediately and permanently.</w:t>
      </w:r>
    </w:p>
    <w:p>
      <w:pPr>
        <w:keepLines/>
        <w:spacing w:before="0" w:after="24"/>
      </w:pPr>
      <w:r>
        <w:rPr>
          <w:rFonts w:ascii="Arial" w:hAnsi="Arial" w:eastAsia="Arial"/>
          <w:color w:val="1F2937"/>
          <w:sz w:val="17"/>
        </w:rPr>
        <w:t>C. Ignore the medication issue because prescribing is outside LPCC scope.</w:t>
      </w:r>
    </w:p>
    <w:p>
      <w:pPr>
        <w:keepLines/>
        <w:spacing w:before="0" w:after="24"/>
      </w:pPr>
      <w:r>
        <w:rPr>
          <w:rFonts w:ascii="Arial" w:hAnsi="Arial" w:eastAsia="Arial"/>
          <w:color w:val="1F2937"/>
          <w:sz w:val="17"/>
        </w:rPr>
        <w:t>D. Assess immediate medical risk, encourage prompt contact with the prescriber or urgent medical care as indicated, communicate relevant information with consent, and document the self-adjustment without independently prescribing.</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Assess immediate medical risk, encourage prompt contact with the prescriber or urgent medical care as indicated, communicate relevant information with consent, and document the self-adjustment without independently prescribing.</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Continuing an unauthorized increased dose despite cardiac symptoms is unsafe.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The counselor should not independently direct permanent medication discontinuation.</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Scope limits do not eliminate the duty to assess risk and coordinate appropriate care.</w:t>
      </w:r>
    </w:p>
    <w:p>
      <w:pPr>
        <w:keepLines/>
        <w:spacing w:before="0" w:after="28"/>
      </w:pPr>
      <w:r>
        <w:rPr>
          <w:rFonts w:ascii="Arial" w:hAnsi="Arial" w:eastAsia="Arial"/>
          <w:b/>
          <w:color w:val="159C9C"/>
          <w:sz w:val="17"/>
        </w:rPr>
        <w:t xml:space="preserve">D. Correct. </w:t>
      </w:r>
      <w:r>
        <w:rPr>
          <w:rFonts w:ascii="Arial" w:hAnsi="Arial" w:eastAsia="Arial"/>
          <w:color w:val="1F2937"/>
          <w:sz w:val="17"/>
        </w:rPr>
        <w:t>This response addresses possible medical urgency, preserves role boundaries, and coordinates medication evaluation.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Medication questions test role clarity: assess, recognize risk, coordinate, and document; do not prescribe through the answer choice.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M - Medication coordination. Scope means coordinate safely, not ignore the medication problem.</w:t>
            </w:r>
          </w:p>
        </w:tc>
      </w:tr>
    </w:tbl>
    <w:p>
      <w:pPr>
        <w:spacing w:before="0" w:after="0"/>
      </w:pPr>
    </w:p>
    <w:p>
      <w:r>
        <w:br w:type="page"/>
      </w:r>
    </w:p>
    <w:p>
      <w:pPr>
        <w:pStyle w:val="Heading2"/>
        <w:keepNext/>
        <w:spacing w:before="0" w:after="80"/>
      </w:pPr>
      <w:r>
        <w:rPr>
          <w:rFonts w:ascii="Arial" w:hAnsi="Arial" w:eastAsia="Arial"/>
        </w:rPr>
        <w:t>Question 17 (LPCC-WB06-PB-Q017)</w:t>
      </w:r>
    </w:p>
    <w:p>
      <w:pPr>
        <w:keepNext/>
        <w:spacing w:before="0" w:after="60"/>
      </w:pPr>
      <w:r>
        <w:rPr>
          <w:rFonts w:ascii="Arial" w:hAnsi="Arial" w:eastAsia="Arial"/>
          <w:b/>
          <w:color w:val="15768A"/>
          <w:sz w:val="16"/>
        </w:rPr>
        <w:t>LPCC-WB06-PB-Q017 | Application | Moderate | Primary concept: Integrated diagnostic and referral plan</w:t>
      </w:r>
    </w:p>
    <w:p>
      <w:pPr>
        <w:keepNext/>
        <w:keepLines/>
        <w:spacing w:before="0" w:after="60"/>
      </w:pPr>
      <w:r>
        <w:rPr>
          <w:rFonts w:ascii="Arial" w:hAnsi="Arial" w:eastAsia="Arial"/>
          <w:b/>
          <w:color w:val="1F2937"/>
          <w:sz w:val="18"/>
        </w:rPr>
        <w:t>Which plan BEST integrates Marisol's current needs?</w:t>
      </w:r>
    </w:p>
    <w:p>
      <w:pPr>
        <w:keepLines/>
        <w:spacing w:before="0" w:after="24"/>
      </w:pPr>
      <w:r>
        <w:rPr>
          <w:rFonts w:ascii="Arial" w:hAnsi="Arial" w:eastAsia="Arial"/>
          <w:color w:val="1F2937"/>
          <w:sz w:val="17"/>
        </w:rPr>
        <w:t>A. Suspend counseling until every specialist reaches a final diagnosis.</w:t>
      </w:r>
    </w:p>
    <w:p>
      <w:pPr>
        <w:keepLines/>
        <w:spacing w:before="0" w:after="24"/>
      </w:pPr>
      <w:r>
        <w:rPr>
          <w:rFonts w:ascii="Arial" w:hAnsi="Arial" w:eastAsia="Arial"/>
          <w:color w:val="1F2937"/>
          <w:sz w:val="17"/>
        </w:rPr>
        <w:t>B. Select one primary diagnosis and postpone all other concerns to reduce complexity.</w:t>
      </w:r>
    </w:p>
    <w:p>
      <w:pPr>
        <w:keepLines/>
        <w:spacing w:before="0" w:after="24"/>
      </w:pPr>
      <w:r>
        <w:rPr>
          <w:rFonts w:ascii="Arial" w:hAnsi="Arial" w:eastAsia="Arial"/>
          <w:color w:val="1F2937"/>
          <w:sz w:val="17"/>
        </w:rPr>
        <w:t>C. Coordinate medical and eating-disorder evaluation, sustain substance-recovery care, continue safety and relationship assessment, pursue scope-appropriate neurodevelopmental evaluation and referral, and revise the shared formulation as evidence changes.</w:t>
      </w:r>
    </w:p>
    <w:p>
      <w:pPr>
        <w:keepLines/>
        <w:spacing w:before="0" w:after="24"/>
      </w:pPr>
      <w:r>
        <w:rPr>
          <w:rFonts w:ascii="Arial" w:hAnsi="Arial" w:eastAsia="Arial"/>
          <w:color w:val="1F2937"/>
          <w:sz w:val="17"/>
        </w:rPr>
        <w:t>D. Transfer Marisol to multiple specialists without identifying who will maintain continuity.</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Coordinate medical and eating-disorder evaluation, sustain substance-recovery care, continue safety and relationship assessment, pursue scope-appropriate neurodevelopmental evaluation and referral, and revise the shared formulation as evidence changes.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Counseling and coordination can continue while specialty questions are clarified.</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Artificially narrowing the case can miss urgent and interacting needs.</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This plan prioritizes medical risk, supports recovery, addresses safety and development, uses appropriate referral, and maintains a revisable integrated formulation.</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Multiple referrals without continuity can fragment care and create a no-wrong-door failure.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The best complex-case answer names priorities, assigns roles, preserves continuity, and keeps the formulation provisional.</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I - Integration failure. Coordinate the whole case rather than serializing or scattering its parts.</w:t>
            </w:r>
          </w:p>
        </w:tc>
      </w:tr>
    </w:tbl>
    <w:p>
      <w:pPr>
        <w:spacing w:before="0" w:after="0"/>
      </w:pPr>
    </w:p>
    <w:p>
      <w:r>
        <w:br w:type="page"/>
      </w:r>
    </w:p>
    <w:p>
      <w:pPr>
        <w:pStyle w:val="Heading1"/>
        <w:spacing w:before="0" w:after="80"/>
      </w:pPr>
      <w:r>
        <w:rPr>
          <w:rFonts w:ascii="Arial" w:hAnsi="Arial" w:eastAsia="Arial"/>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40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Measure</w:t>
            </w:r>
          </w:p>
        </w:tc>
        <w:tc>
          <w:tcPr>
            <w:tcW w:type="dxa" w:w="453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Result</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Total score</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17</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Easy items</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Moderate items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7</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Difficult items</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Targeted items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Three-part case</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12</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Low-confidence correct answers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Most frequent error code</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________________________</w:t>
            </w:r>
          </w:p>
        </w:tc>
      </w:tr>
    </w:tbl>
    <w:p>
      <w:pPr>
        <w:spacing w:before="0" w:after="0"/>
      </w:pPr>
    </w:p>
    <w:p>
      <w:pPr>
        <w:pStyle w:val="Heading2"/>
        <w:spacing w:before="0" w:after="80"/>
      </w:pPr>
      <w:r>
        <w:rPr>
          <w:rFonts w:ascii="Arial" w:hAnsi="Arial" w:eastAsia="Arial"/>
        </w:rPr>
        <w:t>Workbook 6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Code</w:t>
            </w:r>
          </w:p>
        </w:tc>
        <w:tc>
          <w:tcPr>
            <w:tcW w:type="dxa" w:w="252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Meaning</w:t>
            </w:r>
          </w:p>
        </w:tc>
        <w:tc>
          <w:tcPr>
            <w:tcW w:type="dxa" w:w="67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Correction Rule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E</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Evidence hierarchy</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One screen, laboratory result, or rating scale supports assessment; it does not replace the full clinical pattern.</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W</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Withdrawal danger</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Escalate when severe alcohol or sedative withdrawal, prior seizure, overdose, or dangerous interaction clues appear.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T</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Timeline error</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Compare symptoms with use, intoxication, withdrawal, abstinence, medication changes, and independent persistence.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M</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Medical/medication differential</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Assess urgency and coordinate with qualified medical or prescribing professionals without independently prescribing.</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D</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Developmental evidence</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Require childhood or early-development evidence, multiple settings, corroboration, impairment, and rule-outs.</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Pattern-versus-state</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Personality diagnosis requires an enduring, pervasive pattern beyond one crisis, relationship, episode, or substance state.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S</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Scope and referral</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Continue what is within LPCC competence and refer the excluded or specialty assessment function.</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B</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Body-systems reasoning</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Validate symptoms while prioritizing medical red flags and specialty care.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I</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Integration failure</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Treat and coordinate co-occurring needs without false either/or reasoning or fragmented abandonment.</w:t>
            </w:r>
          </w:p>
        </w:tc>
      </w:tr>
    </w:tbl>
    <w:p>
      <w:pPr>
        <w:spacing w:before="0" w:after="0"/>
      </w:pPr>
    </w:p>
    <w:p>
      <w:r>
        <w:br w:type="page"/>
      </w:r>
    </w:p>
    <w:p>
      <w:pPr>
        <w:pStyle w:val="Heading1"/>
        <w:spacing w:before="0" w:after="80"/>
      </w:pPr>
      <w:r>
        <w:rPr>
          <w:rFonts w:ascii="Arial" w:hAnsi="Arial" w:eastAsia="Arial"/>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86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Item</w:t>
            </w:r>
          </w:p>
        </w:tc>
        <w:tc>
          <w:tcPr>
            <w:tcW w:type="dxa" w:w="144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Error Code</w:t>
            </w:r>
          </w:p>
        </w:tc>
        <w:tc>
          <w:tcPr>
            <w:tcW w:type="dxa" w:w="640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My Transferable Correction Rule</w:t>
            </w:r>
          </w:p>
        </w:tc>
        <w:tc>
          <w:tcPr>
            <w:tcW w:type="dxa" w:w="13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New Practice Completed?</w:t>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READINESS STANDARD</w:t>
            </w:r>
          </w:p>
          <w:p>
            <w:pPr>
              <w:spacing w:after="0"/>
            </w:pPr>
            <w:r>
              <w:rPr>
                <w:rFonts w:ascii="Arial" w:hAnsi="Arial" w:eastAsia="Arial"/>
                <w:color w:val="1F2937"/>
                <w:sz w:val="16"/>
              </w:rPr>
              <w:t>Workbook 6 readiness requires disciplined use of the substance and medication timeline, developmental and longitudinal evidence, California LPCC assessment limits, medical and eating/sleep triage, neutral personality reasoning, and integrated co-occurring care. A raw score alone is not sufficient.</w:t>
            </w:r>
          </w:p>
        </w:tc>
      </w:tr>
    </w:tbl>
    <w:p>
      <w:pPr>
        <w:spacing w:before="0" w:after="0"/>
      </w:pPr>
    </w:p>
    <w:p>
      <w:pPr>
        <w:pStyle w:val="Heading2"/>
        <w:spacing w:before="0" w:after="80"/>
      </w:pPr>
      <w:r>
        <w:rPr>
          <w:rFonts w:ascii="Arial" w:hAnsi="Arial" w:eastAsia="Arial"/>
        </w:rPr>
        <w:t>Suggested Remediation by Error Pattern</w:t>
      </w:r>
    </w:p>
    <w:p>
      <w:pPr>
        <w:pStyle w:val="ListBullet"/>
        <w:keepLines/>
        <w:spacing w:after="24"/>
      </w:pPr>
      <w:r>
        <w:rPr>
          <w:rFonts w:ascii="Arial" w:hAnsi="Arial" w:eastAsia="Arial"/>
          <w:color w:val="1F2937"/>
          <w:sz w:val="17"/>
        </w:rPr>
        <w:t>E or T: Rebuild the CLEAR timeline and identify exactly when each symptom begins, worsens, resolves, or persists.</w:t>
      </w:r>
    </w:p>
    <w:p>
      <w:pPr>
        <w:pStyle w:val="ListBullet"/>
        <w:keepLines/>
        <w:spacing w:after="24"/>
      </w:pPr>
      <w:r>
        <w:rPr>
          <w:rFonts w:ascii="Arial" w:hAnsi="Arial" w:eastAsia="Arial"/>
          <w:color w:val="1F2937"/>
          <w:sz w:val="17"/>
        </w:rPr>
        <w:t>W, M, or B: Review medical urgency, withdrawal, medication-change, fainting, palpitations, altered attention, and specialty-referral cues.</w:t>
      </w:r>
    </w:p>
    <w:p>
      <w:pPr>
        <w:pStyle w:val="ListBullet"/>
        <w:keepLines/>
        <w:spacing w:after="24"/>
      </w:pPr>
      <w:r>
        <w:rPr>
          <w:rFonts w:ascii="Arial" w:hAnsi="Arial" w:eastAsia="Arial"/>
          <w:color w:val="1F2937"/>
          <w:sz w:val="17"/>
        </w:rPr>
        <w:t>D: Recomplete the DEVELOP matrix using childhood onset, multiple settings, corroboration, functional impact, and alternative explanations.</w:t>
      </w:r>
    </w:p>
    <w:p>
      <w:pPr>
        <w:pStyle w:val="ListBullet"/>
        <w:keepLines/>
        <w:spacing w:after="24"/>
      </w:pPr>
      <w:r>
        <w:rPr>
          <w:rFonts w:ascii="Arial" w:hAnsi="Arial" w:eastAsia="Arial"/>
          <w:color w:val="1F2937"/>
          <w:sz w:val="17"/>
        </w:rPr>
        <w:t>P: Recomplete PATTERN and compare longitudinal baseline with trauma, coercion, mood, substances, development, and culture.</w:t>
      </w:r>
    </w:p>
    <w:p>
      <w:pPr>
        <w:pStyle w:val="ListBullet"/>
        <w:keepLines/>
        <w:spacing w:after="24"/>
      </w:pPr>
      <w:r>
        <w:rPr>
          <w:rFonts w:ascii="Arial" w:hAnsi="Arial" w:eastAsia="Arial"/>
          <w:color w:val="1F2937"/>
          <w:sz w:val="17"/>
        </w:rPr>
        <w:t>S: State the excluded or specialized testing question, the qualified referral needed, and the counseling functions that continue.</w:t>
      </w:r>
    </w:p>
    <w:p>
      <w:pPr>
        <w:pStyle w:val="ListBullet"/>
        <w:keepLines/>
        <w:spacing w:after="24"/>
      </w:pPr>
      <w:r>
        <w:rPr>
          <w:rFonts w:ascii="Arial" w:hAnsi="Arial" w:eastAsia="Arial"/>
          <w:color w:val="1F2937"/>
          <w:sz w:val="17"/>
        </w:rPr>
        <w:t>I: Draft one integrated plan that names priorities, roles, handoffs, monitoring, and who maintains continuity.</w:t>
      </w: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SOURCE AND VERSION CONTROL</w:t>
            </w:r>
          </w:p>
          <w:p>
            <w:pPr>
              <w:spacing w:after="0"/>
            </w:pPr>
            <w:r>
              <w:rPr>
                <w:rFonts w:ascii="Arial" w:hAnsi="Arial" w:eastAsia="Arial"/>
                <w:color w:val="1F2937"/>
                <w:sz w:val="16"/>
              </w:rPr>
              <w:t>This bank was developed from CTA LPCC Workbook 6 and its verified July 2026 source set, including the current DSM-5-TR framework and September 2025 updates, current NCMHCE materials, California Business and Professions Code section 4999.20, and current federal co-occurring-disorder guidance. CTA content paraphrases and synthesizes; it does not reproduce protected diagnostic criteria or secure examination items.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PUBLICATION CONTROL</w:t>
            </w:r>
          </w:p>
          <w:p>
            <w:pPr>
              <w:spacing w:after="0"/>
            </w:pPr>
            <w:r>
              <w:rPr>
                <w:rFonts w:ascii="Arial" w:hAnsi="Arial" w:eastAsia="Arial"/>
                <w:color w:val="1F2937"/>
                <w:sz w:val="16"/>
              </w:rPr>
              <w:t>This bank is aligned to CTA LPCC Workbook 6 and the LPCC Master Blueprint Crosswalk. Comprehensive simulations are developed separately and should not simply combine or repeat workbook-bank items.</w:t>
            </w:r>
          </w:p>
        </w:tc>
      </w:tr>
    </w:tbl>
    <w:p>
      <w:pPr>
        <w:spacing w:before="0"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WB6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WB6 - 17-Question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6: 17-Question Practice Bank - Answer &amp; Rationales</dc:title>
  <dc:subject>Diagnosis and Differential Diagnosis II</dc:subject>
  <dc:creator>Clinical Training and Supervision Academy</dc:creator>
  <cp:keywords>LPCC, NCMHCE, rationales, substance use, personality, neurodevelopmental, eating, sleep, medical, co-occurring</cp:keywords>
  <dc:description>generated by python-docx</dc:description>
  <cp:lastModifiedBy/>
  <cp:revision>1</cp:revision>
  <dcterms:created xsi:type="dcterms:W3CDTF">2013-12-23T23:15:00Z</dcterms:created>
  <dcterms:modified xsi:type="dcterms:W3CDTF">2013-12-23T23:15:00Z</dcterms:modified>
  <cp:category/>
</cp:coreProperties>
</file>