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Candidate Question Form</w:t>
      </w:r>
    </w:p>
    <w:p>
      <w:pPr>
        <w:spacing w:before="0" w:after="60" w:line="245" w:lineRule="auto"/>
        <w:jc w:val="center"/>
      </w:pPr>
      <w:r>
        <w:rPr>
          <w:rFonts w:ascii="Arial" w:hAnsi="Arial" w:eastAsia="Arial"/>
          <w:b/>
          <w:i w:val="0"/>
          <w:color w:val="17365D"/>
          <w:sz w:val="36"/>
        </w:rPr>
        <w:t>Workbook 11: 17-Question Practice Bank</w:t>
      </w:r>
    </w:p>
    <w:p>
      <w:pPr>
        <w:spacing w:before="0" w:after="40" w:line="245" w:lineRule="auto"/>
        <w:jc w:val="center"/>
      </w:pPr>
      <w:r>
        <w:rPr>
          <w:rFonts w:ascii="Arial" w:hAnsi="Arial" w:eastAsia="Arial"/>
          <w:b w:val="0"/>
          <w:i w:val="0"/>
          <w:color w:val="1F2937"/>
          <w:sz w:val="22"/>
        </w:rPr>
        <w:t>Individual, Group, Couple/Family, Referral, Continuity, and Interdisciplinary Collaboration</w:t>
      </w:r>
    </w:p>
    <w:p>
      <w:pPr>
        <w:spacing w:before="0" w:after="80" w:line="245" w:lineRule="auto"/>
        <w:jc w:val="center"/>
      </w:pPr>
      <w:r>
        <w:rPr>
          <w:rFonts w:ascii="Arial" w:hAnsi="Arial" w:eastAsia="Arial"/>
          <w:b w:val="0"/>
          <w:i/>
          <w:color w:val="4B5563"/>
          <w:sz w:val="17"/>
        </w:rPr>
        <w:t>Complete independently before opening the separate answer-and-rationales document</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Candidate Instructions</w:t>
      </w:r>
    </w:p>
    <w:p>
      <w:pPr>
        <w:pStyle w:val="ListBullet"/>
        <w:spacing w:before="0" w:after="20" w:line="245" w:lineRule="auto"/>
      </w:pPr>
      <w:r>
        <w:rPr>
          <w:rFonts w:ascii="Arial" w:hAnsi="Arial" w:eastAsia="Arial"/>
          <w:sz w:val="17"/>
        </w:rPr>
        <w:t>Complete all 17 questions without opening the Answer &amp; Rationales form.</w:t>
      </w:r>
    </w:p>
    <w:p>
      <w:pPr>
        <w:pStyle w:val="ListBullet"/>
        <w:spacing w:before="0" w:after="20" w:line="245" w:lineRule="auto"/>
      </w:pPr>
      <w:r>
        <w:rPr>
          <w:rFonts w:ascii="Arial" w:hAnsi="Arial" w:eastAsia="Arial"/>
          <w:sz w:val="17"/>
        </w:rPr>
        <w:t>Suggested timing: 27 minutes total. Record one answer, a confidence rating from 1 to 3, and a flag if review is needed.</w:t>
      </w:r>
    </w:p>
    <w:p>
      <w:pPr>
        <w:pStyle w:val="ListBullet"/>
        <w:spacing w:before="0" w:after="20" w:line="245" w:lineRule="auto"/>
      </w:pPr>
      <w:r>
        <w:rPr>
          <w:rFonts w:ascii="Arial" w:hAnsi="Arial" w:eastAsia="Arial"/>
          <w:sz w:val="17"/>
        </w:rPr>
        <w:t>Questions 1-5 are targeted modality, group, relational, referral, and team-collaboration items. Questions 6-17 form one three-part NCMHCE-style case.</w:t>
      </w:r>
    </w:p>
    <w:p>
      <w:pPr>
        <w:pStyle w:val="ListBullet"/>
        <w:spacing w:before="0" w:after="20" w:line="245" w:lineRule="auto"/>
      </w:pPr>
      <w:r>
        <w:rPr>
          <w:rFonts w:ascii="Arial" w:hAnsi="Arial" w:eastAsia="Arial"/>
          <w:sz w:val="17"/>
        </w:rPr>
        <w:t>For the case, use only the facts available in the current section. Once you continue, do not revise earlier case-section answers or use later facts as earlier evidence.</w:t>
      </w:r>
    </w:p>
    <w:p>
      <w:pPr>
        <w:pStyle w:val="ListBullet"/>
        <w:spacing w:before="0" w:after="20" w:line="245" w:lineRule="auto"/>
      </w:pPr>
      <w:r>
        <w:rPr>
          <w:rFonts w:ascii="Arial" w:hAnsi="Arial" w:eastAsia="Arial"/>
          <w:sz w:val="17"/>
        </w:rPr>
        <w:t>Choose one best answer. Give priority to MODE fit, GROUP preparation and process, SYSTEM safety and client identity, HANDOFF connection and follow-up, and TEAM role clarity and coordination.</w:t>
      </w:r>
    </w:p>
    <w:p>
      <w:pPr>
        <w:pStyle w:val="ListBullet"/>
        <w:spacing w:before="0" w:after="20" w:line="245" w:lineRule="auto"/>
      </w:pPr>
      <w:r>
        <w:rPr>
          <w:rFonts w:ascii="Arial" w:hAnsi="Arial" w:eastAsia="Arial"/>
          <w:sz w:val="17"/>
        </w:rPr>
        <w:t>After completing the bank, use the separate rationale form to review every option and write a transferable correction rule.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WORKBOOK 11 DECISION TOOLS</w:t>
            </w:r>
          </w:p>
          <w:p>
            <w:pPr>
              <w:spacing w:before="0" w:after="0" w:line="240" w:lineRule="auto"/>
            </w:pPr>
            <w:r>
              <w:rPr>
                <w:rFonts w:ascii="Arial" w:hAnsi="Arial" w:eastAsia="Arial"/>
                <w:color w:val="1F2937"/>
                <w:sz w:val="16"/>
              </w:rPr>
              <w:t>MODE matches service format to clinical purpose, safety, client preference, access, evidence, and competence. GROUP screens, prepares, leads, evaluates, and terminates responsibly. SYSTEM clarifies the client, relational role, consent, records, safety, and competence. HANDOFF matches need to qualified care, reduces barriers, connects actively, and follows the result. TEAM defines purpose, authorization, roles, information, responsibility, and follow-up.</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EDUCATIONAL AND NON-AFFILIATION NOTICE</w:t>
            </w:r>
          </w:p>
          <w:p>
            <w:pPr>
              <w:spacing w:before="0" w:after="0" w:line="240" w:lineRule="auto"/>
            </w:pPr>
            <w:r>
              <w:rPr>
                <w:rFonts w:ascii="Arial" w:hAnsi="Arial" w:eastAsia="Arial"/>
                <w:color w:val="1F2937"/>
                <w:sz w:val="15"/>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pStyle w:val="Heading2"/>
        <w:spacing w:before="0" w:after="60" w:line="245" w:lineRule="auto"/>
        <w:keepNext/>
      </w:pPr>
      <w:r>
        <w:rPr>
          <w:rFonts w:ascii="Arial" w:hAnsi="Arial" w:eastAsia="Arial"/>
          <w:b/>
          <w:color w:val="17365D"/>
          <w:sz w:val="21"/>
        </w:rPr>
        <w:t>Candidate Answer Sheet</w:t>
      </w:r>
    </w:p>
    <w:p>
      <w:pPr>
        <w:spacing w:before="0" w:after="40" w:line="245" w:lineRule="auto"/>
      </w:pPr>
      <w:r>
        <w:rPr>
          <w:rFonts w:ascii="Arial" w:hAnsi="Arial" w:eastAsia="Arial"/>
          <w:b/>
          <w:i w:val="0"/>
          <w:color w:val="17365D"/>
          <w:sz w:val="16"/>
        </w:rPr>
        <w:t>Start time: __________    End time: __________    Total time: __________</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10</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2</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11</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3</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12</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4</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13</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5</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14</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6</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15</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7</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16</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8</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17</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9</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r>
        <w:br w:type="page"/>
      </w:r>
    </w:p>
    <w:p>
      <w:pPr>
        <w:pStyle w:val="Heading1"/>
        <w:spacing w:before="0" w:after="60" w:line="245" w:lineRule="auto"/>
        <w:keepNext/>
      </w:pPr>
      <w:r>
        <w:rPr>
          <w:rFonts w:ascii="Arial" w:hAnsi="Arial" w:eastAsia="Arial"/>
          <w:b/>
          <w:color w:val="159C9C"/>
          <w:sz w:val="28"/>
        </w:rPr>
        <w:t>Section I - Targeted Modality and Coordinated-Care Questions</w:t>
      </w:r>
    </w:p>
    <w:p>
      <w:pPr>
        <w:spacing w:before="0" w:after="60" w:line="245" w:lineRule="auto"/>
      </w:pPr>
      <w:r>
        <w:rPr>
          <w:rFonts w:ascii="Arial" w:hAnsi="Arial" w:eastAsia="Arial"/>
          <w:b w:val="0"/>
          <w:i/>
          <w:color w:val="17365D"/>
          <w:sz w:val="16"/>
        </w:rPr>
        <w:t>Complete Questions 1-5 by matching modality to purpose, preparing groups, clarifying relational roles, building usable referrals, and coordinating teams around client goals and safety.</w:t>
      </w:r>
    </w:p>
    <w:p>
      <w:pPr>
        <w:spacing w:before="0" w:after="20" w:line="245" w:lineRule="auto"/>
        <w:keepNext/>
      </w:pPr>
      <w:r>
        <w:rPr>
          <w:rFonts w:ascii="Arial" w:hAnsi="Arial" w:eastAsia="Arial"/>
          <w:b/>
          <w:color w:val="159C9C"/>
          <w:sz w:val="14"/>
        </w:rPr>
        <w:t>LPCC-WB11-PB-Q001 | Knowledge &amp; Application | Easy | Primary concept: MODE modality selection</w:t>
      </w:r>
    </w:p>
    <w:p>
      <w:pPr>
        <w:spacing w:before="0" w:after="20" w:line="245" w:lineRule="auto"/>
        <w:keepNext/>
      </w:pPr>
      <w:r>
        <w:rPr>
          <w:rFonts w:ascii="Arial" w:hAnsi="Arial" w:eastAsia="Arial"/>
          <w:b/>
          <w:sz w:val="16"/>
        </w:rPr>
        <w:t>A client with panic symptoms asks to join a group because it costs less than individual counseling. What should the counselor do FIRST?</w:t>
      </w:r>
    </w:p>
    <w:p>
      <w:pPr>
        <w:spacing w:before="0" w:after="10" w:line="240" w:lineRule="auto"/>
        <w:ind w:left="230" w:hanging="230"/>
      </w:pPr>
      <w:r>
        <w:rPr>
          <w:rFonts w:ascii="Arial" w:hAnsi="Arial" w:eastAsia="Arial"/>
          <w:sz w:val="16"/>
        </w:rPr>
        <w:t>A. Enroll the client immediately because affordability is the most important indicator of fit.</w:t>
      </w:r>
    </w:p>
    <w:p>
      <w:pPr>
        <w:spacing w:before="0" w:after="10" w:line="240" w:lineRule="auto"/>
        <w:ind w:left="230" w:hanging="230"/>
      </w:pPr>
      <w:r>
        <w:rPr>
          <w:rFonts w:ascii="Arial" w:hAnsi="Arial" w:eastAsia="Arial"/>
          <w:sz w:val="16"/>
        </w:rPr>
        <w:t>B. Clarify the clinical purpose, safety, readiness, preferences, access needs, and the specific group’s structure before recommending a modality.</w:t>
      </w:r>
    </w:p>
    <w:p>
      <w:pPr>
        <w:spacing w:before="0" w:after="10" w:line="240" w:lineRule="auto"/>
        <w:ind w:left="230" w:hanging="230"/>
      </w:pPr>
      <w:r>
        <w:rPr>
          <w:rFonts w:ascii="Arial" w:hAnsi="Arial" w:eastAsia="Arial"/>
          <w:sz w:val="16"/>
        </w:rPr>
        <w:t>C. Refuse group counseling because panic symptoms always require individual treatment.</w:t>
      </w:r>
    </w:p>
    <w:p>
      <w:pPr>
        <w:spacing w:before="0" w:after="10" w:line="240" w:lineRule="auto"/>
        <w:ind w:left="230" w:hanging="230"/>
      </w:pPr>
      <w:r>
        <w:rPr>
          <w:rFonts w:ascii="Arial" w:hAnsi="Arial" w:eastAsia="Arial"/>
          <w:sz w:val="16"/>
        </w:rPr>
        <w:t>D. Let the client choose without discussing benefits, risks, alternatives, or participation expectations.</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LPCC-WB11-PB-Q002 | Knowledge &amp; Application | Easy | Primary concept: GROUP confidentiality limits</w:t>
      </w:r>
    </w:p>
    <w:p>
      <w:pPr>
        <w:spacing w:before="0" w:after="20" w:line="245" w:lineRule="auto"/>
        <w:keepNext/>
      </w:pPr>
      <w:r>
        <w:rPr>
          <w:rFonts w:ascii="Arial" w:hAnsi="Arial" w:eastAsia="Arial"/>
          <w:b/>
          <w:sz w:val="16"/>
        </w:rPr>
        <w:t>Which statement is MOST accurate to include during informed consent for a counseling group?</w:t>
      </w:r>
    </w:p>
    <w:p>
      <w:pPr>
        <w:spacing w:before="0" w:after="10" w:line="240" w:lineRule="auto"/>
        <w:ind w:left="230" w:hanging="230"/>
      </w:pPr>
      <w:r>
        <w:rPr>
          <w:rFonts w:ascii="Arial" w:hAnsi="Arial" w:eastAsia="Arial"/>
          <w:sz w:val="16"/>
        </w:rPr>
        <w:t>A. The counselor will protect information within professional control, but cannot guarantee that other members will keep everything private.</w:t>
      </w:r>
    </w:p>
    <w:p>
      <w:pPr>
        <w:spacing w:before="0" w:after="10" w:line="240" w:lineRule="auto"/>
        <w:ind w:left="230" w:hanging="230"/>
      </w:pPr>
      <w:r>
        <w:rPr>
          <w:rFonts w:ascii="Arial" w:hAnsi="Arial" w:eastAsia="Arial"/>
          <w:sz w:val="16"/>
        </w:rPr>
        <w:t>B. Group members are legally bound by the same confidentiality duties as the counselor in every circumstance.</w:t>
      </w:r>
    </w:p>
    <w:p>
      <w:pPr>
        <w:spacing w:before="0" w:after="10" w:line="240" w:lineRule="auto"/>
        <w:ind w:left="230" w:hanging="230"/>
      </w:pPr>
      <w:r>
        <w:rPr>
          <w:rFonts w:ascii="Arial" w:hAnsi="Arial" w:eastAsia="Arial"/>
          <w:sz w:val="16"/>
        </w:rPr>
        <w:t>C. Confidentiality does not apply because several clients are present.</w:t>
      </w:r>
    </w:p>
    <w:p>
      <w:pPr>
        <w:spacing w:before="0" w:after="10" w:line="240" w:lineRule="auto"/>
        <w:ind w:left="230" w:hanging="230"/>
      </w:pPr>
      <w:r>
        <w:rPr>
          <w:rFonts w:ascii="Arial" w:hAnsi="Arial" w:eastAsia="Arial"/>
          <w:sz w:val="16"/>
        </w:rPr>
        <w:t>D. Privacy only needs to be discussed if the group is conducted online.</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LPCC-WB11-PB-Q003 | Application | Moderate | Primary concept: SYSTEM client and relational-role clarification</w:t>
      </w:r>
    </w:p>
    <w:p>
      <w:pPr>
        <w:spacing w:before="0" w:after="20" w:line="245" w:lineRule="auto"/>
        <w:keepNext/>
      </w:pPr>
      <w:r>
        <w:rPr>
          <w:rFonts w:ascii="Arial" w:hAnsi="Arial" w:eastAsia="Arial"/>
          <w:b/>
          <w:sz w:val="16"/>
        </w:rPr>
        <w:t>An individual client asks to bring a spouse to the next session to “fix our communication.” What is the BEST counselor response before agreeing?</w:t>
      </w:r>
    </w:p>
    <w:p>
      <w:pPr>
        <w:spacing w:before="0" w:after="10" w:line="240" w:lineRule="auto"/>
        <w:ind w:left="230" w:hanging="230"/>
      </w:pPr>
      <w:r>
        <w:rPr>
          <w:rFonts w:ascii="Arial" w:hAnsi="Arial" w:eastAsia="Arial"/>
          <w:sz w:val="16"/>
        </w:rPr>
        <w:t>A. Agree because the original client may invite anyone into treatment.</w:t>
      </w:r>
    </w:p>
    <w:p>
      <w:pPr>
        <w:spacing w:before="0" w:after="10" w:line="240" w:lineRule="auto"/>
        <w:ind w:left="230" w:hanging="230"/>
      </w:pPr>
      <w:r>
        <w:rPr>
          <w:rFonts w:ascii="Arial" w:hAnsi="Arial" w:eastAsia="Arial"/>
          <w:sz w:val="16"/>
        </w:rPr>
        <w:t>B. Decline because LPCCs are never permitted to use couple or family strategies.</w:t>
      </w:r>
    </w:p>
    <w:p>
      <w:pPr>
        <w:spacing w:before="0" w:after="10" w:line="240" w:lineRule="auto"/>
        <w:ind w:left="230" w:hanging="230"/>
      </w:pPr>
      <w:r>
        <w:rPr>
          <w:rFonts w:ascii="Arial" w:hAnsi="Arial" w:eastAsia="Arial"/>
          <w:sz w:val="16"/>
        </w:rPr>
        <w:t>C. Clarify the treatment unit, goals, safety, consent, confidentiality, records, between-session communications, and the counselor’s competence.</w:t>
      </w:r>
    </w:p>
    <w:p>
      <w:pPr>
        <w:spacing w:before="0" w:after="10" w:line="240" w:lineRule="auto"/>
        <w:ind w:left="230" w:hanging="230"/>
      </w:pPr>
      <w:r>
        <w:rPr>
          <w:rFonts w:ascii="Arial" w:hAnsi="Arial" w:eastAsia="Arial"/>
          <w:sz w:val="16"/>
        </w:rPr>
        <w:t>D. Ask the spouse to sign a generic release and begin conjoint treatment immediately.</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LPCC-WB11-PB-Q004 | Application | Moderate | Primary concept: HANDOFF referral and continuity</w:t>
      </w:r>
    </w:p>
    <w:p>
      <w:pPr>
        <w:spacing w:before="0" w:after="20" w:line="245" w:lineRule="auto"/>
        <w:keepNext/>
      </w:pPr>
      <w:r>
        <w:rPr>
          <w:rFonts w:ascii="Arial" w:hAnsi="Arial" w:eastAsia="Arial"/>
          <w:b/>
          <w:sz w:val="16"/>
        </w:rPr>
        <w:t>A counselor determines that a client needs specialized eating-disorder treatment beyond the counselor’s competence. Which action is BEST?</w:t>
      </w:r>
    </w:p>
    <w:p>
      <w:pPr>
        <w:spacing w:before="0" w:after="10" w:line="240" w:lineRule="auto"/>
        <w:ind w:left="230" w:hanging="230"/>
      </w:pPr>
      <w:r>
        <w:rPr>
          <w:rFonts w:ascii="Arial" w:hAnsi="Arial" w:eastAsia="Arial"/>
          <w:sz w:val="16"/>
        </w:rPr>
        <w:t>A. Give the client one national directory and close the case immediately.</w:t>
      </w:r>
    </w:p>
    <w:p>
      <w:pPr>
        <w:spacing w:before="0" w:after="10" w:line="240" w:lineRule="auto"/>
        <w:ind w:left="230" w:hanging="230"/>
      </w:pPr>
      <w:r>
        <w:rPr>
          <w:rFonts w:ascii="Arial" w:hAnsi="Arial" w:eastAsia="Arial"/>
          <w:sz w:val="16"/>
        </w:rPr>
        <w:t>B. Continue the same treatment without discussing specialty care so the client does not feel rejected.</w:t>
      </w:r>
    </w:p>
    <w:p>
      <w:pPr>
        <w:spacing w:before="0" w:after="10" w:line="240" w:lineRule="auto"/>
        <w:ind w:left="230" w:hanging="230"/>
      </w:pPr>
      <w:r>
        <w:rPr>
          <w:rFonts w:ascii="Arial" w:hAnsi="Arial" w:eastAsia="Arial"/>
          <w:sz w:val="16"/>
        </w:rPr>
        <w:t>C. Tell the client to locate a specialist independently and return after treatment is complete.</w:t>
      </w:r>
    </w:p>
    <w:p>
      <w:pPr>
        <w:spacing w:before="0" w:after="10" w:line="240" w:lineRule="auto"/>
        <w:ind w:left="230" w:hanging="230"/>
      </w:pPr>
      <w:r>
        <w:rPr>
          <w:rFonts w:ascii="Arial" w:hAnsi="Arial" w:eastAsia="Arial"/>
          <w:sz w:val="16"/>
        </w:rPr>
        <w:t>D. Explain the clinical need, identify qualified and accessible options, obtain consent for a warm handoff, maintain appropriate support during transition, and follow up on connection.</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LPCC-WB11-PB-Q005 | Integrated Clinical Reasoning | Difficult | Primary concept: TEAM conflict resolution and client inclusion</w:t>
      </w:r>
    </w:p>
    <w:p>
      <w:pPr>
        <w:spacing w:before="0" w:after="20" w:line="245" w:lineRule="auto"/>
        <w:keepNext/>
      </w:pPr>
      <w:r>
        <w:rPr>
          <w:rFonts w:ascii="Arial" w:hAnsi="Arial" w:eastAsia="Arial"/>
          <w:b/>
          <w:sz w:val="16"/>
        </w:rPr>
        <w:t>A prescriber, primary-care clinician, and group counselor offer conflicting recommendations, and the client says no one has explained the disagreement. What is the BEST counselor response?</w:t>
      </w:r>
    </w:p>
    <w:p>
      <w:pPr>
        <w:spacing w:before="0" w:after="10" w:line="240" w:lineRule="auto"/>
        <w:ind w:left="230" w:hanging="230"/>
      </w:pPr>
      <w:r>
        <w:rPr>
          <w:rFonts w:ascii="Arial" w:hAnsi="Arial" w:eastAsia="Arial"/>
          <w:sz w:val="16"/>
        </w:rPr>
        <w:t>A. Follow the recommendation of the highest-ranking professional without further discussion.</w:t>
      </w:r>
    </w:p>
    <w:p>
      <w:pPr>
        <w:spacing w:before="0" w:after="10" w:line="240" w:lineRule="auto"/>
        <w:ind w:left="230" w:hanging="230"/>
      </w:pPr>
      <w:r>
        <w:rPr>
          <w:rFonts w:ascii="Arial" w:hAnsi="Arial" w:eastAsia="Arial"/>
          <w:sz w:val="16"/>
        </w:rPr>
        <w:t>B. Clarify each recommendation and its evidence, center the client’s goals and safety, identify decision authority and roles, and coordinate an integrated plan with follow-up.</w:t>
      </w:r>
    </w:p>
    <w:p>
      <w:pPr>
        <w:spacing w:before="0" w:after="10" w:line="240" w:lineRule="auto"/>
        <w:ind w:left="230" w:hanging="230"/>
      </w:pPr>
      <w:r>
        <w:rPr>
          <w:rFonts w:ascii="Arial" w:hAnsi="Arial" w:eastAsia="Arial"/>
          <w:sz w:val="16"/>
        </w:rPr>
        <w:t>C. Ask the client to choose independently so the counselor remains neutral.</w:t>
      </w:r>
    </w:p>
    <w:p>
      <w:pPr>
        <w:spacing w:before="0" w:after="10" w:line="240" w:lineRule="auto"/>
        <w:ind w:left="230" w:hanging="230"/>
      </w:pPr>
      <w:r>
        <w:rPr>
          <w:rFonts w:ascii="Arial" w:hAnsi="Arial" w:eastAsia="Arial"/>
          <w:sz w:val="16"/>
        </w:rPr>
        <w:t>D. Document that the team disagreed and continue the current plan without coordination.</w:t>
      </w:r>
    </w:p>
    <w:p>
      <w:pPr>
        <w:spacing w:before="0" w:after="40" w:line="245" w:lineRule="auto"/>
      </w:pPr>
      <w:r>
        <w:rPr>
          <w:rFonts w:ascii="Arial" w:hAnsi="Arial" w:eastAsia="Arial"/>
          <w:b w:val="0"/>
          <w:i/>
          <w:color w:val="4B5563"/>
          <w:sz w:val="15"/>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1</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Talia Brooks - Post-Discharge Continuity and Modality Selection</w:t>
            </w:r>
          </w:p>
        </w:tc>
      </w:tr>
    </w:tbl>
    <w:p>
      <w:pPr>
        <w:spacing w:before="60" w:after="20" w:line="245" w:lineRule="auto"/>
      </w:pPr>
      <w:r>
        <w:rPr>
          <w:rFonts w:ascii="Arial" w:hAnsi="Arial" w:eastAsia="Arial"/>
          <w:b/>
          <w:i w:val="0"/>
          <w:color w:val="17365D"/>
          <w:sz w:val="16"/>
        </w:rPr>
        <w:t>CASE NARRATIVE - PART 1</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Talia Brooks is a 34-year-old Black woman referred for outpatient counseling after a brief psychiatric hospitalization for severe depression, panic attacks, insomnia, and passive thoughts that her family would be better off without her. The discharge note states only that she “needs therapy.” Talia denies current intent or plan and says her sister is staying with her for the week. She began sertraline in the hospital but is unsure who will manage it. She wants “whatever works fastest” and asks about individual counseling, an anxiety-skills group, and bringing her partner to a session. Talia reports that her partner monitors her phone, becomes angry when she discusses the relationship, and says her symptoms make home “chaotic.” She reports no physical assault but is unsure she could speak freely with the partner present. Evening childcare, transportation, and privacy at home may affect attendance. She has not yet authorized communication with the hospital, prescriber, or partner.</w:t>
            </w:r>
          </w:p>
        </w:tc>
      </w:tr>
    </w:tbl>
    <w:p>
      <w:pPr>
        <w:spacing w:before="0" w:after="40" w:line="245" w:lineRule="auto"/>
      </w:pPr>
      <w:r>
        <w:rPr>
          <w:rFonts w:ascii="Arial" w:hAnsi="Arial" w:eastAsia="Arial"/>
          <w:b/>
          <w:i w:val="0"/>
          <w:color w:val="159C9C"/>
          <w:sz w:val="16"/>
        </w:rPr>
        <w:t>Answer Questions 6-9 using only the information in this section.</w:t>
      </w:r>
    </w:p>
    <w:p>
      <w:pPr>
        <w:spacing w:before="0" w:after="14" w:line="245" w:lineRule="auto"/>
        <w:keepNext/>
      </w:pPr>
      <w:r>
        <w:rPr>
          <w:rFonts w:ascii="Arial" w:hAnsi="Arial" w:eastAsia="Arial"/>
          <w:b/>
          <w:color w:val="159C9C"/>
          <w:sz w:val="14"/>
        </w:rPr>
        <w:t>LPCC-WB11-PB-Q006 | Knowledge &amp; Application | Easy | Primary concept: Immediate continuity and post-discharge assessment</w:t>
      </w:r>
    </w:p>
    <w:p>
      <w:pPr>
        <w:spacing w:before="0" w:after="14" w:line="245" w:lineRule="auto"/>
        <w:keepNext/>
      </w:pPr>
      <w:r>
        <w:rPr>
          <w:rFonts w:ascii="Arial" w:hAnsi="Arial" w:eastAsia="Arial"/>
          <w:b/>
          <w:sz w:val="16"/>
        </w:rPr>
        <w:t>Talia brings a vague hospital discharge note stating only that she “needs therapy.” What should the outpatient counselor do FIRST?</w:t>
      </w:r>
    </w:p>
    <w:p>
      <w:pPr>
        <w:spacing w:before="0" w:after="5" w:line="235" w:lineRule="auto"/>
        <w:ind w:left="216" w:hanging="216"/>
      </w:pPr>
      <w:r>
        <w:rPr>
          <w:rFonts w:ascii="Arial" w:hAnsi="Arial" w:eastAsia="Arial"/>
          <w:sz w:val="15"/>
        </w:rPr>
        <w:t>A. Assess current safety and functioning, clarify the hospitalization, medications, recommendations, follow-up needs, supports, and authorization for coordination.</w:t>
      </w:r>
    </w:p>
    <w:p>
      <w:pPr>
        <w:spacing w:before="0" w:after="5" w:line="235" w:lineRule="auto"/>
        <w:ind w:left="216" w:hanging="216"/>
      </w:pPr>
      <w:r>
        <w:rPr>
          <w:rFonts w:ascii="Arial" w:hAnsi="Arial" w:eastAsia="Arial"/>
          <w:sz w:val="15"/>
        </w:rPr>
        <w:t>B. Schedule monthly counseling and wait for additional records to arrive.</w:t>
      </w:r>
    </w:p>
    <w:p>
      <w:pPr>
        <w:spacing w:before="0" w:after="5" w:line="235" w:lineRule="auto"/>
        <w:ind w:left="216" w:hanging="216"/>
      </w:pPr>
      <w:r>
        <w:rPr>
          <w:rFonts w:ascii="Arial" w:hAnsi="Arial" w:eastAsia="Arial"/>
          <w:sz w:val="15"/>
        </w:rPr>
        <w:t>C. Request the entire hospital chart automatically before speaking with Talia.</w:t>
      </w:r>
    </w:p>
    <w:p>
      <w:pPr>
        <w:spacing w:before="0" w:after="5" w:line="235" w:lineRule="auto"/>
        <w:ind w:left="216" w:hanging="216"/>
      </w:pPr>
      <w:r>
        <w:rPr>
          <w:rFonts w:ascii="Arial" w:hAnsi="Arial" w:eastAsia="Arial"/>
          <w:sz w:val="15"/>
        </w:rPr>
        <w:t>D. Decline the referral because the discharge note is incomplete.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LPCC-WB11-PB-Q007 | Application | Moderate | Primary concept: MODE integrated modality plan</w:t>
      </w:r>
    </w:p>
    <w:p>
      <w:pPr>
        <w:spacing w:before="0" w:after="14" w:line="245" w:lineRule="auto"/>
        <w:keepNext/>
      </w:pPr>
      <w:r>
        <w:rPr>
          <w:rFonts w:ascii="Arial" w:hAnsi="Arial" w:eastAsia="Arial"/>
          <w:b/>
          <w:sz w:val="16"/>
        </w:rPr>
        <w:t>Which initial service plan BEST fits the information available about Talia?</w:t>
      </w:r>
    </w:p>
    <w:p>
      <w:pPr>
        <w:spacing w:before="0" w:after="5" w:line="235" w:lineRule="auto"/>
        <w:ind w:left="216" w:hanging="216"/>
      </w:pPr>
      <w:r>
        <w:rPr>
          <w:rFonts w:ascii="Arial" w:hAnsi="Arial" w:eastAsia="Arial"/>
          <w:sz w:val="15"/>
        </w:rPr>
        <w:t>A. Begin couple counseling immediately because relationship stress appears to trigger symptoms.</w:t>
      </w:r>
    </w:p>
    <w:p>
      <w:pPr>
        <w:spacing w:before="0" w:after="5" w:line="235" w:lineRule="auto"/>
        <w:ind w:left="216" w:hanging="216"/>
      </w:pPr>
      <w:r>
        <w:rPr>
          <w:rFonts w:ascii="Arial" w:hAnsi="Arial" w:eastAsia="Arial"/>
          <w:sz w:val="15"/>
        </w:rPr>
        <w:t>B. Use group counseling as the only service because it is less costly and provides peer support.</w:t>
      </w:r>
    </w:p>
    <w:p>
      <w:pPr>
        <w:spacing w:before="0" w:after="5" w:line="235" w:lineRule="auto"/>
        <w:ind w:left="216" w:hanging="216"/>
      </w:pPr>
      <w:r>
        <w:rPr>
          <w:rFonts w:ascii="Arial" w:hAnsi="Arial" w:eastAsia="Arial"/>
          <w:sz w:val="15"/>
        </w:rPr>
        <w:t>C. Begin individual outpatient care with active safety and medication follow-up, screen for an appropriate skills group, and postpone conjoint work until client identity, safety, freedom to speak, and fit are clarified.</w:t>
      </w:r>
    </w:p>
    <w:p>
      <w:pPr>
        <w:spacing w:before="0" w:after="5" w:line="235" w:lineRule="auto"/>
        <w:ind w:left="216" w:hanging="216"/>
      </w:pPr>
      <w:r>
        <w:rPr>
          <w:rFonts w:ascii="Arial" w:hAnsi="Arial" w:eastAsia="Arial"/>
          <w:sz w:val="15"/>
        </w:rPr>
        <w:t>D. Refer all care to the hospital because any recent hospitalization makes outpatient treatment inappropriate.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LPCC-WB11-PB-Q008 | Knowledge &amp; Application | Easy | Primary concept: GROUP screening and preparation</w:t>
      </w:r>
    </w:p>
    <w:p>
      <w:pPr>
        <w:spacing w:before="0" w:after="14" w:line="245" w:lineRule="auto"/>
        <w:keepNext/>
      </w:pPr>
      <w:r>
        <w:rPr>
          <w:rFonts w:ascii="Arial" w:hAnsi="Arial" w:eastAsia="Arial"/>
          <w:b/>
          <w:sz w:val="16"/>
        </w:rPr>
        <w:t>Before enrolling Talia in the virtual anxiety-skills group, what should the group leader do?</w:t>
      </w:r>
    </w:p>
    <w:p>
      <w:pPr>
        <w:spacing w:before="0" w:after="5" w:line="235" w:lineRule="auto"/>
        <w:ind w:left="216" w:hanging="216"/>
      </w:pPr>
      <w:r>
        <w:rPr>
          <w:rFonts w:ascii="Arial" w:hAnsi="Arial" w:eastAsia="Arial"/>
          <w:sz w:val="15"/>
        </w:rPr>
        <w:t>A. Accept her automatically because the referral came from another clinician.</w:t>
      </w:r>
    </w:p>
    <w:p>
      <w:pPr>
        <w:spacing w:before="0" w:after="5" w:line="235" w:lineRule="auto"/>
        <w:ind w:left="216" w:hanging="216"/>
      </w:pPr>
      <w:r>
        <w:rPr>
          <w:rFonts w:ascii="Arial" w:hAnsi="Arial" w:eastAsia="Arial"/>
          <w:sz w:val="15"/>
        </w:rPr>
        <w:t>B. Exclude her because a recent hospitalization makes every group unsafe.</w:t>
      </w:r>
    </w:p>
    <w:p>
      <w:pPr>
        <w:spacing w:before="0" w:after="5" w:line="235" w:lineRule="auto"/>
        <w:ind w:left="216" w:hanging="216"/>
      </w:pPr>
      <w:r>
        <w:rPr>
          <w:rFonts w:ascii="Arial" w:hAnsi="Arial" w:eastAsia="Arial"/>
          <w:sz w:val="15"/>
        </w:rPr>
        <w:t>C. Ask only whether she agrees to keep other members’ information private.</w:t>
      </w:r>
    </w:p>
    <w:p>
      <w:pPr>
        <w:spacing w:before="0" w:after="5" w:line="235" w:lineRule="auto"/>
        <w:ind w:left="216" w:hanging="216"/>
      </w:pPr>
      <w:r>
        <w:rPr>
          <w:rFonts w:ascii="Arial" w:hAnsi="Arial" w:eastAsia="Arial"/>
          <w:sz w:val="15"/>
        </w:rPr>
        <w:t>D. Review the group’s purpose and structure, assess current stability and risk, readiness, expectations, access and privacy needs, and whether preparatory support is needed.</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LPCC-WB11-PB-Q009 | Application | Moderate | Primary concept: SYSTEM treatment-unit clarification</w:t>
      </w:r>
    </w:p>
    <w:p>
      <w:pPr>
        <w:spacing w:before="0" w:after="14" w:line="245" w:lineRule="auto"/>
        <w:keepNext/>
      </w:pPr>
      <w:r>
        <w:rPr>
          <w:rFonts w:ascii="Arial" w:hAnsi="Arial" w:eastAsia="Arial"/>
          <w:b/>
          <w:sz w:val="16"/>
        </w:rPr>
        <w:t>Talia asks the counselor to speak briefly with her partner about how to support her. What should the counselor do before making contact?</w:t>
      </w:r>
    </w:p>
    <w:p>
      <w:pPr>
        <w:spacing w:before="0" w:after="5" w:line="235" w:lineRule="auto"/>
        <w:ind w:left="216" w:hanging="216"/>
      </w:pPr>
      <w:r>
        <w:rPr>
          <w:rFonts w:ascii="Arial" w:hAnsi="Arial" w:eastAsia="Arial"/>
          <w:sz w:val="15"/>
        </w:rPr>
        <w:t>A. Call the partner because the request itself authorizes any clinically useful discussion.</w:t>
      </w:r>
    </w:p>
    <w:p>
      <w:pPr>
        <w:spacing w:before="0" w:after="5" w:line="235" w:lineRule="auto"/>
        <w:ind w:left="216" w:hanging="216"/>
      </w:pPr>
      <w:r>
        <w:rPr>
          <w:rFonts w:ascii="Arial" w:hAnsi="Arial" w:eastAsia="Arial"/>
          <w:sz w:val="15"/>
        </w:rPr>
        <w:t>B. Clarify the purpose, whether the partner is a collateral support or treatment participant, what Talia authorizes, confidentiality limits, documentation, and how the contact affects the current treatment role.</w:t>
      </w:r>
    </w:p>
    <w:p>
      <w:pPr>
        <w:spacing w:before="0" w:after="5" w:line="235" w:lineRule="auto"/>
        <w:ind w:left="216" w:hanging="216"/>
      </w:pPr>
      <w:r>
        <w:rPr>
          <w:rFonts w:ascii="Arial" w:hAnsi="Arial" w:eastAsia="Arial"/>
          <w:sz w:val="15"/>
        </w:rPr>
        <w:t>C. Convert the case to couple counseling so the partner can receive full information.</w:t>
      </w:r>
    </w:p>
    <w:p>
      <w:pPr>
        <w:spacing w:before="0" w:after="5" w:line="235" w:lineRule="auto"/>
        <w:ind w:left="216" w:hanging="216"/>
      </w:pPr>
      <w:r>
        <w:rPr>
          <w:rFonts w:ascii="Arial" w:hAnsi="Arial" w:eastAsia="Arial"/>
          <w:sz w:val="15"/>
        </w:rPr>
        <w:t>D. Refuse all collateral contact because speaking with a partner creates an unavoidable conflict.</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2, answer every Part 1 item and review flagged responses. Once you continue, do not revise Questions 6-9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2</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Talia Brooks - Group Process, Medication Coordination, and Relational Safety</w:t>
            </w:r>
          </w:p>
        </w:tc>
      </w:tr>
    </w:tbl>
    <w:p>
      <w:pPr>
        <w:spacing w:before="60" w:after="20" w:line="245" w:lineRule="auto"/>
      </w:pPr>
      <w:r>
        <w:rPr>
          <w:rFonts w:ascii="Arial" w:hAnsi="Arial" w:eastAsia="Arial"/>
          <w:b/>
          <w:i w:val="0"/>
          <w:color w:val="17365D"/>
          <w:sz w:val="16"/>
        </w:rPr>
        <w:t>CASE NARRATIVE - PART 2</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Three weeks later, Talia is attending individual counseling and has been screened into a virtual anxiety-skills group after a private orientation and technology check. Current suicide risk remains low, and she identifies her sister and children as protective supports. In group, one member frequently interrupts and quieter members, including Talia, withdraw. Talia reports nausea and dizziness since starting sertraline and asks the counselor whether she should reduce the dose. She authorizes limited communication with the prescriber and primary-care clinician. Trauma memories have become more intense, and Talia requests a specialized trauma treatment that the counselor has not been trained to provide. Her partner has not attended counseling. Talia then says the partner will withdraw childcare unless she agrees to a couple session and that she still does not feel able to speak freely in the partner’s presence.</w:t>
            </w:r>
          </w:p>
        </w:tc>
      </w:tr>
    </w:tbl>
    <w:p>
      <w:pPr>
        <w:spacing w:before="0" w:after="40" w:line="245" w:lineRule="auto"/>
      </w:pPr>
      <w:r>
        <w:rPr>
          <w:rFonts w:ascii="Arial" w:hAnsi="Arial" w:eastAsia="Arial"/>
          <w:b/>
          <w:i w:val="0"/>
          <w:color w:val="159C9C"/>
          <w:sz w:val="16"/>
        </w:rPr>
        <w:t>Answer Questions 10-13 using only the information in this section.</w:t>
      </w:r>
    </w:p>
    <w:p>
      <w:pPr>
        <w:spacing w:before="0" w:after="14" w:line="245" w:lineRule="auto"/>
        <w:keepNext/>
      </w:pPr>
      <w:r>
        <w:rPr>
          <w:rFonts w:ascii="Arial" w:hAnsi="Arial" w:eastAsia="Arial"/>
          <w:b/>
          <w:color w:val="159C9C"/>
          <w:sz w:val="14"/>
        </w:rPr>
        <w:t>LPCC-WB11-PB-Q010 | Application | Moderate | Primary concept: GROUP process leadership</w:t>
      </w:r>
    </w:p>
    <w:p>
      <w:pPr>
        <w:spacing w:before="0" w:after="14" w:line="245" w:lineRule="auto"/>
        <w:keepNext/>
      </w:pPr>
      <w:r>
        <w:rPr>
          <w:rFonts w:ascii="Arial" w:hAnsi="Arial" w:eastAsia="Arial"/>
          <w:b/>
          <w:sz w:val="16"/>
        </w:rPr>
        <w:t>In Talia’s group, one member repeatedly interrupts while quieter members withdraw. What is the BEST group-leader response?</w:t>
      </w:r>
    </w:p>
    <w:p>
      <w:pPr>
        <w:spacing w:before="0" w:after="5" w:line="235" w:lineRule="auto"/>
        <w:ind w:left="216" w:hanging="216"/>
      </w:pPr>
      <w:r>
        <w:rPr>
          <w:rFonts w:ascii="Arial" w:hAnsi="Arial" w:eastAsia="Arial"/>
          <w:sz w:val="15"/>
        </w:rPr>
        <w:t>A. Ignore the pattern so members can resolve it without leader influence.</w:t>
      </w:r>
    </w:p>
    <w:p>
      <w:pPr>
        <w:spacing w:before="0" w:after="5" w:line="235" w:lineRule="auto"/>
        <w:ind w:left="216" w:hanging="216"/>
      </w:pPr>
      <w:r>
        <w:rPr>
          <w:rFonts w:ascii="Arial" w:hAnsi="Arial" w:eastAsia="Arial"/>
          <w:sz w:val="15"/>
        </w:rPr>
        <w:t>B. Remove the dominant member immediately without discussing impact or expectations.</w:t>
      </w:r>
    </w:p>
    <w:p>
      <w:pPr>
        <w:spacing w:before="0" w:after="5" w:line="235" w:lineRule="auto"/>
        <w:ind w:left="216" w:hanging="216"/>
      </w:pPr>
      <w:r>
        <w:rPr>
          <w:rFonts w:ascii="Arial" w:hAnsi="Arial" w:eastAsia="Arial"/>
          <w:sz w:val="15"/>
        </w:rPr>
        <w:t>C. Name the interaction pattern respectfully, protect equitable airtime, invite reflection on impact, and reconnect the group to its agreements and purpose.</w:t>
      </w:r>
    </w:p>
    <w:p>
      <w:pPr>
        <w:spacing w:before="0" w:after="5" w:line="235" w:lineRule="auto"/>
        <w:ind w:left="216" w:hanging="216"/>
      </w:pPr>
      <w:r>
        <w:rPr>
          <w:rFonts w:ascii="Arial" w:hAnsi="Arial" w:eastAsia="Arial"/>
          <w:sz w:val="15"/>
        </w:rPr>
        <w:t>D. End the session early and address the issue only in the next individual screening.</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LPCC-WB11-PB-Q011 | Knowledge &amp; Application | Easy | Primary concept: TEAM medication coordination</w:t>
      </w:r>
    </w:p>
    <w:p>
      <w:pPr>
        <w:spacing w:before="0" w:after="14" w:line="245" w:lineRule="auto"/>
        <w:keepNext/>
      </w:pPr>
      <w:r>
        <w:rPr>
          <w:rFonts w:ascii="Arial" w:hAnsi="Arial" w:eastAsia="Arial"/>
          <w:b/>
          <w:sz w:val="16"/>
        </w:rPr>
        <w:t>Talia reports nausea and dizziness after starting sertraline and asks whether she should cut the dose in half. What is the BEST counselor response?</w:t>
      </w:r>
    </w:p>
    <w:p>
      <w:pPr>
        <w:spacing w:before="0" w:after="5" w:line="235" w:lineRule="auto"/>
        <w:ind w:left="216" w:hanging="216"/>
      </w:pPr>
      <w:r>
        <w:rPr>
          <w:rFonts w:ascii="Arial" w:hAnsi="Arial" w:eastAsia="Arial"/>
          <w:sz w:val="15"/>
        </w:rPr>
        <w:t>A. Assess urgency and safety, encourage prompt contact with the prescriber or medical clinician, share relevant observations within authorization, and defer dose decisions to the prescriber.</w:t>
      </w:r>
    </w:p>
    <w:p>
      <w:pPr>
        <w:spacing w:before="0" w:after="5" w:line="235" w:lineRule="auto"/>
        <w:ind w:left="216" w:hanging="216"/>
      </w:pPr>
      <w:r>
        <w:rPr>
          <w:rFonts w:ascii="Arial" w:hAnsi="Arial" w:eastAsia="Arial"/>
          <w:sz w:val="15"/>
        </w:rPr>
        <w:t>B. Recommend reducing the dose because the side effects began after the medication was started.</w:t>
      </w:r>
    </w:p>
    <w:p>
      <w:pPr>
        <w:spacing w:before="0" w:after="5" w:line="235" w:lineRule="auto"/>
        <w:ind w:left="216" w:hanging="216"/>
      </w:pPr>
      <w:r>
        <w:rPr>
          <w:rFonts w:ascii="Arial" w:hAnsi="Arial" w:eastAsia="Arial"/>
          <w:sz w:val="15"/>
        </w:rPr>
        <w:t>C. Tell Talia to stop the medication immediately and restart it when symptoms improve.</w:t>
      </w:r>
    </w:p>
    <w:p>
      <w:pPr>
        <w:spacing w:before="0" w:after="5" w:line="235" w:lineRule="auto"/>
        <w:ind w:left="216" w:hanging="216"/>
      </w:pPr>
      <w:r>
        <w:rPr>
          <w:rFonts w:ascii="Arial" w:hAnsi="Arial" w:eastAsia="Arial"/>
          <w:sz w:val="15"/>
        </w:rPr>
        <w:t>D. Avoid discussing the symptoms because medication is outside counseling scope.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LPCC-WB11-PB-Q012 | Application | Moderate | Primary concept: HANDOFF specialty referral</w:t>
      </w:r>
    </w:p>
    <w:p>
      <w:pPr>
        <w:spacing w:before="0" w:after="14" w:line="245" w:lineRule="auto"/>
        <w:keepNext/>
      </w:pPr>
      <w:r>
        <w:rPr>
          <w:rFonts w:ascii="Arial" w:hAnsi="Arial" w:eastAsia="Arial"/>
          <w:b/>
          <w:sz w:val="16"/>
        </w:rPr>
        <w:t>Talia’s trauma symptoms intensify, and the counselor lacks competence in the specialized trauma treatment she requests. What is the BEST next step?</w:t>
      </w:r>
    </w:p>
    <w:p>
      <w:pPr>
        <w:spacing w:before="0" w:after="5" w:line="235" w:lineRule="auto"/>
        <w:ind w:left="216" w:hanging="216"/>
      </w:pPr>
      <w:r>
        <w:rPr>
          <w:rFonts w:ascii="Arial" w:hAnsi="Arial" w:eastAsia="Arial"/>
          <w:sz w:val="15"/>
        </w:rPr>
        <w:t>A. Begin the specialized protocol after reading a brief overview so continuity is not interrupted.</w:t>
      </w:r>
    </w:p>
    <w:p>
      <w:pPr>
        <w:spacing w:before="0" w:after="5" w:line="235" w:lineRule="auto"/>
        <w:ind w:left="216" w:hanging="216"/>
      </w:pPr>
      <w:r>
        <w:rPr>
          <w:rFonts w:ascii="Arial" w:hAnsi="Arial" w:eastAsia="Arial"/>
          <w:sz w:val="15"/>
        </w:rPr>
        <w:t>B. End counseling immediately and tell Talia to find another clinician.</w:t>
      </w:r>
    </w:p>
    <w:p>
      <w:pPr>
        <w:spacing w:before="0" w:after="5" w:line="235" w:lineRule="auto"/>
        <w:ind w:left="216" w:hanging="216"/>
      </w:pPr>
      <w:r>
        <w:rPr>
          <w:rFonts w:ascii="Arial" w:hAnsi="Arial" w:eastAsia="Arial"/>
          <w:sz w:val="15"/>
        </w:rPr>
        <w:t>C. Avoid discussing the competence limit and continue supportive counseling indefinitely.</w:t>
      </w:r>
    </w:p>
    <w:p>
      <w:pPr>
        <w:spacing w:before="0" w:after="5" w:line="235" w:lineRule="auto"/>
        <w:ind w:left="216" w:hanging="216"/>
      </w:pPr>
      <w:r>
        <w:rPr>
          <w:rFonts w:ascii="Arial" w:hAnsi="Arial" w:eastAsia="Arial"/>
          <w:sz w:val="15"/>
        </w:rPr>
        <w:t>D. Explain the competence limit and clinical rationale, identify qualified and accessible options, obtain consent for a warm handoff, continue appropriate support during transition, and follow up.</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LPCC-WB11-PB-Q013 | Integrated Clinical Reasoning | Difficult | Primary concept: SYSTEM coercion and conjoint-treatment safety</w:t>
      </w:r>
    </w:p>
    <w:p>
      <w:pPr>
        <w:spacing w:before="0" w:after="14" w:line="245" w:lineRule="auto"/>
        <w:keepNext/>
      </w:pPr>
      <w:r>
        <w:rPr>
          <w:rFonts w:ascii="Arial" w:hAnsi="Arial" w:eastAsia="Arial"/>
          <w:b/>
          <w:sz w:val="16"/>
        </w:rPr>
        <w:t>Talia says her partner will withdraw childcare unless she agrees to a couple session, and she is not sure she can speak freely with the partner present. What is the BEST counselor response?</w:t>
      </w:r>
    </w:p>
    <w:p>
      <w:pPr>
        <w:spacing w:before="0" w:after="5" w:line="235" w:lineRule="auto"/>
        <w:ind w:left="216" w:hanging="216"/>
      </w:pPr>
      <w:r>
        <w:rPr>
          <w:rFonts w:ascii="Arial" w:hAnsi="Arial" w:eastAsia="Arial"/>
          <w:sz w:val="15"/>
        </w:rPr>
        <w:t>A. Begin conjoint treatment so the counselor can observe the relationship directly.</w:t>
      </w:r>
    </w:p>
    <w:p>
      <w:pPr>
        <w:spacing w:before="0" w:after="5" w:line="235" w:lineRule="auto"/>
        <w:ind w:left="216" w:hanging="216"/>
      </w:pPr>
      <w:r>
        <w:rPr>
          <w:rFonts w:ascii="Arial" w:hAnsi="Arial" w:eastAsia="Arial"/>
          <w:sz w:val="15"/>
        </w:rPr>
        <w:t>B. Ask the partner to promise not to become angry and proceed if the partner agrees.</w:t>
      </w:r>
    </w:p>
    <w:p>
      <w:pPr>
        <w:spacing w:before="0" w:after="5" w:line="235" w:lineRule="auto"/>
        <w:ind w:left="216" w:hanging="216"/>
      </w:pPr>
      <w:r>
        <w:rPr>
          <w:rFonts w:ascii="Arial" w:hAnsi="Arial" w:eastAsia="Arial"/>
          <w:sz w:val="15"/>
        </w:rPr>
        <w:t>C. Continue individual assessment of safety, coercion, retaliation risk, and options; do not begin conjoint work while free participation is uncertain, and offer specialized resources or consultation as indicated.</w:t>
      </w:r>
    </w:p>
    <w:p>
      <w:pPr>
        <w:spacing w:before="0" w:after="5" w:line="235" w:lineRule="auto"/>
        <w:ind w:left="216" w:hanging="216"/>
      </w:pPr>
      <w:r>
        <w:rPr>
          <w:rFonts w:ascii="Arial" w:hAnsi="Arial" w:eastAsia="Arial"/>
          <w:sz w:val="15"/>
        </w:rPr>
        <w:t>D. Tell Talia to end the relationship before counseling can continue.</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3, answer every Part 2 item and review flagged responses. Once you continue, do not revise Questions 10-13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3</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Talia Brooks - Collateral Information, Failed Referral, and Team Integration</w:t>
            </w:r>
          </w:p>
        </w:tc>
      </w:tr>
    </w:tbl>
    <w:p>
      <w:pPr>
        <w:spacing w:before="60" w:after="20" w:line="245" w:lineRule="auto"/>
      </w:pPr>
      <w:r>
        <w:rPr>
          <w:rFonts w:ascii="Arial" w:hAnsi="Arial" w:eastAsia="Arial"/>
          <w:b/>
          <w:i w:val="0"/>
          <w:color w:val="17365D"/>
          <w:sz w:val="16"/>
        </w:rPr>
        <w:t>CASE NARRATIVE - PART 3</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Eight weeks later, Talia reports improved sleep, fewer panic episodes, and meaningful support from the group. She missed a specialty trauma intake because the appointment conflicted with childcare, and the clinic later reported that her insurance was not accepted. Her partner sent the counselor an unsolicited email accusing Talia of exaggerating symptoms and requesting copies of her records; Talia has not authorized any disclosure to the partner. The primary-care clinician identifies a possible thyroid abnormality, the prescriber is considering a medication adjustment, and the group leader suggests a temporary higher level of care after one panic episode without knowing Talia’s recent improvement. Talia denies current suicidal intent, psychosis, or mania and wants to understand her options before changing care intensity. She authorizes limited coordination with the primary-care clinician, prescriber, and trauma clinic, but not her partner or employer.</w:t>
            </w:r>
          </w:p>
        </w:tc>
      </w:tr>
    </w:tbl>
    <w:p>
      <w:pPr>
        <w:spacing w:before="0" w:after="40" w:line="245" w:lineRule="auto"/>
      </w:pPr>
      <w:r>
        <w:rPr>
          <w:rFonts w:ascii="Arial" w:hAnsi="Arial" w:eastAsia="Arial"/>
          <w:b/>
          <w:i w:val="0"/>
          <w:color w:val="159C9C"/>
          <w:sz w:val="16"/>
        </w:rPr>
        <w:t>Answer Questions 14-17 using only the information in this section.</w:t>
      </w:r>
    </w:p>
    <w:p>
      <w:pPr>
        <w:spacing w:before="0" w:after="14" w:line="245" w:lineRule="auto"/>
        <w:keepNext/>
      </w:pPr>
      <w:r>
        <w:rPr>
          <w:rFonts w:ascii="Arial" w:hAnsi="Arial" w:eastAsia="Arial"/>
          <w:b/>
          <w:color w:val="159C9C"/>
          <w:sz w:val="14"/>
        </w:rPr>
        <w:t>LPCC-WB11-PB-Q014 | Application | Moderate | Primary concept: Collateral information and confidentiality</w:t>
      </w:r>
    </w:p>
    <w:p>
      <w:pPr>
        <w:spacing w:before="0" w:after="14" w:line="245" w:lineRule="auto"/>
        <w:keepNext/>
      </w:pPr>
      <w:r>
        <w:rPr>
          <w:rFonts w:ascii="Arial" w:hAnsi="Arial" w:eastAsia="Arial"/>
          <w:b/>
          <w:sz w:val="16"/>
        </w:rPr>
        <w:t>Talia’s partner sends an unsolicited email accusing her of exaggerating symptoms and asks for copies of her records. Talia has not authorized disclosure. What is the BEST counselor response?</w:t>
      </w:r>
    </w:p>
    <w:p>
      <w:pPr>
        <w:spacing w:before="0" w:after="5" w:line="235" w:lineRule="auto"/>
        <w:ind w:left="216" w:hanging="216"/>
      </w:pPr>
      <w:r>
        <w:rPr>
          <w:rFonts w:ascii="Arial" w:hAnsi="Arial" w:eastAsia="Arial"/>
          <w:sz w:val="15"/>
        </w:rPr>
        <w:t>A. Send a summary to correct the partner’s misunderstanding because the partner provided information first.</w:t>
      </w:r>
    </w:p>
    <w:p>
      <w:pPr>
        <w:spacing w:before="0" w:after="5" w:line="235" w:lineRule="auto"/>
        <w:ind w:left="216" w:hanging="216"/>
      </w:pPr>
      <w:r>
        <w:rPr>
          <w:rFonts w:ascii="Arial" w:hAnsi="Arial" w:eastAsia="Arial"/>
          <w:sz w:val="15"/>
        </w:rPr>
        <w:t>B. Do not disclose client information; document the source and content as collateral information, assess its relevance and impact with Talia, and clarify any future contact or authorization boundaries.</w:t>
      </w:r>
    </w:p>
    <w:p>
      <w:pPr>
        <w:spacing w:before="0" w:after="5" w:line="235" w:lineRule="auto"/>
        <w:ind w:left="216" w:hanging="216"/>
      </w:pPr>
      <w:r>
        <w:rPr>
          <w:rFonts w:ascii="Arial" w:hAnsi="Arial" w:eastAsia="Arial"/>
          <w:sz w:val="15"/>
        </w:rPr>
        <w:t>C. Promise the partner that the email will remain secret from Talia and add it to the clinical record.</w:t>
      </w:r>
    </w:p>
    <w:p>
      <w:pPr>
        <w:spacing w:before="0" w:after="5" w:line="235" w:lineRule="auto"/>
        <w:ind w:left="216" w:hanging="216"/>
      </w:pPr>
      <w:r>
        <w:rPr>
          <w:rFonts w:ascii="Arial" w:hAnsi="Arial" w:eastAsia="Arial"/>
          <w:sz w:val="15"/>
        </w:rPr>
        <w:t>D. Delete the email without reviewing it because unauthorized collateral information can never be clinically relevant.</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LPCC-WB11-PB-Q015 | Integrated Clinical Reasoning | Difficult | Primary concept: TEAM conflicting recommendations and authority</w:t>
      </w:r>
    </w:p>
    <w:p>
      <w:pPr>
        <w:spacing w:before="0" w:after="14" w:line="245" w:lineRule="auto"/>
        <w:keepNext/>
      </w:pPr>
      <w:r>
        <w:rPr>
          <w:rFonts w:ascii="Arial" w:hAnsi="Arial" w:eastAsia="Arial"/>
          <w:b/>
          <w:sz w:val="16"/>
        </w:rPr>
        <w:t>The primary-care clinician identifies a possible thyroid problem, the prescriber is considering a medication change, and the group leader recommends a higher level of care after one panic episode. Talia’s current risk is low and she wants to understand the options. What should the counselor do FIRST?</w:t>
      </w:r>
    </w:p>
    <w:p>
      <w:pPr>
        <w:spacing w:before="0" w:after="5" w:line="235" w:lineRule="auto"/>
        <w:ind w:left="216" w:hanging="216"/>
      </w:pPr>
      <w:r>
        <w:rPr>
          <w:rFonts w:ascii="Arial" w:hAnsi="Arial" w:eastAsia="Arial"/>
          <w:sz w:val="15"/>
        </w:rPr>
        <w:t>A. Follow the group leader’s recommendation because higher care is always safest.</w:t>
      </w:r>
    </w:p>
    <w:p>
      <w:pPr>
        <w:spacing w:before="0" w:after="5" w:line="235" w:lineRule="auto"/>
        <w:ind w:left="216" w:hanging="216"/>
      </w:pPr>
      <w:r>
        <w:rPr>
          <w:rFonts w:ascii="Arial" w:hAnsi="Arial" w:eastAsia="Arial"/>
          <w:sz w:val="15"/>
        </w:rPr>
        <w:t>B. Tell Talia to choose one professional’s plan and stop communicating with the others.</w:t>
      </w:r>
    </w:p>
    <w:p>
      <w:pPr>
        <w:spacing w:before="0" w:after="5" w:line="235" w:lineRule="auto"/>
        <w:ind w:left="216" w:hanging="216"/>
      </w:pPr>
      <w:r>
        <w:rPr>
          <w:rFonts w:ascii="Arial" w:hAnsi="Arial" w:eastAsia="Arial"/>
          <w:sz w:val="15"/>
        </w:rPr>
        <w:t>C. Continue the existing plan and wait until the professionals agree on their own.</w:t>
      </w:r>
    </w:p>
    <w:p>
      <w:pPr>
        <w:spacing w:before="0" w:after="5" w:line="235" w:lineRule="auto"/>
        <w:ind w:left="216" w:hanging="216"/>
      </w:pPr>
      <w:r>
        <w:rPr>
          <w:rFonts w:ascii="Arial" w:hAnsi="Arial" w:eastAsia="Arial"/>
          <w:sz w:val="15"/>
        </w:rPr>
        <w:t>D. Clarify the current evidence and rationale from each source, reassess safety and functioning, center Talia’s goals and preferences, define decision roles, and coordinate a time-limited integrated plan with follow-up.</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LPCC-WB11-PB-Q016 | Integrated Clinical Reasoning | Difficult | Primary concept: HANDOFF barrier repair and continuity</w:t>
      </w:r>
    </w:p>
    <w:p>
      <w:pPr>
        <w:spacing w:before="0" w:after="14" w:line="245" w:lineRule="auto"/>
        <w:keepNext/>
      </w:pPr>
      <w:r>
        <w:rPr>
          <w:rFonts w:ascii="Arial" w:hAnsi="Arial" w:eastAsia="Arial"/>
          <w:b/>
          <w:sz w:val="16"/>
        </w:rPr>
        <w:t>Talia misses the specialty trauma intake because the appointment conflicts with childcare and the clinic later reports that her insurance is not accepted. What is the BEST counselor response?</w:t>
      </w:r>
    </w:p>
    <w:p>
      <w:pPr>
        <w:spacing w:before="0" w:after="5" w:line="235" w:lineRule="auto"/>
        <w:ind w:left="216" w:hanging="216"/>
      </w:pPr>
      <w:r>
        <w:rPr>
          <w:rFonts w:ascii="Arial" w:hAnsi="Arial" w:eastAsia="Arial"/>
          <w:sz w:val="15"/>
        </w:rPr>
        <w:t>A. Document noncompliance and close the referral because Talia did not attend.</w:t>
      </w:r>
    </w:p>
    <w:p>
      <w:pPr>
        <w:spacing w:before="0" w:after="5" w:line="235" w:lineRule="auto"/>
        <w:ind w:left="216" w:hanging="216"/>
      </w:pPr>
      <w:r>
        <w:rPr>
          <w:rFonts w:ascii="Arial" w:hAnsi="Arial" w:eastAsia="Arial"/>
          <w:sz w:val="15"/>
        </w:rPr>
        <w:t>B. End current treatment so Talia is more motivated to locate specialty care.</w:t>
      </w:r>
    </w:p>
    <w:p>
      <w:pPr>
        <w:spacing w:before="0" w:after="5" w:line="235" w:lineRule="auto"/>
        <w:ind w:left="216" w:hanging="216"/>
      </w:pPr>
      <w:r>
        <w:rPr>
          <w:rFonts w:ascii="Arial" w:hAnsi="Arial" w:eastAsia="Arial"/>
          <w:sz w:val="15"/>
        </w:rPr>
        <w:t>C. Explore the barriers without blame, identify alternate qualified and accessible options, use authorized coordination or rescheduling, continue appropriate current support, and verify whether the next connection succeeds.</w:t>
      </w:r>
    </w:p>
    <w:p>
      <w:pPr>
        <w:spacing w:before="0" w:after="5" w:line="235" w:lineRule="auto"/>
        <w:ind w:left="216" w:hanging="216"/>
      </w:pPr>
      <w:r>
        <w:rPr>
          <w:rFonts w:ascii="Arial" w:hAnsi="Arial" w:eastAsia="Arial"/>
          <w:sz w:val="15"/>
        </w:rPr>
        <w:t>D. Continue current counseling indefinitely and stop discussing the specialty need.</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LPCC-WB11-PB-Q017 | Integrated Clinical Reasoning | Difficult | Primary concept: TEAM consent-limited coordination plan</w:t>
      </w:r>
    </w:p>
    <w:p>
      <w:pPr>
        <w:spacing w:before="0" w:after="14" w:line="245" w:lineRule="auto"/>
        <w:keepNext/>
      </w:pPr>
      <w:r>
        <w:rPr>
          <w:rFonts w:ascii="Arial" w:hAnsi="Arial" w:eastAsia="Arial"/>
          <w:b/>
          <w:sz w:val="16"/>
        </w:rPr>
        <w:t>Talia authorizes limited coordination with her primary-care clinician, prescriber, and trauma clinic, but not her partner or employer. Which plan is BEST?</w:t>
      </w:r>
    </w:p>
    <w:p>
      <w:pPr>
        <w:spacing w:before="0" w:after="5" w:line="235" w:lineRule="auto"/>
        <w:ind w:left="216" w:hanging="216"/>
      </w:pPr>
      <w:r>
        <w:rPr>
          <w:rFonts w:ascii="Arial" w:hAnsi="Arial" w:eastAsia="Arial"/>
          <w:sz w:val="15"/>
        </w:rPr>
        <w:t>A. Clarify each purpose and role, document specific authorization, share only relevant information, assign tasks and follow-up responsibility, monitor medical and referral outcomes, and maintain counseling continuity within competence.</w:t>
      </w:r>
    </w:p>
    <w:p>
      <w:pPr>
        <w:spacing w:before="0" w:after="5" w:line="235" w:lineRule="auto"/>
        <w:ind w:left="216" w:hanging="216"/>
      </w:pPr>
      <w:r>
        <w:rPr>
          <w:rFonts w:ascii="Arial" w:hAnsi="Arial" w:eastAsia="Arial"/>
          <w:sz w:val="15"/>
        </w:rPr>
        <w:t>B. Send the full psychotherapy record to every authorized professional so the team has complete information.</w:t>
      </w:r>
    </w:p>
    <w:p>
      <w:pPr>
        <w:spacing w:before="0" w:after="5" w:line="235" w:lineRule="auto"/>
        <w:ind w:left="216" w:hanging="216"/>
      </w:pPr>
      <w:r>
        <w:rPr>
          <w:rFonts w:ascii="Arial" w:hAnsi="Arial" w:eastAsia="Arial"/>
          <w:sz w:val="15"/>
        </w:rPr>
        <w:t>C. Include the partner because relationship stress is clinically relevant even without authorization.</w:t>
      </w:r>
    </w:p>
    <w:p>
      <w:pPr>
        <w:spacing w:before="0" w:after="5" w:line="235" w:lineRule="auto"/>
        <w:ind w:left="216" w:hanging="216"/>
      </w:pPr>
      <w:r>
        <w:rPr>
          <w:rFonts w:ascii="Arial" w:hAnsi="Arial" w:eastAsia="Arial"/>
          <w:sz w:val="15"/>
        </w:rPr>
        <w:t>D. Transfer all responsibility to the medical team and discontinue counseling once the first message is sent.</w:t>
      </w:r>
    </w:p>
    <w:p>
      <w:pPr>
        <w:spacing w:before="0" w:after="26" w:line="245" w:lineRule="auto"/>
      </w:pPr>
      <w:r>
        <w:rPr>
          <w:rFonts w:ascii="Arial" w:hAnsi="Arial" w:eastAsia="Arial"/>
          <w:b w:val="0"/>
          <w:i/>
          <w:color w:val="4B5563"/>
          <w:sz w:val="14"/>
        </w:rPr>
        <w:t>My answer: ______    Confidence: 1  2  3</w:t>
      </w:r>
    </w:p>
    <w:p>
      <w:r>
        <w:br w:type="page"/>
      </w:r>
    </w:p>
    <w:p>
      <w:pPr>
        <w:pStyle w:val="Heading1"/>
        <w:spacing w:before="0" w:after="60" w:line="245" w:lineRule="auto"/>
        <w:keepNext/>
      </w:pPr>
      <w:r>
        <w:rPr>
          <w:rFonts w:ascii="Arial" w:hAnsi="Arial" w:eastAsia="Arial"/>
          <w:b/>
          <w:color w:val="159C9C"/>
          <w:sz w:val="28"/>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3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Reflection Prompt</w:t>
            </w:r>
          </w:p>
        </w:tc>
        <w:tc>
          <w:tcPr>
            <w:tcW w:type="dxa" w:w="475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My Notes</w:t>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assume one modality should meet every need instead of using MODE reasoning?</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screen and prepare for the specific group rather than use diagnosis or convenience as a shortcut?</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clarify who the client was, whether participation was voluntary, and whether conjoint work was safe?</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mistake giving a referral for completing a HANDOFF?</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define team roles, authorization, minimum necessary information, responsibility, and follow-up?</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Could I explain how continuity is preserved when care is added, transferred, or intensified?</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SCORE USE</w:t>
            </w:r>
          </w:p>
          <w:p>
            <w:pPr>
              <w:spacing w:before="0" w:after="0" w:line="240" w:lineRule="auto"/>
            </w:pPr>
            <w:r>
              <w:rPr>
                <w:rFonts w:ascii="Arial" w:hAnsi="Arial" w:eastAsia="Arial"/>
                <w:color w:val="1F2937"/>
                <w:sz w:val="16"/>
              </w:rPr>
              <w:t>This 17-item bank is a targeted learning assessment, not an official NCMHCE passing standard. Use the pattern of errors to select remediation.</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WB11 Practice Bank Candidate Form v1.0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WB11 - 17-Question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11 17-Question Practice Bank - Candidate Form</dc:title>
  <dc:subject>Individual, Group, Couple/Family, Referral, Continuity, and Interdisciplinary Collaboration</dc:subject>
  <dc:creator>Clinical Training Academy</dc:creator>
  <cp:keywords>LPCC, NCMHCE, evidence-based interventions, practice bank, candidate form</cp:keywords>
  <dc:description>Candidate Form v1.0 - July 2026</dc:description>
  <cp:lastModifiedBy/>
  <cp:revision>1</cp:revision>
  <dcterms:created xsi:type="dcterms:W3CDTF">2013-12-23T23:15:00Z</dcterms:created>
  <dcterms:modified xsi:type="dcterms:W3CDTF">2013-12-23T23:15:00Z</dcterms:modified>
  <cp:category/>
</cp:coreProperties>
</file>