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 w:line="240" w:lineRule="auto"/>
        <w:jc w:val="center"/>
      </w:pPr>
      <w:r>
        <w:rPr>
          <w:rFonts w:ascii="Arial" w:hAnsi="Arial" w:eastAsia="Arial"/>
          <w:b/>
          <w:i w:val="0"/>
          <w:color w:val="1F7A8C"/>
          <w:sz w:val="20"/>
        </w:rPr>
        <w:t>CLINICAL TRAINING &amp; SUPERVISION ACADEMY</w:t>
      </w:r>
    </w:p>
    <w:p>
      <w:pPr>
        <w:spacing w:before="40" w:after="0" w:line="240" w:lineRule="auto"/>
        <w:jc w:val="center"/>
      </w:pPr>
      <w:r>
        <w:rPr>
          <w:rFonts w:ascii="Arial" w:hAnsi="Arial" w:eastAsia="Arial"/>
          <w:b/>
          <w:i w:val="0"/>
          <w:color w:val="17365D"/>
          <w:sz w:val="62"/>
        </w:rPr>
        <w:t>LPCC</w:t>
      </w:r>
    </w:p>
    <w:p>
      <w:pPr>
        <w:spacing w:before="0" w:after="80" w:line="240" w:lineRule="auto"/>
        <w:jc w:val="center"/>
      </w:pPr>
      <w:r>
        <w:rPr>
          <w:rFonts w:ascii="Arial" w:hAnsi="Arial" w:eastAsia="Arial"/>
          <w:b/>
          <w:i w:val="0"/>
          <w:color w:val="17365D"/>
          <w:sz w:val="42"/>
        </w:rPr>
        <w:t>QUICK-REFERENCE AND</w:t>
        <w:br/>
        <w:t>RAPID-REVIEW LIBRARY</w:t>
      </w:r>
    </w:p>
    <w:p>
      <w:pPr>
        <w:spacing w:before="0" w:after="240" w:line="240" w:lineRule="auto"/>
        <w:jc w:val="center"/>
      </w:pPr>
      <w:r>
        <w:rPr>
          <w:rFonts w:ascii="Arial" w:hAnsi="Arial" w:eastAsia="Arial"/>
          <w:b w:val="0"/>
          <w:i w:val="0"/>
          <w:color w:val="68737D"/>
          <w:sz w:val="21"/>
        </w:rPr>
        <w:t>NCMHCE / California LPCC Clinical Examination Preparation Program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9648"/>
            <w:shd w:fill="DDEFF2"/>
            <w:tcBorders>
              <w:top w:val="single" w:sz="12" w:color="1F7A8C"/>
              <w:left w:val="single" w:sz="12" w:color="1F7A8C"/>
              <w:bottom w:val="single" w:sz="12" w:color="1F7A8C"/>
              <w:right w:val="single" w:sz="12" w:color="1F7A8C"/>
            </w:tcBorders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66577"/>
                <w:sz w:val="26"/>
              </w:rPr>
              <w:t>Teaching Clinicians How to Think™</w:t>
            </w:r>
          </w:p>
          <w:p>
            <w:pPr>
              <w:spacing w:before="6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0"/>
              </w:rPr>
              <w:t>Clinical Reasoning Over Memorization</w:t>
            </w:r>
          </w:p>
        </w:tc>
        <w:trPr>
          <w:tblHeader/>
        </w:trPr>
      </w:tr>
    </w:tbl>
    <w:p>
      <w:pPr>
        <w:spacing w:before="240" w:after="120" w:line="240" w:lineRule="auto"/>
        <w:jc w:val="center"/>
      </w:pPr>
      <w:r>
        <w:rPr>
          <w:rFonts w:ascii="Arial" w:hAnsi="Arial" w:eastAsia="Arial"/>
          <w:b w:val="0"/>
          <w:i w:val="0"/>
          <w:color w:val="24313D"/>
          <w:sz w:val="18"/>
        </w:rPr>
        <w:t>Use these pages after learning the full material. They support retrieval, rationale review, targeted remediation, and final-week consolidation; they do not replace the workbooks, answer rationales, or current official candidate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4824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7"/>
              </w:rPr>
              <w:t>CORE RETRIEVAL TOOLS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Core reasoning • 12 workbook sheets • error-repair prompts</w:t>
            </w:r>
          </w:p>
        </w:tc>
        <w:tc>
          <w:tcPr>
            <w:tcW w:type="dxa" w:w="4824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7"/>
              </w:rPr>
              <w:t>EXAM TRANSITION TOOLS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Current facts and pacing • Summer 2027 transition • Form A/Form B readiness</w:t>
            </w:r>
          </w:p>
        </w:tc>
        <w:trPr>
          <w:tblHeader/>
        </w:trPr>
      </w:tr>
      <w:tr>
        <w:tc>
          <w:tcPr>
            <w:tcW w:type="dxa" w:w="4824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7"/>
              </w:rPr>
              <w:t>STUDENT USE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Learn → Apply → Analyze → Repair → Revisit</w:t>
            </w:r>
          </w:p>
        </w:tc>
        <w:tc>
          <w:tcPr>
            <w:tcW w:type="dxa" w:w="4824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7"/>
              </w:rPr>
              <w:t>FORMAT</w:t>
            </w:r>
          </w:p>
          <w:p>
            <w:pPr>
              <w:spacing w:before="4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Version 1.0 • July 2026 • Editable and Print-Optimized Word Resource</w:t>
            </w:r>
          </w:p>
        </w:tc>
      </w:tr>
    </w:tbl>
    <w:p>
      <w:pPr>
        <w:spacing w:before="240" w:after="0" w:line="240" w:lineRule="auto"/>
        <w:jc w:val="center"/>
      </w:pPr>
      <w:r>
        <w:rPr>
          <w:rFonts w:ascii="Arial" w:hAnsi="Arial" w:eastAsia="Arial"/>
          <w:b/>
          <w:i w:val="0"/>
          <w:color w:val="1F7A8C"/>
          <w:sz w:val="16"/>
        </w:rPr>
        <w:t>EXAM PREPARATION RESOURCE • NO CE CREDIT</w:t>
      </w:r>
    </w:p>
    <w:p>
      <w:pPr>
        <w:spacing w:before="60" w:after="0" w:line="240" w:lineRule="auto"/>
        <w:jc w:val="center"/>
      </w:pPr>
      <w:r>
        <w:rPr>
          <w:rFonts w:ascii="Arial" w:hAnsi="Arial" w:eastAsia="Arial"/>
          <w:b w:val="0"/>
          <w:i w:val="0"/>
          <w:color w:val="68737D"/>
          <w:sz w:val="14"/>
        </w:rPr>
        <w:t>Educational review resource. Not an official examination. CTA is not affiliated with or endorsed by BBS, NBCC, CCE, or Pearson VUE. Completion does not guarantee passage or determine eligibility.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FOUNDATION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LPCC Core Reasoning Quick Reference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whenever two answer choices both appear clinically reasonable.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SIX-PASS CASE DECISION SEQUENCE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READ → LOCATE → STAGE → PRIORITIZE → CHOOSE → CHECK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READ + LOCATE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Read the question and qualifier before solving the case.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Name the task: ethics/safety, intake, assessment, diagnosis, planning, intervention, evaluation, or continuity.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Use only facts available in the current case section.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STAGE + PRIORITIZE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Identify what has already occurred and what must happen next.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Address immediate medical, safety, abuse, violence, or legal duties before routine care.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When decision-critical facts are missing, gather them before selecting a later-stage action.</w:t>
            </w:r>
          </w:p>
        </w:tc>
        <w:trPr>
          <w:tblHeader/>
        </w:trPr>
      </w:tr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DDEF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CHOOSE THE ANSWER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Select the option supported by the known evidence—not the most impressive technique.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Prefer a collaborative, proportionate, role-appropriate action that matches client readiness.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Choose the answer that advances the case without inventing facts.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CHECK BEFORE COMMITTING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Scope and competence • client choice and culture • access and feasibility.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Timing and least-restrictive safety • documentation, coordination, and follow-up.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Reject answers that are premature, absolute, coercive, overly broad, or disconnected from the case.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What exact task and qualifier control the item?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What evidence is available now—not later?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What is the safest, best-sequenced, feasible next step?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10-SECOND RESET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Say the decision rule in one sentence before selecting an option.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LPCC anchor: use the current evidence, honor the counseling role, address urgency first, and move only one defensible stage forward.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WB1 QUICK REFERENCE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NCMHCE Case-Study Strategy and Applied Counselor Reasoning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after completing the full workbook and during rationale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CASE NAVIGATION + DECISION CONTROL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Task → Section → Evidence → Priority → Best-Supported Action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Treat each three-part case as an unfolding record. Reorient when new information appears.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FIRST, NEXT, BEST, MOST, and LEAST RESTRICTIVE test different decisions; do not treat them as interchangeable.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Answer from the current section only. Later information cannot retroactively justify an earlier choice.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Reading for diagnosis before identifying the question task.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Choosing the most intensive or sophisticated response instead of the best-timed response.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Changing an answer because later case facts create hindsight rather than because the original evidence supported the change.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What is the exact task word?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Which case section am I in?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What option fits the known facts without assumptions?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THE BANK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For each missed item, record the task word, section, overlooked clue, distractor type, and corrected rule.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WB2 QUICK REFERENCE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LPCC Identity, Scope, Competence, and Self-Awareness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for professional-role, boundary, consultation, and counselor-functioning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PROFESSIONAL RESPONSIBILITY SEQUENCE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Legal Authority → Actual Competence → Self-Awareness → Client Protection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Confirm that the activity is legally within the LPCC role before asking whether the counselor is competent to provide it.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Competence depends on relevant education, training, supervised experience, skill, and current circumstances—not confidence alone.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Use consultation, supervision, training, collaboration, modification, referral, or transfer in proportion to the limitation and risk.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Assuming licensure, years of experience, client consent, or supervisor approval expands statutory scope.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Treating countertransference, bias, stress, or impairment as moral failure rather than information requiring assessment and action.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Referring automatically when consultation or supported care could protect the client—or continuing when a safe correction is not possible.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Is the service legally authorized for this role?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What evidence supports current competence?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What protective response matches the actual risk?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THE BANK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State the difference between scope of practice and scope of competence, then name one proportionate corrective action.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WB3 QUICK REFERENCE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Intake, Consent, Interviewing, MSE, and Integrated Assessment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when early case structure, data gathering, interpretation, or assessment tools control the decision.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INTAKE + ASSESSMENT SEQUENCE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Client/Consent → Engage → Screen → Clarify → Integrate → Plan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Establish who the client is, purpose of services, participants, privacy limits, communication expectations, and informed consent.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Move from broad, respectful inquiry to focused clarification; explain sensitive questions and preserve choice.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Separate MSE observation from inference, integrate multiple sources, and use tools only when they improve a clinical decision.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Collecting extensive history or collateral information before purpose, consent, and authorization are clear.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Treating one test score, one behavior, or one cultural assumption as the whole assessment.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Documenting diagnostic conclusions that exceed the available timeline, corroboration, or observed evidence.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What intake structure must be clarified first?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What is observed, reported, inferred, or still missing?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Will this question, measure, or collateral source change the next decision?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THE BANK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Write a six-domain assessment note: presenting concern, context, functioning, risk, strengths, and missing data.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WB4 QUICK REFERENCE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Crisis, Trauma, Abuse, Violence, and Level-of-Care Decisions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when safety, medical urgency, reporting, protection, or stabilization may control the sequence.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SAFER CRISIS SEQUENCE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Stabilize → Assess Directly → Formulate Acuity → Execute → Reconnect/Record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When risk is unclear, assess directly. When imminent danger, medical urgency, or a controlling duty is established, act proportionately.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Translate labels into facts: ideation, intent, plan, means, timing, history, capacity, exposure, protective factors, location, and reachability.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Match level of care to acuity and feasibility; include handoff, continuity, documentation, and follow-up.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Using reassurance, a no-harm promise, or a generic resource list instead of direct assessment.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Selecting the most restrictive option before evaluating threshold, capacity, supports, and feasible alternatives.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Pressing trauma detail, confronting a possible victim, or delaying a required protective/reporting response.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What immediate signal needs clarification?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What facts determine acuity, duty, and level of care?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Can the safety plan actually be reached and used?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THE BANK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Practice stating the next two direct questions and the threshold that would change the response.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WB5 QUICK REFERENCE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Diagnosis and Differential Diagnosis I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for mood, anxiety, trauma, OCD, psychotic, and closely competing presentations.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WORKING DIAGNOSTIC FORMULATION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Pattern → Timeline → Impact → Exclusions → Alternatives → Status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Diagnosis is a working conclusion based on syndrome pattern, duration, severity, impairment, context, and exclusions.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Differentiate by chronology and mechanism: episodic activation vs chronic anxiety; intrusion/avoidance vs psychosis; obsession/compulsion vs generalized worry.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Use provisional, rule-out, other specified, unspecified, and deferred status only when the evidence supports that level of certainty.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Diagnosing from the most dramatic symptom or selecting the most severe-sounding label.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Ignoring baseline, sleep, substances, medications, medical conditions, trauma timing, or periods of remission.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Forcing one diagnosis to explain cultural meaning, relational context, environmental stress, or co-occurring conditions.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What is the full pattern and chronology?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Which exclusion or competing explanation remains?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Is the evidence sufficient to diagnose, gather more, or refer?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THE BANK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Write one working formulation, two competing explanations, and the next fact needed to distinguish them.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WB6 QUICK REFERENCE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Diagnosis and Differential Diagnosis II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for substance, personality, neurodevelopmental, eating, sleep, somatic, and medical differentials.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COMPLEX DIFFERENTIAL SEQUENCE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Urgency → Substance/Medical → Development/Pattern → Comorbidity → Care Level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Address intoxication, withdrawal, delirium, severe nutritional compromise, medication effects, and other medical red flags before routine diagnosis.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Personality and neurodevelopmental formulations require longitudinal, cross-context patterns—not one difficult interaction.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Assess co-occurrence, functional impact, stage of change, and the need for coordinated or specialized care.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Calling behavior manipulative, resistant, or personality-disordered without developmental and contextual assessment.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Assuming a psychiatric explanation when sleep, substance, neurological, endocrine, medication, or other medical factors remain plausible.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Using outpatient talk therapy as the default when withdrawal risk, eating-disorder acuity, psychosis, or medical instability requires more.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Is there a medical or withdrawal priority?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Is the pattern persistent across time and settings?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What co-occurring condition or care-level need changes the plan?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THE BANK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Build a differential grid with evidence for, evidence against, missing data, urgency, and referral/coordination needs.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WB7 QUICK REFERENCE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Conceptualization, Planning, Measurement, Progress, and Termination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when the case asks what treatment should target, how progress will be evaluated, or how care should change.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PLAN-REVIEW-CONTINUITY LOOP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Formulation → Goals → Objectives → Intervention → Measure → Review → Transition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Connect presenting problems, contributing and maintaining factors, strengths, barriers, and protective factors to the plan.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Make goals collaborative and meaningful; make objectives observable, time-linked, and feasible; select interventions that target the stated mechanism.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Use baseline and repeated data. Nonresponse triggers reassessment of formulation, alliance, implementation, access, dose, and level of care.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Writing vague goals such as “feel better” without indicators, timing, or client-defined meaning.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Changing techniques repeatedly without checking whether the original plan was implemented or accessible.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Ending solely because symptoms improved, attendance declined, or coverage changed without continuity, relapse prevention, and follow-up.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What mechanism or barrier is the plan targeting?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How will change be measured and when reviewed?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What transition or relapse-prevention step protects continuity?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THE BANK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Complete one chain: formulation factor → goal → measurable objective → intervention → measure → review date.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WB8 QUICK REFERENCE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Counseling Theories, Alliance, and Core Counseling Skills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when counselor stance, theory fit, therapeutic relationship, or moment-to-moment skill is central.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THEORY + RELATIONSHIP FIT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Client Meaning → Maintaining Mechanism → Alliance Need → Theory-Consistent Skill → Response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Theory is a testable map linking observations, mechanism, target, intervention, and expected response.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Alliance requires empathy, collaboration, cultural humility, boundaries, and repair—not agreement with every belief or avoidance of challenge.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Choose the micro-skill that fits the moment: reflection, clarification, immediacy, summarizing, gentle discrepancy, psychoeducation, or collaborative problem solving.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Matching a diagnosis or vocabulary word to a theory without identifying the mechanism.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Using confrontation, interpretation, advice, or silence before sufficient safety and alliance exist.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Treating rupture as client resistance rather than checking counselor impact, misunderstanding, power, culture, and treatment fit.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What mechanism is the theory explaining?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What does the alliance need in this moment?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Which skill advances the client’s goal without exceeding readiness?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THE BANK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For one vignette, name the mechanism, alliance task, selected skill, and expected observable response.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WB9 QUICK REFERENCE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Evidence-Based and Evidence-Informed Interventions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when selecting, sequencing, adapting, or evaluating a counseling intervention.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INTERVENTION FIT SEQUENCE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Safety → Target → Mechanism → Readiness → Method/Dose → Measure → Adjust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Evidence-based care integrates research, counselor competence, clinical judgment, client characteristics, values, preferences, and context.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Match the method to a defined target and mechanism; sequence stabilization, skills, exposure/processing, recovery, or relapse prevention deliberately.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For nonresponse, reassess diagnosis, risk, alliance, adherence, access, treatment dose, competing needs, and care level before technique shopping.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Choosing a familiar intervention because it is popular rather than because it fits the formulation.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Beginning exposure, trauma processing, conjoint work, or behavior change before safety, consent, readiness, and implementation supports are present.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Calling an intervention ineffective without measuring fidelity, participation, barriers, and outcome.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What exact target and mechanism must change?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Is the client ready and able to use this method?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What result and review point will show whether to continue or adjust?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THE BANK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Write a target-mechanism-method-measure statement for one CBT, MI, DBT-skills, trauma, substance-use, or career intervention.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WB10 QUICK REFERENCE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Multicultural, Developmental, Career, Spiritual, Disability, and Context-Responsive Counseling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when identity, power, development, access, life role, belief, or environment changes how care should be delivered.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ASK-ADAPT-ACCESS-EVALUATE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Client Meaning → Power/Context → Development → Adaptation → Access → Outcome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Ask how the client understands identity, distress, family/community expectations, spirituality, work, disability, and help-seeking.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Context must change delivery: language, pacing, examples, modality, participants, materials, goals, and decision-making process.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Treat cost, transportation, technology, housing, work schedules, caregiving, language, discrimination, and disability access as treatment variables.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Assuming needs, values, or preferences from a demographic category or developmental label.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Pathologizing culturally meaningful behavior, spiritual belief, disability response, or career concern without impairment and context.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Labeling missed appointments or limited follow-through as resistance when access, power, safety, or accommodation is the controlling issue.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What meaning does the client assign to this issue?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What power, developmental, or access condition changes delivery?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What concrete adaptation will be evaluated?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THE BANK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Name one client-led adaptation and the observable outcome that would show it improved access, alliance, or effectiveness.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WB11 QUICK REFERENCE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Individual, Group, Couple/Family, Referral, Continuity, and Collaboration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when selecting a treatment unit, group format, referral, handoff, or interdisciplinary 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MODALITY + CONTINUITY DECISION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Purpose → Safety/Consent → Readiness → Role/Scope → Coordination → Follow-Up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Select individual, group, couple/family, or coordinated care because the treatment unit and mechanism fit the case—not by default.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Screen group purpose, composition, readiness, confidentiality limits, process risk, and facilitation plan.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A referral does not end responsibility: explain the rationale, support access, share only authorized/necessary information, and confirm continuity.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Beginning conjoint or family work when violence, coercion, privacy, consent, or LPCC role/scope concerns have not been addressed.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Placing a client in a group without screening fit, acuity, expectations, or ability to participate safely.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Assuming consultation transfers responsibility or permits broad information sharing.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Which treatment unit best matches the target?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Are safety, consent, readiness, and scope established?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Who owns each next step and how will follow-up be confirmed?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THE BANK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Complete a continuity statement: purpose, referral/collaborator role, authorization, information shared, access barrier, and follow-up date.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WB12 QUICK REFERENCE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California Legal, Ethical, Documentation, Technology, and Professional Practice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when authority, confidentiality, consent, records, telehealth, technology, boundaries, or professional conduct controls the answer.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LEGAL-ETHICAL PRACTICE SEQUENCE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Issue → Current Authority → Client/Safety Facts → Options → Least Harm → Document/Review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HIGH-YIELD RULES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Identify the controlling legal or ethical issue, verify current official authority when rules may have changed, and distinguish legal requirements from best practice.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Use informed consent as an ongoing process; disclose privacy limits, fees, communication/technology practices, emergencies, records, and material treatment changes.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Document clinically relevant facts, reasoning, actions, consultation, coordination, and follow-up with objective, respectful, minimum-necessary detail.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COMMON EXAM TRAPS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Relying on an outdated school rule, memory, social-media summary, employer custom, or another profession’s practice act.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Treating confidentiality as absolute or disclosing broadly because an exception, authorization, or collaboration exists.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Using telehealth, texting, social media, recording, AI tools, or electronic records without consent, security, competence, jurisdiction, and contingency planning.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What exact legal/ethical issue and current authority apply?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What facts determine duty, permission, or prohibition?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What documentation, consultation, notification, or follow-up is required?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THE BANK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Write a brief ethical decision record: issue, authority checked, facts, options, risks, consultation, decision, and review plan.</w:t>
            </w:r>
          </w:p>
        </w:tc>
        <w:trPr>
          <w:tblHeader/>
        </w:trPr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CTA rule: a clinically reasonable answer can still be wrong when it is premature, unsupported, outside role, inaccessible, or missing follow-up.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EXAM FACTS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Current NCMHCE Format and Pacing Quick Reference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for examinations administered under the current content outline. Confirm current official candidate materials before testing.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CURRENT PUBLIC EXAM STRUCTURE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11 Case Studies • 3 Sections per Case • 9–15 Items per Case • 100 Scored Items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Current Content Domain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Weight</w:t>
            </w:r>
          </w:p>
        </w:tc>
        <w:trPr>
          <w:tblHeader/>
        </w:trPr>
      </w:tr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Professional Practice and Ethics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5"/>
              </w:rPr>
              <w:t>15%</w:t>
            </w:r>
          </w:p>
        </w:tc>
      </w:tr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Intake, Assessment, and Diagnosis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5"/>
              </w:rPr>
              <w:t>25%</w:t>
            </w:r>
          </w:p>
        </w:tc>
      </w:tr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Areas of Clinical Focus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5"/>
              </w:rPr>
              <w:t>Case/context level; 0% item-level</w:t>
            </w:r>
          </w:p>
        </w:tc>
      </w:tr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Treatment Planning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5"/>
              </w:rPr>
              <w:t>15%</w:t>
            </w:r>
          </w:p>
        </w:tc>
      </w:tr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Counseling Skills and Interventions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5"/>
              </w:rPr>
              <w:t>30%</w:t>
            </w:r>
          </w:p>
        </w:tc>
      </w:tr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Core Counseling Attributes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5"/>
              </w:rPr>
              <w:t>15%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FORMAT FACTS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130–150 total multiple-choice items; four options with one correct response.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One case and some items are unscored; candidates are not told which.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The current handbook provides 225 minutes for examination items within a 255-minute total test session that also includes the agreement, tutorial, and scheduled break. The official appointment and on-screen timer control.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PACING PRINCIPLES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Use case-based pacing, not equal time per question; reserve time to reorient at section changes.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Read the task first, then scan the current narrative for the controlling evidence.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After a difficult item, use a brief reset and protect later cases from time loss.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Scoring reminder: the passing standard is established through equating and can vary by form; do not convert practice performance into a guaranteed official result.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TRANSITION TOOL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Summer 2027 NCMHCE Transition Quick Reference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only for planning around the announced summer 2027 specifications. Candidates testing earlier should study the current outline.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ANNOUNCED SUMMER 2027 STRUCTURE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10 Case Studies • 3 Sections per Case • 130–150 Items • 225 Minutes + Optional 15-Minute Break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Summer 2027 Domain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Weight</w:t>
            </w:r>
          </w:p>
        </w:tc>
        <w:trPr>
          <w:tblHeader/>
        </w:trPr>
      </w:tr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Professional Development and Counselor Self-Awareness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5"/>
              </w:rPr>
              <w:t>15%</w:t>
            </w:r>
          </w:p>
        </w:tc>
      </w:tr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Intake and Assessment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5"/>
              </w:rPr>
              <w:t>18%</w:t>
            </w:r>
          </w:p>
        </w:tc>
      </w:tr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Treatment Planning and Continuity of Care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5"/>
              </w:rPr>
              <w:t>15%</w:t>
            </w:r>
          </w:p>
        </w:tc>
      </w:tr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Provision of Counseling Interventions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5"/>
              </w:rPr>
              <w:t>20%</w:t>
            </w:r>
          </w:p>
        </w:tc>
      </w:tr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Indirect Client Care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5"/>
              </w:rPr>
              <w:t>12%</w:t>
            </w:r>
          </w:p>
        </w:tc>
      </w:tr>
      <w:tr>
        <w:tc>
          <w:tcPr>
            <w:tcW w:type="dxa" w:w="828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Legal and Ethical Compliance</w:t>
            </w:r>
          </w:p>
        </w:tc>
        <w:tc>
          <w:tcPr>
            <w:tcW w:type="dxa" w:w="2448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5"/>
              </w:rPr>
              <w:t>20%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DDEF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WHAT CHANGES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Ten cases; 30–50 field-test items; score scale 100–500 with 360 announced as passing.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Questions are divided into two halves. Review is available before submitting each half; the first half cannot be reopened afterward.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More explicit emphasis on indirect care, continuity, self-awareness, technology/AI, documentation, emergency plans, billing, portability, and legal/ethical compliance.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STUDY RESPONSE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Do not blend old and new timing or domain percentages. Use the specification tied to the actual appointment date.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Keep current clinical reasoning; expand retrieval for indirect care, technology, legal compliance, counselor wellness, and continuity.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Recheck NBCC and BBS materials near registration because implementation details can change.</w:t>
            </w:r>
          </w:p>
        </w:tc>
        <w:trPr>
          <w:tblHeader/>
        </w:trPr>
      </w:tr>
    </w:tbl>
    <w:p>
      <w:pPr>
        <w:spacing w:after="0"/>
      </w:pPr>
    </w:p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Transition rule: study the current outline until your examination window clearly falls under the announced summer 2027 administration specifications.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READINESS TOOL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Form A, Remediation, and Form B Quick Reference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Protect the diagnostic value of both comprehensive simulations.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CONTROLLED READINESS SEQUENCE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Complete Curriculum → Form A → Targeted Remediation → Form B → Final Plan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BEFORE EACH FORM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Complete the required workbooks, banks, rationales, checkpoints, and assigned quick-reference review.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Use full simulated timing, planned break conditions, and a distraction-controlled setting.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Do not preview answer keys, rationale files, or administrative scoring materials.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DDEF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AFTER SUBMISSION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Record score, time, case pacing, confidence, unanswered items, and domain patterns.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Classify misses by content, stage, sequence, qualifier, evidence, role/scope, context/access, and follow-up.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Return to exact workbook sections and complete targeted re-application before the next simulation.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81"/>
        <w:gridCol w:w="3581"/>
        <w:gridCol w:w="3581"/>
      </w:tblGrid>
      <w:tr>
        <w:tc>
          <w:tcPr>
            <w:tcW w:type="dxa" w:w="165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Stage</w:t>
            </w:r>
          </w:p>
        </w:tc>
        <w:tc>
          <w:tcPr>
            <w:tcW w:type="dxa" w:w="367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Purpose</w:t>
            </w:r>
          </w:p>
        </w:tc>
        <w:tc>
          <w:tcPr>
            <w:tcW w:type="dxa" w:w="540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7365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Control Rule</w:t>
            </w:r>
          </w:p>
        </w:tc>
        <w:trPr>
          <w:tblHeader/>
        </w:trPr>
      </w:tr>
      <w:tr>
        <w:tc>
          <w:tcPr>
            <w:tcW w:type="dxa" w:w="165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4"/>
              </w:rPr>
              <w:t>Form A</w:t>
            </w:r>
          </w:p>
        </w:tc>
        <w:tc>
          <w:tcPr>
            <w:tcW w:type="dxa" w:w="367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4"/>
              </w:rPr>
              <w:t>Diagnose remaining gaps</w:t>
            </w:r>
          </w:p>
        </w:tc>
        <w:tc>
          <w:tcPr>
            <w:tcW w:type="dxa" w:w="540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4"/>
              </w:rPr>
              <w:t>One primary timed attempt; detailed rationale review only after submission.</w:t>
            </w:r>
          </w:p>
        </w:tc>
      </w:tr>
      <w:tr>
        <w:tc>
          <w:tcPr>
            <w:tcW w:type="dxa" w:w="165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4"/>
              </w:rPr>
              <w:t>Remediation</w:t>
            </w:r>
          </w:p>
        </w:tc>
        <w:tc>
          <w:tcPr>
            <w:tcW w:type="dxa" w:w="367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4"/>
              </w:rPr>
              <w:t>Repair repeated error patterns</w:t>
            </w:r>
          </w:p>
        </w:tc>
        <w:tc>
          <w:tcPr>
            <w:tcW w:type="dxa" w:w="540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4"/>
              </w:rPr>
              <w:t>Write corrective rules, review exact sections, and complete targeted questions.</w:t>
            </w:r>
          </w:p>
        </w:tc>
      </w:tr>
      <w:tr>
        <w:tc>
          <w:tcPr>
            <w:tcW w:type="dxa" w:w="165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4"/>
              </w:rPr>
              <w:t>Form B</w:t>
            </w:r>
          </w:p>
        </w:tc>
        <w:tc>
          <w:tcPr>
            <w:tcW w:type="dxa" w:w="367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4"/>
              </w:rPr>
              <w:t>Evaluate fresh readiness</w:t>
            </w:r>
          </w:p>
        </w:tc>
        <w:tc>
          <w:tcPr>
            <w:tcW w:type="dxa" w:w="540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4"/>
              </w:rPr>
              <w:t>Preserve as the final readiness form; avoid casual retakes.</w:t>
            </w:r>
          </w:p>
        </w:tc>
      </w:tr>
      <w:tr>
        <w:tc>
          <w:tcPr>
            <w:tcW w:type="dxa" w:w="165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4"/>
              </w:rPr>
              <w:t>Final Week</w:t>
            </w:r>
          </w:p>
        </w:tc>
        <w:tc>
          <w:tcPr>
            <w:tcW w:type="dxa" w:w="367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4"/>
              </w:rPr>
              <w:t>Consolidate, do not overload</w:t>
            </w:r>
          </w:p>
        </w:tc>
        <w:tc>
          <w:tcPr>
            <w:tcW w:type="dxa" w:w="5400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color w:val="24313D"/>
                <w:sz w:val="14"/>
              </w:rPr>
              <w:t>Review high-priority rules, logistics, sleep, pacing, and recovery strategies.</w:t>
            </w:r>
          </w:p>
        </w:tc>
      </w:tr>
    </w:tbl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68737D"/>
          <w:sz w:val="14"/>
        </w:rPr>
        <w:t>Use readiness language such as developing, progressing, needs targeted repair, or ready for final simulation—not a self-invented guaranteed passing score.</w:t>
      </w:r>
    </w:p>
    <w:p>
      <w:r>
        <w:br w:type="page"/>
      </w:r>
    </w:p>
    <w:p>
      <w:pPr>
        <w:keepNext/>
        <w:spacing w:before="0" w:after="20" w:line="240" w:lineRule="auto"/>
      </w:pPr>
      <w:r>
        <w:rPr>
          <w:rFonts w:ascii="Arial" w:hAnsi="Arial" w:eastAsia="Arial"/>
          <w:b/>
          <w:i w:val="0"/>
          <w:color w:val="1F7A8C"/>
          <w:sz w:val="16"/>
        </w:rPr>
        <w:t>LPCC FINAL REVIEW</w:t>
      </w:r>
    </w:p>
    <w:p>
      <w:pPr>
        <w:keepNext/>
        <w:spacing w:before="0" w:after="40" w:line="240" w:lineRule="auto"/>
      </w:pPr>
      <w:r>
        <w:rPr>
          <w:rFonts w:ascii="Arial" w:hAnsi="Arial" w:eastAsia="Arial"/>
          <w:b/>
          <w:i w:val="0"/>
          <w:color w:val="17365D"/>
          <w:sz w:val="36"/>
        </w:rPr>
        <w:t>Rapid Review and Error-Repair Dashboard</w:t>
      </w:r>
    </w:p>
    <w:p>
      <w:pPr>
        <w:keepNext/>
        <w:spacing w:before="0" w:after="100" w:line="240" w:lineRule="auto"/>
      </w:pPr>
      <w:r>
        <w:rPr>
          <w:rFonts w:ascii="Arial" w:hAnsi="Arial" w:eastAsia="Arial"/>
          <w:b w:val="0"/>
          <w:i w:val="0"/>
          <w:color w:val="68737D"/>
          <w:sz w:val="18"/>
        </w:rPr>
        <w:t>Use during the final study phase to convert repeated misses into short, transferable decision rules.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28"/>
            <w:shd w:fill="DDEFF2"/>
            <w:tcBorders>
              <w:top w:val="single" w:sz="10" w:color="1F7A8C"/>
              <w:left w:val="single" w:sz="10" w:color="1F7A8C"/>
              <w:bottom w:val="single" w:sz="10" w:color="1F7A8C"/>
              <w:right w:val="single" w:sz="10" w:color="1F7A8C"/>
            </w:tcBorders>
            <w:tcMar>
              <w:top w:w="70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6"/>
              </w:rPr>
              <w:t>SEVEN ERROR CODES</w:t>
            </w:r>
          </w:p>
          <w:p>
            <w:pPr>
              <w:spacing w:before="20" w:after="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17365D"/>
                <w:sz w:val="26"/>
              </w:rPr>
              <w:t>C Content • S Stage/Sequence • Q Qualifier • E Evidence • R Role/Scope • X Context/Access • F Follow-Up</w:t>
            </w:r>
          </w:p>
        </w:tc>
        <w:trPr>
          <w:tblHeader/>
        </w:trPr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E8F3E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CONTENT / EVIDENCE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C: I did not know or accurately retrieve the controlling concept.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E: I overlooked, overread, or invented a case fact.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Repair: review the exact rule, then apply it to a new vignette.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DDEF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SEQUENCE / QUALIFIER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S: I chose a later-stage action too early or skipped a required step.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Q: I answered a different question than FIRST, NEXT, BEST, MOST, or LEAST RESTRICTIVE.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Repair: state the task and current stage before viewing options.</w:t>
            </w:r>
          </w:p>
        </w:tc>
        <w:trPr>
          <w:tblHeader/>
        </w:trPr>
      </w:tr>
      <w:tr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ROLE / CONTEXT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R: I ignored scope, competence, consent, authority, or treatment-unit limits.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X: I missed culture, development, client preference, disability, power, or access.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Repair: add the role and feasibility check to the decision sequence.</w:t>
            </w:r>
          </w:p>
        </w:tc>
        <w:tc>
          <w:tcPr>
            <w:tcW w:type="dxa" w:w="5357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DE9E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FOLLOW-UP / SYSTEM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F: I selected an action without measurement, documentation, handoff, continuity, or review.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Look for repeated clusters rather than isolated scores.</w:t>
            </w:r>
          </w:p>
          <w:p>
            <w:pPr>
              <w:pStyle w:val="ListBullet"/>
              <w:spacing w:before="0" w:after="0" w:line="240" w:lineRule="auto"/>
              <w:ind w:left="230" w:hanging="144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5"/>
              </w:rPr>
              <w:t>Repair: write what happens after the immediate action and who owns it.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71"/>
        <w:gridCol w:w="5371"/>
      </w:tblGrid>
      <w:tr>
        <w:tc>
          <w:tcPr>
            <w:tcW w:type="dxa" w:w="6912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3F7FA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F7A8C"/>
                <w:sz w:val="18"/>
              </w:rPr>
              <w:t>FAST DECISION PROMPTS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1. What task and current stage control this decision?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2. Is there immediate safety, medical urgency, abuse/violence, or a legal duty?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3. What information is missing before diagnosis, planning, or intervention?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4. Is the action within role, competent, collaborative, accessible, and followed up?</w:t>
            </w:r>
          </w:p>
        </w:tc>
        <w:tc>
          <w:tcPr>
            <w:tcW w:type="dxa" w:w="3816"/>
            <w:tcBorders>
              <w:top w:val="single" w:sz="6" w:color="AAB9C5"/>
              <w:left w:val="single" w:sz="6" w:color="AAB9C5"/>
              <w:bottom w:val="single" w:sz="6" w:color="AAB9C5"/>
              <w:right w:val="single" w:sz="6" w:color="AAB9C5"/>
            </w:tcBorders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4D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17365D"/>
                <w:sz w:val="18"/>
              </w:rPr>
              <w:t>FINAL-WEEK PLAN</w:t>
            </w:r>
          </w:p>
          <w:p>
            <w:pPr>
              <w:spacing w:before="20" w:after="0" w:line="240" w:lineRule="auto"/>
            </w:pPr>
            <w:r>
              <w:rPr>
                <w:rFonts w:ascii="Arial" w:hAnsi="Arial" w:eastAsia="Arial"/>
                <w:b w:val="0"/>
                <w:i w:val="0"/>
                <w:color w:val="24313D"/>
                <w:sz w:val="16"/>
              </w:rPr>
              <w:t>Final-week rhythm: brief mixed retrieval → one targeted repair block → rationale review → stop at a planned time. Protect sleep, routine, nutrition, medications as prescribed, and exam logistics.</w:t>
            </w:r>
          </w:p>
        </w:tc>
        <w:trPr>
          <w:tblHeader/>
        </w:trPr>
      </w:tr>
    </w:tbl>
    <w:p>
      <w:pPr>
        <w:spacing w:before="80" w:after="0" w:line="240" w:lineRule="auto"/>
        <w:jc w:val="center"/>
      </w:pPr>
      <w:r>
        <w:rPr>
          <w:rFonts w:ascii="Arial" w:hAnsi="Arial" w:eastAsia="Arial"/>
          <w:b/>
          <w:i w:val="0"/>
          <w:color w:val="1F7A8C"/>
          <w:sz w:val="16"/>
        </w:rPr>
        <w:t>OFFICIAL SOURCE CHECK</w:t>
      </w:r>
    </w:p>
    <w:p>
      <w:pPr>
        <w:spacing w:before="20" w:after="0" w:line="240" w:lineRule="auto"/>
        <w:jc w:val="center"/>
      </w:pPr>
      <w:r>
        <w:rPr>
          <w:rFonts w:ascii="Arial" w:hAnsi="Arial" w:eastAsia="Arial"/>
          <w:b w:val="0"/>
          <w:i w:val="0"/>
          <w:color w:val="68737D"/>
          <w:sz w:val="14"/>
        </w:rPr>
        <w:t>Review the current California BBS LPCC examination page and the NBCC NCMHCE content outline/specifications tied to your examination date. Official information controls over this study resource.</w:t>
      </w:r>
    </w:p>
    <w:p>
      <w:pPr>
        <w:spacing w:before="60" w:after="0" w:line="240" w:lineRule="auto"/>
        <w:jc w:val="center"/>
      </w:pPr>
      <w:r>
        <w:rPr>
          <w:rFonts w:ascii="Arial" w:hAnsi="Arial" w:eastAsia="Arial"/>
          <w:b/>
          <w:i w:val="0"/>
          <w:color w:val="17365D"/>
          <w:sz w:val="15"/>
        </w:rPr>
        <w:t>CTA FINAL REMINDER: One difficult item or case does not determine the examination. Reorient, use the evidence available, choose the safest best-sequenced response, and move forward.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605" w:right="749" w:bottom="605" w:left="749" w:header="288" w:footer="28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8737D"/>
        <w:sz w:val="15"/>
      </w:rPr>
      <w:t xml:space="preserve">Clinical Training &amp; Supervision Academy | </w:t>
    </w:r>
    <w:r>
      <w:rPr>
        <w:rFonts w:ascii="Arial" w:hAnsi="Arial"/>
        <w:color w:val="68737D"/>
        <w:sz w:val="15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8737D"/>
        <w:sz w:val="15"/>
      </w:rPr>
      <w:t xml:space="preserve">Clinical Training &amp; Supervision Academy | </w:t>
    </w:r>
    <w:r>
      <w:rPr>
        <w:rFonts w:ascii="Arial" w:hAnsi="Arial"/>
        <w:color w:val="68737D"/>
        <w:sz w:val="15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eastAsia="Arial"/>
        <w:b/>
        <w:i w:val="0"/>
        <w:color w:val="1F7A8C"/>
        <w:sz w:val="15"/>
      </w:rPr>
      <w:t>CLINICAL TRAINING &amp; SUPERVISION ACADEMY  •  LPCC QUICK REFERENCE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color w:val="24313D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40" w:lineRule="auto"/>
      <w:contextualSpacing/>
    </w:pPr>
    <w:rPr>
      <w:rFonts w:ascii="Arial" w:hAnsi="Arial" w:eastAsia="Arial"/>
      <w:sz w:val="1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LPCC Quick-Reference and Rapid-Review Library</dc:title>
  <dc:subject>Current-format NCMHCE reasoning, pacing, and 2027 transition reference</dc:subject>
  <dc:creator>Clinical Training and Supervision Academy</dc:creator>
  <cp:keywords/>
  <dc:description>Initial release package prepared August 3, 2026.</dc:description>
  <cp:lastModifiedBy>Clinical Training and Supervision Academy</cp:lastModifiedBy>
  <cp:revision>1</cp:revision>
  <dcterms:created xsi:type="dcterms:W3CDTF">2013-12-23T23:15:00Z</dcterms:created>
  <dcterms:modified xsi:type="dcterms:W3CDTF">2013-12-23T23:15:00Z</dcterms:modified>
  <cp:category/>
</cp:coreProperties>
</file>