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50" w:lineRule="auto"/>
        <w:jc w:val="center"/>
      </w:pPr>
      <w:r>
        <w:drawing>
          <wp:inline xmlns:a="http://schemas.openxmlformats.org/drawingml/2006/main" xmlns:pic="http://schemas.openxmlformats.org/drawingml/2006/picture">
            <wp:extent cx="4663440" cy="1550279"/>
            <wp:docPr id="1" name="Picture 1" descr="Image: image1.jpg"/>
            <wp:cNvGraphicFramePr>
              <a:graphicFrameLocks noChangeAspect="1"/>
            </wp:cNvGraphicFramePr>
            <a:graphic>
              <a:graphicData uri="http://schemas.openxmlformats.org/drawingml/2006/picture">
                <pic:pic>
                  <pic:nvPicPr>
                    <pic:cNvPr id="0" name="Primary Logo (Final).jpg"/>
                    <pic:cNvPicPr/>
                  </pic:nvPicPr>
                  <pic:blipFill>
                    <a:blip r:embed="rId10"/>
                    <a:stretch>
                      <a:fillRect/>
                    </a:stretch>
                  </pic:blipFill>
                  <pic:spPr>
                    <a:xfrm>
                      <a:off x="0" y="0"/>
                      <a:ext cx="4663440" cy="1550279"/>
                    </a:xfrm>
                    <a:prstGeom prst="rect"/>
                  </pic:spPr>
                </pic:pic>
              </a:graphicData>
            </a:graphic>
          </wp:inline>
        </w:drawing>
      </w:r>
    </w:p>
    <w:p>
      <w:pPr>
        <w:spacing w:before="0" w:after="80" w:line="250" w:lineRule="auto"/>
        <w:jc w:val="center"/>
      </w:pPr>
      <w:r>
        <w:rPr>
          <w:rFonts w:ascii="Liberation Sans" w:hAnsi="Liberation Sans" w:eastAsia="Liberation Sans"/>
          <w:b/>
          <w:color w:val="18365B"/>
          <w:sz w:val="38"/>
        </w:rPr>
        <w:t>LPCC NCMHCE EXAM PREPARATION PROGRAM</w:t>
      </w:r>
    </w:p>
    <w:p>
      <w:pPr>
        <w:spacing w:before="0" w:after="100" w:line="250" w:lineRule="auto"/>
        <w:jc w:val="center"/>
      </w:pPr>
      <w:r>
        <w:rPr>
          <w:rFonts w:ascii="Liberation Sans" w:hAnsi="Liberation Sans" w:eastAsia="Liberation Sans"/>
          <w:b/>
          <w:color w:val="2AA7A1"/>
          <w:sz w:val="34"/>
        </w:rPr>
        <w:t>Student FAQ and Self-Service Support Guide</w:t>
      </w:r>
    </w:p>
    <w:p>
      <w:pPr>
        <w:spacing w:before="0" w:after="240" w:line="250" w:lineRule="auto"/>
        <w:jc w:val="center"/>
      </w:pPr>
      <w:r>
        <w:rPr>
          <w:rFonts w:ascii="Liberation Sans" w:hAnsi="Liberation Sans" w:eastAsia="Liberation Sans"/>
          <w:i/>
          <w:color w:val="18365B"/>
          <w:sz w:val="23"/>
        </w:rPr>
        <w:t>Find the right resource, solve common course problems, and know when to use CTA support or an official source.</w:t>
      </w:r>
    </w:p>
    <w:p>
      <w:pPr>
        <w:spacing w:before="0" w:after="300" w:line="250" w:lineRule="auto"/>
        <w:jc w:val="center"/>
      </w:pPr>
      <w:r>
        <w:rPr>
          <w:rFonts w:ascii="Liberation Sans" w:hAnsi="Liberation Sans" w:eastAsia="Liberation Sans"/>
          <w:color w:val="667085"/>
          <w:sz w:val="20"/>
        </w:rPr>
        <w:t>Version 1.0 | July 2026 | Editable Student Resource | No CE Credit</w:t>
      </w:r>
    </w:p>
    <w:tbl>
      <w:tblPr>
        <w:tblW w:type="auto" w:w="0"/>
        <w:jc w:val="center"/>
        <w:tblLayout w:type="autofit"/>
        <w:tblLook w:firstColumn="1" w:firstRow="1" w:lastColumn="0" w:lastRow="0" w:noHBand="0" w:noVBand="1" w:val="04A0"/>
      </w:tblPr>
      <w:tblGrid>
        <w:gridCol w:w="10454"/>
      </w:tblGrid>
      <w:tr>
        <w:tc>
          <w:tcPr>
            <w:tcW w:type="dxa" w:w="10454"/>
            <w:shd w:fill="E8F5F4"/>
            <w:tcMar>
              <w:top w:w="130" w:type="dxa"/>
              <w:start w:w="150" w:type="dxa"/>
              <w:bottom w:w="130" w:type="dxa"/>
              <w:end w:w="150" w:type="dxa"/>
            </w:tcMar>
          </w:tcPr>
          <w:p>
            <w:pPr>
              <w:spacing w:before="0" w:after="40" w:line="250" w:lineRule="auto"/>
            </w:pPr>
            <w:r>
              <w:rPr>
                <w:rFonts w:ascii="Liberation Sans" w:hAnsi="Liberation Sans" w:eastAsia="Liberation Sans"/>
                <w:b/>
                <w:color w:val="18365B"/>
                <w:sz w:val="20"/>
              </w:rPr>
              <w:t>PROGRAM IDENTITY</w:t>
            </w:r>
          </w:p>
          <w:p>
            <w:pPr>
              <w:spacing w:before="0" w:after="0" w:line="250" w:lineRule="auto"/>
            </w:pPr>
            <w:r>
              <w:rPr>
                <w:rFonts w:ascii="Liberation Sans" w:hAnsi="Liberation Sans" w:eastAsia="Liberation Sans"/>
                <w:color w:val="1F2937"/>
                <w:sz w:val="18"/>
              </w:rPr>
              <w:t>Self-paced licensure examination preparation for the National Clinical Mental Health Counseling Examination. This is an independent educational review program and provides no continuing-education credit.</w:t>
            </w:r>
          </w:p>
        </w:tc>
        <w:trPr>
          <w:tblHeader/>
        </w:trPr>
      </w:tr>
    </w:tbl>
    <w:p>
      <w:pPr>
        <w:spacing w:after="0"/>
      </w:pPr>
    </w:p>
    <w:p>
      <w:pPr>
        <w:spacing w:before="0" w:after="0" w:line="250" w:lineRule="auto"/>
        <w:jc w:val="center"/>
      </w:pPr>
      <w:r>
        <w:rPr>
          <w:rFonts w:ascii="Liberation Sans" w:hAnsi="Liberation Sans" w:eastAsia="Liberation Sans"/>
          <w:i/>
          <w:color w:val="667085"/>
          <w:sz w:val="20"/>
        </w:rPr>
        <w:t>Teaching Clinicians How to Think.</w:t>
      </w:r>
    </w:p>
    <w:p>
      <w:r>
        <w:br w:type="page"/>
      </w:r>
    </w:p>
    <w:p>
      <w:pPr>
        <w:pStyle w:val="Heading1"/>
        <w:keepNext/>
        <w:spacing w:before="140" w:after="80" w:line="250" w:lineRule="auto"/>
      </w:pPr>
      <w:r>
        <w:rPr>
          <w:rFonts w:ascii="Liberation Sans" w:hAnsi="Liberation Sans" w:eastAsia="Liberation Sans"/>
          <w:b/>
          <w:color w:val="18365B"/>
          <w:sz w:val="33"/>
        </w:rPr>
        <w:t>Quick Start: Where Do I Begin?</w:t>
      </w:r>
    </w:p>
    <w:tbl>
      <w:tblPr>
        <w:tblW w:type="auto" w:w="0"/>
        <w:jc w:val="center"/>
        <w:tblLayout w:type="autofit"/>
        <w:tblLook w:firstColumn="1" w:firstRow="1" w:lastColumn="0" w:lastRow="0" w:noHBand="0" w:noVBand="1" w:val="04A0"/>
      </w:tblPr>
      <w:tblGrid>
        <w:gridCol w:w="10454"/>
      </w:tblGrid>
      <w:tr>
        <w:tc>
          <w:tcPr>
            <w:tcW w:type="dxa" w:w="10454"/>
            <w:shd w:fill="E8F5F4"/>
            <w:tcMar>
              <w:top w:w="130" w:type="dxa"/>
              <w:start w:w="150" w:type="dxa"/>
              <w:bottom w:w="130" w:type="dxa"/>
              <w:end w:w="150" w:type="dxa"/>
            </w:tcMar>
          </w:tcPr>
          <w:p>
            <w:pPr>
              <w:spacing w:before="0" w:after="40" w:line="250" w:lineRule="auto"/>
            </w:pPr>
            <w:r>
              <w:rPr>
                <w:rFonts w:ascii="Liberation Sans" w:hAnsi="Liberation Sans" w:eastAsia="Liberation Sans"/>
                <w:b/>
                <w:color w:val="18365B"/>
                <w:sz w:val="20"/>
              </w:rPr>
              <w:t>START HERE</w:t>
            </w:r>
          </w:p>
          <w:p>
            <w:pPr>
              <w:spacing w:before="0" w:after="0" w:line="250" w:lineRule="auto"/>
            </w:pPr>
            <w:r>
              <w:rPr>
                <w:rFonts w:ascii="Liberation Sans" w:hAnsi="Liberation Sans" w:eastAsia="Liberation Sans"/>
                <w:color w:val="1F2937"/>
                <w:sz w:val="18"/>
              </w:rPr>
              <w:t>Choose a pace, complete the baseline readiness self-assessment, and use the same Learn -&gt; Practice -&gt; Review -&gt; Remediate -&gt; Checkpoint -&gt; Simulate cycle throughout the program.</w:t>
            </w:r>
          </w:p>
        </w:tc>
        <w:trPr>
          <w:tblHeader/>
        </w:trPr>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should I do first?</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Open the Student Start Here Roadmap, select the 10-, 14-, or 18-week route, complete the baseline section of the Readiness Self-Assessment and Progress Tracker, and begin Workbook 1. Do not start with a comprehensive simulation.</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is included in the program?</w:t>
            </w:r>
          </w:p>
        </w:tc>
        <w:trPr>
          <w:tblHeader/>
        </w:trPr>
      </w:tr>
      <w:tr>
        <w:tc>
          <w:tcPr>
            <w:tcW w:type="dxa" w:w="10454"/>
            <w:tcMar>
              <w:top w:w="95" w:type="dxa"/>
              <w:start w:w="120" w:type="dxa"/>
              <w:bottom w:w="95" w:type="dxa"/>
              <w:end w:w="120" w:type="dxa"/>
            </w:tcMar>
          </w:tcPr>
          <w:p>
            <w:r>
              <w:t>A. The learner package includes 12 LPCC workbooks, one 17-question candidate bank and controlled rationale form for each workbook, three cumulative checkpoints, quick references, flashcards, progress tracking, Form A, a Form A Remediation Workbook, and Form B. Recorded audio and video are not included at launch.</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Can I study online, on paper, or both?</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Yes. You may use online lessons, editable downloads, printed materials, or a hybrid approach. Keep candidate question documents separate from controlled answer-and-rationale materials whenever you are preserving test conditions.</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How long should the program take?</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Use the route that matches your protected study time and examination window. The 10-week route is accelerated, the 14-week route is the recommended default, and the 18-week route provides more catch-up and remediation time. Dates may change, but the sequence should remain intact.</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makes the LPCC pathway profession-specific?</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The program emphasizes counselor identity and scope, NCMHCE three-part case navigation, current-section evidence, clinical mental health assessment and diagnosis, counseling interventions, collaboration, California LPCC professional practice, and disciplined selection of one best-supported next action.</w:t>
            </w:r>
          </w:p>
        </w:tc>
      </w:tr>
    </w:tbl>
    <w:p>
      <w:pPr>
        <w:spacing w:after="40"/>
      </w:pPr>
    </w:p>
    <w:p>
      <w:r>
        <w:br w:type="page"/>
      </w:r>
    </w:p>
    <w:p>
      <w:pPr>
        <w:pStyle w:val="Heading1"/>
        <w:keepNext/>
        <w:spacing w:before="140" w:after="80" w:line="250" w:lineRule="auto"/>
      </w:pPr>
      <w:r>
        <w:rPr>
          <w:rFonts w:ascii="Liberation Sans" w:hAnsi="Liberation Sans" w:eastAsia="Liberation Sans"/>
          <w:b/>
          <w:color w:val="18365B"/>
          <w:sz w:val="33"/>
        </w:rPr>
        <w:t>Course Navigation and Resource Map</w:t>
      </w: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should be inside each workbook area?</w:t>
            </w:r>
          </w:p>
        </w:tc>
        <w:trPr>
          <w:tblHeader/>
        </w:trPr>
      </w:tr>
      <w:tr>
        <w:tc>
          <w:tcPr>
            <w:tcW w:type="dxa" w:w="10454"/>
            <w:tcMar>
              <w:top w:w="95" w:type="dxa"/>
              <w:start w:w="120" w:type="dxa"/>
              <w:bottom w:w="95" w:type="dxa"/>
              <w:end w:w="120" w:type="dxa"/>
            </w:tcMar>
          </w:tcPr>
          <w:p>
            <w:r>
              <w:t>A. A clear workbook overview; the student workbook; a completion prompt or application check; the associated 17-question candidate bank; delayed answer-and-rationale review; and a remediation check.</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unlocks the next step?</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Learning resources may be revisited. Controlled answers should appear only after the related candidate attempt is submitted. Checkpoint 1 follows WB4, Checkpoint 2 follows WB8, and Checkpoint 3 follows WB12. Form A follows completion of the curriculum and checkpoints. Form B follows Form A and the required remediation gate.</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Where do I find the tracker, flashcards, and quick references?</w:t>
            </w:r>
          </w:p>
        </w:tc>
        <w:trPr>
          <w:tblHeader/>
        </w:trPr>
      </w:tr>
      <w:tr>
        <w:tc>
          <w:tcPr>
            <w:tcW w:type="dxa" w:w="10454"/>
            <w:tcMar>
              <w:top w:w="95" w:type="dxa"/>
              <w:start w:w="120" w:type="dxa"/>
              <w:bottom w:w="95" w:type="dxa"/>
              <w:end w:w="120" w:type="dxa"/>
            </w:tcMar>
          </w:tcPr>
          <w:p>
            <w:r>
              <w:t>A. Look in Start Here or the Resource Library. The tracker, flashcards, and quick-reference library reinforce learning and remediation; they do not replace the assigned workbook, bank, and rationale review.</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Are recorded audio or video lessons included at launch?</w:t>
            </w:r>
          </w:p>
        </w:tc>
        <w:trPr>
          <w:tblHeader/>
        </w:trPr>
      </w:tr>
      <w:tr>
        <w:tc>
          <w:tcPr>
            <w:tcW w:type="dxa" w:w="10454"/>
            <w:tcMar>
              <w:top w:w="95" w:type="dxa"/>
              <w:start w:w="120" w:type="dxa"/>
              <w:bottom w:w="95" w:type="dxa"/>
              <w:end w:w="120" w:type="dxa"/>
            </w:tcMar>
          </w:tcPr>
          <w:p>
            <w:r>
              <w:t>A. No. The launch edition is a complete written, printable, and LMS-based program. CTA may add recorded media later only after the files are produced, reviewed, captioned or transcribed, and tested.</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How do I know what is complete?</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Use both the course progress display and the editable tracker. Record workbook completion, candidate-bank score and confidence, time used, error patterns, checkpoint remediation, simulation dates, and the next assigned action.</w:t>
            </w:r>
          </w:p>
        </w:tc>
      </w:tr>
    </w:tbl>
    <w:p>
      <w:pPr>
        <w:spacing w:after="40"/>
      </w:pPr>
    </w:p>
    <w:p>
      <w:pPr>
        <w:pStyle w:val="Heading2"/>
        <w:keepNext/>
        <w:spacing w:before="80" w:after="80" w:line="250" w:lineRule="auto"/>
      </w:pPr>
      <w:r>
        <w:rPr>
          <w:rFonts w:ascii="Liberation Sans" w:hAnsi="Liberation Sans" w:eastAsia="Liberation Sans"/>
          <w:b/>
          <w:color w:val="2AA7A1"/>
          <w:sz w:val="26"/>
        </w:rPr>
        <w:t>The Repeatable CTA Study Cycle</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1440"/>
            <w:shd w:fill="18365B"/>
            <w:tcMar>
              <w:top w:w="85" w:type="dxa"/>
              <w:start w:w="90" w:type="dxa"/>
              <w:bottom w:w="85" w:type="dxa"/>
              <w:end w:w="90" w:type="dxa"/>
            </w:tcMar>
            <w:vAlign w:val="center"/>
          </w:tcPr>
          <w:p>
            <w:pPr>
              <w:spacing w:before="0" w:after="0" w:line="250" w:lineRule="auto"/>
            </w:pPr>
            <w:r>
              <w:rPr>
                <w:rFonts w:ascii="Liberation Sans" w:hAnsi="Liberation Sans" w:eastAsia="Liberation Sans"/>
                <w:b/>
                <w:color w:val="FFFFFF"/>
                <w:sz w:val="16"/>
              </w:rPr>
              <w:t>Stage</w:t>
            </w:r>
          </w:p>
        </w:tc>
        <w:tc>
          <w:tcPr>
            <w:tcW w:type="dxa" w:w="3312"/>
            <w:shd w:fill="18365B"/>
            <w:tcMar>
              <w:top w:w="85" w:type="dxa"/>
              <w:start w:w="90" w:type="dxa"/>
              <w:bottom w:w="85" w:type="dxa"/>
              <w:end w:w="90" w:type="dxa"/>
            </w:tcMar>
            <w:vAlign w:val="center"/>
          </w:tcPr>
          <w:p>
            <w:pPr>
              <w:spacing w:before="0" w:after="0" w:line="250" w:lineRule="auto"/>
            </w:pPr>
            <w:r>
              <w:rPr>
                <w:rFonts w:ascii="Liberation Sans" w:hAnsi="Liberation Sans" w:eastAsia="Liberation Sans"/>
                <w:b/>
                <w:color w:val="FFFFFF"/>
                <w:sz w:val="16"/>
              </w:rPr>
              <w:t>Use</w:t>
            </w:r>
          </w:p>
        </w:tc>
        <w:tc>
          <w:tcPr>
            <w:tcW w:type="dxa" w:w="6048"/>
            <w:shd w:fill="18365B"/>
            <w:tcMar>
              <w:top w:w="85" w:type="dxa"/>
              <w:start w:w="90" w:type="dxa"/>
              <w:bottom w:w="85" w:type="dxa"/>
              <w:end w:w="90" w:type="dxa"/>
            </w:tcMar>
            <w:vAlign w:val="center"/>
          </w:tcPr>
          <w:p>
            <w:pPr>
              <w:spacing w:before="0" w:after="0" w:line="250" w:lineRule="auto"/>
            </w:pPr>
            <w:r>
              <w:rPr>
                <w:rFonts w:ascii="Liberation Sans" w:hAnsi="Liberation Sans" w:eastAsia="Liberation Sans"/>
                <w:b/>
                <w:color w:val="FFFFFF"/>
                <w:sz w:val="16"/>
              </w:rPr>
              <w:t>Completion Evidence</w:t>
            </w:r>
          </w:p>
        </w:tc>
      </w:tr>
      <w:tr>
        <w:trPr>
          <w:cantSplit/>
        </w:trPr>
        <w:tc>
          <w:tcPr>
            <w:tcW w:type="dxa" w:w="1440"/>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Learn</w:t>
            </w:r>
          </w:p>
        </w:tc>
        <w:tc>
          <w:tcPr>
            <w:tcW w:type="dxa" w:w="3312"/>
            <w:tcMar>
              <w:top w:w="85" w:type="dxa"/>
              <w:start w:w="90" w:type="dxa"/>
              <w:bottom w:w="85" w:type="dxa"/>
              <w:end w:w="90" w:type="dxa"/>
            </w:tcMar>
            <w:vAlign w:val="top"/>
          </w:tcPr>
          <w:p>
            <w:r>
              <w:t>Workbook + written decision tools</w:t>
            </w:r>
          </w:p>
        </w:tc>
        <w:tc>
          <w:tcPr>
            <w:tcW w:type="dxa" w:w="6048"/>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Explain the key decision rules in your own words.</w:t>
            </w:r>
          </w:p>
        </w:tc>
      </w:tr>
      <w:tr>
        <w:trPr>
          <w:cantSplit/>
        </w:trPr>
        <w:tc>
          <w:tcPr>
            <w:tcW w:type="dxa" w:w="1440"/>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Practice</w:t>
            </w:r>
          </w:p>
        </w:tc>
        <w:tc>
          <w:tcPr>
            <w:tcW w:type="dxa" w:w="3312"/>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17-question candidate bank</w:t>
            </w:r>
          </w:p>
        </w:tc>
        <w:tc>
          <w:tcPr>
            <w:tcW w:type="dxa" w:w="6048"/>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Submit before viewing controlled answers.</w:t>
            </w:r>
          </w:p>
        </w:tc>
      </w:tr>
      <w:tr>
        <w:trPr>
          <w:cantSplit/>
        </w:trPr>
        <w:tc>
          <w:tcPr>
            <w:tcW w:type="dxa" w:w="1440"/>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Review</w:t>
            </w:r>
          </w:p>
        </w:tc>
        <w:tc>
          <w:tcPr>
            <w:tcW w:type="dxa" w:w="3312"/>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Complete rationales</w:t>
            </w:r>
          </w:p>
        </w:tc>
        <w:tc>
          <w:tcPr>
            <w:tcW w:type="dxa" w:w="6048"/>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Explain why the best answer fits and each distractor is weaker.</w:t>
            </w:r>
          </w:p>
        </w:tc>
      </w:tr>
      <w:tr>
        <w:trPr>
          <w:cantSplit/>
        </w:trPr>
        <w:tc>
          <w:tcPr>
            <w:tcW w:type="dxa" w:w="1440"/>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Remediate</w:t>
            </w:r>
          </w:p>
        </w:tc>
        <w:tc>
          <w:tcPr>
            <w:tcW w:type="dxa" w:w="3312"/>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Error log + targeted sources</w:t>
            </w:r>
          </w:p>
        </w:tc>
        <w:tc>
          <w:tcPr>
            <w:tcW w:type="dxa" w:w="6048"/>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Repair the exact content, sequence, task, evidence, or role error.</w:t>
            </w:r>
          </w:p>
        </w:tc>
      </w:tr>
      <w:tr>
        <w:trPr>
          <w:cantSplit/>
        </w:trPr>
        <w:tc>
          <w:tcPr>
            <w:tcW w:type="dxa" w:w="1440"/>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Checkpoint</w:t>
            </w:r>
          </w:p>
        </w:tc>
        <w:tc>
          <w:tcPr>
            <w:tcW w:type="dxa" w:w="3312"/>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CP1, CP2, CP3</w:t>
            </w:r>
          </w:p>
        </w:tc>
        <w:tc>
          <w:tcPr>
            <w:tcW w:type="dxa" w:w="6048"/>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Test cumulative integration and compare repeated patterns.</w:t>
            </w:r>
          </w:p>
        </w:tc>
      </w:tr>
      <w:tr>
        <w:trPr>
          <w:cantSplit/>
        </w:trPr>
        <w:tc>
          <w:tcPr>
            <w:tcW w:type="dxa" w:w="1440"/>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Simulate</w:t>
            </w:r>
          </w:p>
        </w:tc>
        <w:tc>
          <w:tcPr>
            <w:tcW w:type="dxa" w:w="3312"/>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Form A -&gt; remediation -&gt; Form B</w:t>
            </w:r>
          </w:p>
        </w:tc>
        <w:tc>
          <w:tcPr>
            <w:tcW w:type="dxa" w:w="6048"/>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Protect timing, delayed rationale release, and fresh exposure.</w:t>
            </w:r>
          </w:p>
        </w:tc>
      </w:tr>
    </w:tbl>
    <w:p>
      <w:pPr>
        <w:spacing w:after="0"/>
      </w:pPr>
    </w:p>
    <w:p>
      <w:r>
        <w:br w:type="page"/>
      </w:r>
    </w:p>
    <w:p>
      <w:pPr>
        <w:pStyle w:val="Heading1"/>
        <w:keepNext/>
        <w:spacing w:before="140" w:after="80" w:line="250" w:lineRule="auto"/>
      </w:pPr>
      <w:r>
        <w:rPr>
          <w:rFonts w:ascii="Liberation Sans" w:hAnsi="Liberation Sans" w:eastAsia="Liberation Sans"/>
          <w:b/>
          <w:color w:val="18365B"/>
          <w:sz w:val="33"/>
        </w:rPr>
        <w:t>Workbooks and Study Tools</w:t>
      </w: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Should I read a workbook from beginning to end?</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Follow the workbook sequence and complete embedded reflection, worksheet, case, or knowledge-check activities. Mark decision rules, distinctions, evidence, sequencing, and common traps rather than highlighting every sentence.</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should I complete in each workbook area?</w:t>
            </w:r>
          </w:p>
        </w:tc>
        <w:trPr>
          <w:tblHeader/>
        </w:trPr>
      </w:tr>
      <w:tr>
        <w:tc>
          <w:tcPr>
            <w:tcW w:type="dxa" w:w="10454"/>
            <w:tcMar>
              <w:top w:w="95" w:type="dxa"/>
              <w:start w:w="120" w:type="dxa"/>
              <w:bottom w:w="95" w:type="dxa"/>
              <w:end w:w="120" w:type="dxa"/>
            </w:tcMar>
          </w:tcPr>
          <w:p>
            <w:r>
              <w:t>A. Complete the student workbook, embedded application activities, and the written decision tools before opening the candidate bank. Use the quick-reference library only after learning the full topic.</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How should I use quick-reference sheets?</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Use them after learning the full topic. They support retrieval, rationale review, and targeted remediation. When a rule remains confusing, return to the full workbook section.</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How should I use flashcards?</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Attempt each prompt before revealing the answer. Sort cards into Know, Unsure, and Relearn. Revisit missed cards across several days and create a new vignette for any rule that still feels abstract.</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Will CTA add recorded media later?</w:t>
            </w:r>
          </w:p>
        </w:tc>
        <w:trPr>
          <w:tblHeader/>
        </w:trPr>
      </w:tr>
      <w:tr>
        <w:tc>
          <w:tcPr>
            <w:tcW w:type="dxa" w:w="10454"/>
            <w:tcMar>
              <w:top w:w="95" w:type="dxa"/>
              <w:start w:w="120" w:type="dxa"/>
              <w:bottom w:w="95" w:type="dxa"/>
              <w:end w:w="120" w:type="dxa"/>
            </w:tcMar>
          </w:tcPr>
          <w:p>
            <w:r>
              <w:t>A. CTA may add optional recorded lessons in a future release. The current program does not include playable audio or video, and learners should rely on the complete written curriculum and study resources.</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should I do when the material feels familiar but the questions remain difficult?</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Shift from rereading to active explanation. State the task word, current case section, evidence available now, immediate priority, counselor role, missing information, and why the tempting distractor is premature, unsupported, outside role, or missing follow-up.</w:t>
            </w:r>
          </w:p>
        </w:tc>
      </w:tr>
    </w:tbl>
    <w:p>
      <w:pPr>
        <w:spacing w:after="40"/>
      </w:pPr>
    </w:p>
    <w:p>
      <w:r>
        <w:br w:type="page"/>
      </w:r>
    </w:p>
    <w:p>
      <w:pPr>
        <w:pStyle w:val="Heading1"/>
        <w:keepNext/>
        <w:spacing w:before="140" w:after="80" w:line="250" w:lineRule="auto"/>
      </w:pPr>
      <w:r>
        <w:rPr>
          <w:rFonts w:ascii="Liberation Sans" w:hAnsi="Liberation Sans" w:eastAsia="Liberation Sans"/>
          <w:b/>
          <w:color w:val="18365B"/>
          <w:sz w:val="33"/>
        </w:rPr>
        <w:t>Question Banks, Scoring, and Rationales</w:t>
      </w:r>
    </w:p>
    <w:tbl>
      <w:tblPr>
        <w:tblW w:type="auto" w:w="0"/>
        <w:jc w:val="center"/>
        <w:tblLayout w:type="autofit"/>
        <w:tblLook w:firstColumn="1" w:firstRow="1" w:lastColumn="0" w:lastRow="0" w:noHBand="0" w:noVBand="1" w:val="04A0"/>
      </w:tblPr>
      <w:tblGrid>
        <w:gridCol w:w="10454"/>
      </w:tblGrid>
      <w:tr>
        <w:tc>
          <w:tcPr>
            <w:tcW w:type="dxa" w:w="10454"/>
            <w:shd w:fill="FFF7E8"/>
            <w:tcMar>
              <w:top w:w="130" w:type="dxa"/>
              <w:start w:w="150" w:type="dxa"/>
              <w:bottom w:w="130" w:type="dxa"/>
              <w:end w:w="150" w:type="dxa"/>
            </w:tcMar>
          </w:tcPr>
          <w:p>
            <w:pPr>
              <w:spacing w:before="0" w:after="40" w:line="250" w:lineRule="auto"/>
            </w:pPr>
            <w:r>
              <w:rPr>
                <w:rFonts w:ascii="Liberation Sans" w:hAnsi="Liberation Sans" w:eastAsia="Liberation Sans"/>
                <w:b/>
                <w:color w:val="B54708"/>
                <w:sz w:val="20"/>
              </w:rPr>
              <w:t>TEACHING ASSESSMENT</w:t>
            </w:r>
          </w:p>
          <w:p>
            <w:pPr>
              <w:spacing w:before="0" w:after="0" w:line="250" w:lineRule="auto"/>
            </w:pPr>
            <w:r>
              <w:rPr>
                <w:rFonts w:ascii="Liberation Sans" w:hAnsi="Liberation Sans" w:eastAsia="Liberation Sans"/>
                <w:color w:val="1F2937"/>
                <w:sz w:val="18"/>
              </w:rPr>
              <w:t>Workbook banks teach application and reveal reasoning patterns. A score is useful only when paired with item-by-item rationale review, confidence data, and a corrected rule.</w:t>
            </w:r>
          </w:p>
        </w:tc>
        <w:trPr>
          <w:tblHeader/>
        </w:trPr>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Why can I not see answers before submitting?</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Delayed answer display protects the educational value of the attempt. Commit to one answer first, then compare your reasoning with the complete option-by-option rationale.</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Can I retake a 17-question bank?</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A remediation attempt may be useful after the original attempt is preserved and the assigned review is completed. Do not overwrite the first score or memorize answer positions. Use a later attempt to test a corrected rule, not to produce a cosmetically higher score.</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score should I consider passing?</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CTA does not establish a workbook-bank passing percentage equivalent to an official NCMHCE standard. Use readiness language such as developing, progressing, needs targeted repair, ready for Form A, or ready for Form B.</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should I review after a correct answer?</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Confirm that the reasoning was correct rather than lucky. Review any answer option you seriously considered and record low-confidence correct responses as remediation needs.</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should I review after a missed answer?</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Identify whether the error involved content, task word, current section, sequencing, safety or legal priority, scope or role, missing information, over-assumption, intervention fit, culture or access, documentation, or follow-up.</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should I write in my error log?</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Record the item or case, your answer, the best answer, confidence, the controlling issue, why your choice was tempting, the error category, the exact source to review, and one transferable correction rule.</w:t>
            </w:r>
          </w:p>
        </w:tc>
      </w:tr>
    </w:tbl>
    <w:p>
      <w:pPr>
        <w:spacing w:after="40"/>
      </w:pPr>
    </w:p>
    <w:p>
      <w:r>
        <w:br w:type="page"/>
      </w:r>
    </w:p>
    <w:p>
      <w:pPr>
        <w:pStyle w:val="Heading1"/>
        <w:keepNext/>
        <w:spacing w:before="140" w:after="80" w:line="250" w:lineRule="auto"/>
      </w:pPr>
      <w:r>
        <w:rPr>
          <w:rFonts w:ascii="Liberation Sans" w:hAnsi="Liberation Sans" w:eastAsia="Liberation Sans"/>
          <w:b/>
          <w:color w:val="18365B"/>
          <w:sz w:val="33"/>
        </w:rPr>
        <w:t>Remediation: What to Do After a Weak Area Appears</w:t>
      </w: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How much should I review after a missed question?</w:t>
            </w:r>
          </w:p>
        </w:tc>
        <w:trPr>
          <w:tblHeader/>
        </w:trPr>
      </w:tr>
      <w:tr>
        <w:tc>
          <w:tcPr>
            <w:tcW w:type="dxa" w:w="10454"/>
            <w:tcMar>
              <w:top w:w="95" w:type="dxa"/>
              <w:start w:w="120" w:type="dxa"/>
              <w:bottom w:w="95" w:type="dxa"/>
              <w:end w:w="120" w:type="dxa"/>
            </w:tcMar>
          </w:tcPr>
          <w:p>
            <w:r>
              <w:t>A. Use the smallest source that repairs the actual error: a quick-reference rule, exact workbook subsection, focused flashcards, or a fresh mini-case. Avoid restarting the entire curriculum unless the foundation is broadly weak.</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How do I distinguish a content gap from a reasoning error?</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A content gap means a required fact, distinction, diagnostic criterion, or professional rule was not known. A reasoning error means the content was available but the task was misread, the case stage was skipped, evidence was invented, priority or role was ignored, or a later action was selected too early.</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is a premature answer?</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It may be clinically reasonable later, but it skips assessment, stabilization, informed consent, direct clarification, diagnostic exclusion, consultation, planning, readiness, or a required legal step that must occur first.</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if two answers both seem correct?</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Compare them against the exact qualifier, current case section, urgency, role and authority, evidence actually available, client readiness and access, least-assumptive next step, and required follow-up. The exam often tests timing and fit rather than whether an action is ever appropriate.</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How will I know remediation worked?</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You can explain the corrected rule without looking, apply it to a new scenario, identify why the prior distractor is weaker, and demonstrate improved reasoning on a small amount of fresh practice.</w:t>
            </w:r>
          </w:p>
        </w:tc>
      </w:tr>
    </w:tbl>
    <w:p>
      <w:pPr>
        <w:spacing w:after="40"/>
      </w:pPr>
    </w:p>
    <w:p>
      <w:pPr>
        <w:pStyle w:val="Heading2"/>
        <w:keepNext/>
        <w:spacing w:before="80" w:after="80" w:line="250" w:lineRule="auto"/>
      </w:pPr>
      <w:r>
        <w:rPr>
          <w:rFonts w:ascii="Liberation Sans" w:hAnsi="Liberation Sans" w:eastAsia="Liberation Sans"/>
          <w:b/>
          <w:color w:val="2AA7A1"/>
          <w:sz w:val="26"/>
        </w:rPr>
        <w:t>Common LPCC Error Categories</w:t>
      </w:r>
    </w:p>
    <w:p>
      <w:pPr>
        <w:pStyle w:val="ListBullet"/>
        <w:spacing w:before="0" w:after="40" w:line="250" w:lineRule="auto"/>
      </w:pPr>
      <w:r>
        <w:rPr>
          <w:rFonts w:ascii="Liberation Sans" w:hAnsi="Liberation Sans" w:eastAsia="Liberation Sans"/>
          <w:color w:val="1F2937"/>
          <w:sz w:val="18"/>
        </w:rPr>
        <w:t>Task-word or question-focus error</w:t>
      </w:r>
    </w:p>
    <w:p>
      <w:pPr>
        <w:pStyle w:val="ListBullet"/>
        <w:spacing w:before="0" w:after="40" w:line="250" w:lineRule="auto"/>
      </w:pPr>
      <w:r>
        <w:rPr>
          <w:rFonts w:ascii="Liberation Sans" w:hAnsi="Liberation Sans" w:eastAsia="Liberation Sans"/>
          <w:color w:val="1F2937"/>
          <w:sz w:val="18"/>
        </w:rPr>
        <w:t>Current-section or hindsight error</w:t>
      </w:r>
    </w:p>
    <w:p>
      <w:pPr>
        <w:pStyle w:val="ListBullet"/>
        <w:spacing w:before="0" w:after="40" w:line="250" w:lineRule="auto"/>
      </w:pPr>
      <w:r>
        <w:rPr>
          <w:rFonts w:ascii="Liberation Sans" w:hAnsi="Liberation Sans" w:eastAsia="Liberation Sans"/>
          <w:color w:val="1F2937"/>
          <w:sz w:val="18"/>
        </w:rPr>
        <w:t>Stage or sequencing error</w:t>
      </w:r>
    </w:p>
    <w:p>
      <w:pPr>
        <w:pStyle w:val="ListBullet"/>
        <w:spacing w:before="0" w:after="40" w:line="250" w:lineRule="auto"/>
      </w:pPr>
      <w:r>
        <w:rPr>
          <w:rFonts w:ascii="Liberation Sans" w:hAnsi="Liberation Sans" w:eastAsia="Liberation Sans"/>
          <w:color w:val="1F2937"/>
          <w:sz w:val="18"/>
        </w:rPr>
        <w:t>Safety, medical, abuse, violence, legal, or ethical priority error</w:t>
      </w:r>
    </w:p>
    <w:p>
      <w:pPr>
        <w:pStyle w:val="ListBullet"/>
        <w:spacing w:before="0" w:after="40" w:line="250" w:lineRule="auto"/>
      </w:pPr>
      <w:r>
        <w:rPr>
          <w:rFonts w:ascii="Liberation Sans" w:hAnsi="Liberation Sans" w:eastAsia="Liberation Sans"/>
          <w:color w:val="1F2937"/>
          <w:sz w:val="18"/>
        </w:rPr>
        <w:t>Assessment or missing-information error</w:t>
      </w:r>
    </w:p>
    <w:p>
      <w:pPr>
        <w:pStyle w:val="ListBullet"/>
        <w:spacing w:before="0" w:after="40" w:line="250" w:lineRule="auto"/>
      </w:pPr>
      <w:r>
        <w:rPr>
          <w:rFonts w:ascii="Liberation Sans" w:hAnsi="Liberation Sans" w:eastAsia="Liberation Sans"/>
          <w:color w:val="1F2937"/>
          <w:sz w:val="18"/>
        </w:rPr>
        <w:t>Diagnosis, exclusion, or care-level error</w:t>
      </w:r>
    </w:p>
    <w:p>
      <w:pPr>
        <w:pStyle w:val="ListBullet"/>
        <w:spacing w:before="0" w:after="40" w:line="250" w:lineRule="auto"/>
      </w:pPr>
      <w:r>
        <w:rPr>
          <w:rFonts w:ascii="Liberation Sans" w:hAnsi="Liberation Sans" w:eastAsia="Liberation Sans"/>
          <w:color w:val="1F2937"/>
          <w:sz w:val="18"/>
        </w:rPr>
        <w:t>Role, scope, competence, authorization, or confidentiality error</w:t>
      </w:r>
    </w:p>
    <w:p>
      <w:pPr>
        <w:pStyle w:val="ListBullet"/>
        <w:spacing w:before="0" w:after="40" w:line="250" w:lineRule="auto"/>
      </w:pPr>
      <w:r>
        <w:rPr>
          <w:rFonts w:ascii="Liberation Sans" w:hAnsi="Liberation Sans" w:eastAsia="Liberation Sans"/>
          <w:color w:val="1F2937"/>
          <w:sz w:val="18"/>
        </w:rPr>
        <w:t>Over-assumption, culture, accessibility, or context error</w:t>
      </w:r>
    </w:p>
    <w:p>
      <w:pPr>
        <w:pStyle w:val="ListBullet"/>
        <w:spacing w:before="0" w:after="40" w:line="250" w:lineRule="auto"/>
      </w:pPr>
      <w:r>
        <w:rPr>
          <w:rFonts w:ascii="Liberation Sans" w:hAnsi="Liberation Sans" w:eastAsia="Liberation Sans"/>
          <w:color w:val="1F2937"/>
          <w:sz w:val="18"/>
        </w:rPr>
        <w:t>Intervention, modality, readiness, or measurement-fit error</w:t>
      </w:r>
    </w:p>
    <w:p>
      <w:pPr>
        <w:pStyle w:val="ListBullet"/>
        <w:spacing w:before="0" w:after="40" w:line="250" w:lineRule="auto"/>
      </w:pPr>
      <w:r>
        <w:rPr>
          <w:rFonts w:ascii="Liberation Sans" w:hAnsi="Liberation Sans" w:eastAsia="Liberation Sans"/>
          <w:color w:val="1F2937"/>
          <w:sz w:val="18"/>
        </w:rPr>
        <w:t>Documentation, coordination, referral, or continuity error</w:t>
      </w:r>
    </w:p>
    <w:p>
      <w:r>
        <w:br w:type="page"/>
      </w:r>
    </w:p>
    <w:p>
      <w:pPr>
        <w:pStyle w:val="Heading1"/>
        <w:keepNext/>
        <w:spacing w:before="140" w:after="80" w:line="250" w:lineRule="auto"/>
      </w:pPr>
      <w:r>
        <w:rPr>
          <w:rFonts w:ascii="Liberation Sans" w:hAnsi="Liberation Sans" w:eastAsia="Liberation Sans"/>
          <w:b/>
          <w:color w:val="18365B"/>
          <w:sz w:val="33"/>
        </w:rPr>
        <w:t>Cumulative Checkpoints</w:t>
      </w: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Why are there three checkpoints?</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They test integration across an expanding set of workbooks. Checkpoint 1 follows WB4, Checkpoint 2 follows WB8, and Checkpoint 3 follows WB12. The goal is to identify repeated reasoning errors before comprehensive simulation.</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How long should I allow?</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The tracker lists suggested times of 62 minutes for the 39-question Checkpoint 1, 83 minutes for the 52-question Checkpoint 2, and 104 minutes for the 65-question Checkpoint 3. These are practice conditions, not official examination rules.</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Should I move on immediately after a checkpoint?</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Not when a repeated or high-confidence error is present. Review the controlled rationales, compare the pattern with earlier work, write a corrected rule, and complete targeted repair before continuing.</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should improve across checkpoints?</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Look for better qualifier control, current-section discipline, safety and urgency sequencing, differential reasoning, treatment-fit decisions, cultural and access responsiveness, and complete follow-up. A higher score without better reasoning evidence is not enough.</w:t>
            </w:r>
          </w:p>
        </w:tc>
      </w:tr>
    </w:tbl>
    <w:p>
      <w:pPr>
        <w:spacing w:after="40"/>
      </w:pP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cantSplit/>
        </w:trPr>
        <w:tc>
          <w:tcPr>
            <w:tcW w:type="dxa" w:w="2088"/>
            <w:shd w:fill="18365B"/>
            <w:tcMar>
              <w:top w:w="85" w:type="dxa"/>
              <w:start w:w="90" w:type="dxa"/>
              <w:bottom w:w="85" w:type="dxa"/>
              <w:end w:w="90" w:type="dxa"/>
            </w:tcMar>
            <w:vAlign w:val="center"/>
          </w:tcPr>
          <w:p>
            <w:pPr>
              <w:spacing w:before="0" w:after="0" w:line="250" w:lineRule="auto"/>
            </w:pPr>
            <w:r>
              <w:rPr>
                <w:rFonts w:ascii="Liberation Sans" w:hAnsi="Liberation Sans" w:eastAsia="Liberation Sans"/>
                <w:b/>
                <w:color w:val="FFFFFF"/>
                <w:sz w:val="17"/>
              </w:rPr>
              <w:t>Milestone</w:t>
            </w:r>
          </w:p>
        </w:tc>
        <w:tc>
          <w:tcPr>
            <w:tcW w:type="dxa" w:w="2304"/>
            <w:shd w:fill="18365B"/>
            <w:tcMar>
              <w:top w:w="85" w:type="dxa"/>
              <w:start w:w="90" w:type="dxa"/>
              <w:bottom w:w="85" w:type="dxa"/>
              <w:end w:w="90" w:type="dxa"/>
            </w:tcMar>
            <w:vAlign w:val="center"/>
          </w:tcPr>
          <w:p>
            <w:pPr>
              <w:spacing w:before="0" w:after="0" w:line="250" w:lineRule="auto"/>
            </w:pPr>
            <w:r>
              <w:rPr>
                <w:rFonts w:ascii="Liberation Sans" w:hAnsi="Liberation Sans" w:eastAsia="Liberation Sans"/>
                <w:b/>
                <w:color w:val="FFFFFF"/>
                <w:sz w:val="17"/>
              </w:rPr>
              <w:t>Coverage</w:t>
            </w:r>
          </w:p>
        </w:tc>
        <w:tc>
          <w:tcPr>
            <w:tcW w:type="dxa" w:w="1584"/>
            <w:shd w:fill="18365B"/>
            <w:tcMar>
              <w:top w:w="85" w:type="dxa"/>
              <w:start w:w="90" w:type="dxa"/>
              <w:bottom w:w="85" w:type="dxa"/>
              <w:end w:w="90" w:type="dxa"/>
            </w:tcMar>
            <w:vAlign w:val="center"/>
          </w:tcPr>
          <w:p>
            <w:pPr>
              <w:spacing w:before="0" w:after="0" w:line="250" w:lineRule="auto"/>
            </w:pPr>
            <w:r>
              <w:rPr>
                <w:rFonts w:ascii="Liberation Sans" w:hAnsi="Liberation Sans" w:eastAsia="Liberation Sans"/>
                <w:b/>
                <w:color w:val="FFFFFF"/>
                <w:sz w:val="17"/>
              </w:rPr>
              <w:t>Questions</w:t>
            </w:r>
          </w:p>
        </w:tc>
        <w:tc>
          <w:tcPr>
            <w:tcW w:type="dxa" w:w="4824"/>
            <w:shd w:fill="18365B"/>
            <w:tcMar>
              <w:top w:w="85" w:type="dxa"/>
              <w:start w:w="90" w:type="dxa"/>
              <w:bottom w:w="85" w:type="dxa"/>
              <w:end w:w="90" w:type="dxa"/>
            </w:tcMar>
            <w:vAlign w:val="center"/>
          </w:tcPr>
          <w:p>
            <w:pPr>
              <w:spacing w:before="0" w:after="0" w:line="250" w:lineRule="auto"/>
            </w:pPr>
            <w:r>
              <w:rPr>
                <w:rFonts w:ascii="Liberation Sans" w:hAnsi="Liberation Sans" w:eastAsia="Liberation Sans"/>
                <w:b/>
                <w:color w:val="FFFFFF"/>
                <w:sz w:val="17"/>
              </w:rPr>
              <w:t>Suggested Time</w:t>
            </w:r>
          </w:p>
        </w:tc>
      </w:tr>
      <w:tr>
        <w:trPr>
          <w:cantSplit/>
        </w:trPr>
        <w:tc>
          <w:tcPr>
            <w:tcW w:type="dxa" w:w="2088"/>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7"/>
              </w:rPr>
              <w:t>Checkpoint 1</w:t>
            </w:r>
          </w:p>
        </w:tc>
        <w:tc>
          <w:tcPr>
            <w:tcW w:type="dxa" w:w="2304"/>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7"/>
              </w:rPr>
              <w:t>WB1-WB4</w:t>
            </w:r>
          </w:p>
        </w:tc>
        <w:tc>
          <w:tcPr>
            <w:tcW w:type="dxa" w:w="1584"/>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7"/>
              </w:rPr>
              <w:t>39</w:t>
            </w:r>
          </w:p>
        </w:tc>
        <w:tc>
          <w:tcPr>
            <w:tcW w:type="dxa" w:w="4824"/>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7"/>
              </w:rPr>
              <w:t>62 minutes</w:t>
            </w:r>
          </w:p>
        </w:tc>
      </w:tr>
      <w:tr>
        <w:trPr>
          <w:cantSplit/>
        </w:trPr>
        <w:tc>
          <w:tcPr>
            <w:tcW w:type="dxa" w:w="2088"/>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7"/>
              </w:rPr>
              <w:t>Checkpoint 2</w:t>
            </w:r>
          </w:p>
        </w:tc>
        <w:tc>
          <w:tcPr>
            <w:tcW w:type="dxa" w:w="2304"/>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7"/>
              </w:rPr>
              <w:t>WB1-WB8</w:t>
            </w:r>
          </w:p>
        </w:tc>
        <w:tc>
          <w:tcPr>
            <w:tcW w:type="dxa" w:w="1584"/>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7"/>
              </w:rPr>
              <w:t>52</w:t>
            </w:r>
          </w:p>
        </w:tc>
        <w:tc>
          <w:tcPr>
            <w:tcW w:type="dxa" w:w="4824"/>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7"/>
              </w:rPr>
              <w:t>83 minutes</w:t>
            </w:r>
          </w:p>
        </w:tc>
      </w:tr>
      <w:tr>
        <w:trPr>
          <w:cantSplit/>
        </w:trPr>
        <w:tc>
          <w:tcPr>
            <w:tcW w:type="dxa" w:w="2088"/>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7"/>
              </w:rPr>
              <w:t>Checkpoint 3</w:t>
            </w:r>
          </w:p>
        </w:tc>
        <w:tc>
          <w:tcPr>
            <w:tcW w:type="dxa" w:w="2304"/>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7"/>
              </w:rPr>
              <w:t>WB1-WB12</w:t>
            </w:r>
          </w:p>
        </w:tc>
        <w:tc>
          <w:tcPr>
            <w:tcW w:type="dxa" w:w="1584"/>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7"/>
              </w:rPr>
              <w:t>65</w:t>
            </w:r>
          </w:p>
        </w:tc>
        <w:tc>
          <w:tcPr>
            <w:tcW w:type="dxa" w:w="4824"/>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7"/>
              </w:rPr>
              <w:t>104 minutes</w:t>
            </w:r>
          </w:p>
        </w:tc>
      </w:tr>
    </w:tbl>
    <w:p>
      <w:pPr>
        <w:spacing w:after="0"/>
      </w:pPr>
    </w:p>
    <w:p>
      <w:r>
        <w:br w:type="page"/>
      </w:r>
    </w:p>
    <w:p>
      <w:pPr>
        <w:pStyle w:val="Heading1"/>
        <w:keepNext/>
        <w:spacing w:before="140" w:after="80" w:line="250" w:lineRule="auto"/>
      </w:pPr>
      <w:r>
        <w:rPr>
          <w:rFonts w:ascii="Liberation Sans" w:hAnsi="Liberation Sans" w:eastAsia="Liberation Sans"/>
          <w:b/>
          <w:color w:val="18365B"/>
          <w:sz w:val="33"/>
        </w:rPr>
        <w:t>Comprehensive Forms A and B</w:t>
      </w:r>
    </w:p>
    <w:tbl>
      <w:tblPr>
        <w:tblW w:type="auto" w:w="0"/>
        <w:jc w:val="center"/>
        <w:tblLayout w:type="autofit"/>
        <w:tblLook w:firstColumn="1" w:firstRow="1" w:lastColumn="0" w:lastRow="0" w:noHBand="0" w:noVBand="1" w:val="04A0"/>
      </w:tblPr>
      <w:tblGrid>
        <w:gridCol w:w="10454"/>
      </w:tblGrid>
      <w:tr>
        <w:tc>
          <w:tcPr>
            <w:tcW w:type="dxa" w:w="10454"/>
            <w:shd w:fill="FFF7E8"/>
            <w:tcMar>
              <w:top w:w="130" w:type="dxa"/>
              <w:start w:w="150" w:type="dxa"/>
              <w:bottom w:w="130" w:type="dxa"/>
              <w:end w:w="150" w:type="dxa"/>
            </w:tcMar>
          </w:tcPr>
          <w:p>
            <w:pPr>
              <w:spacing w:before="0" w:after="40" w:line="250" w:lineRule="auto"/>
            </w:pPr>
            <w:r>
              <w:rPr>
                <w:rFonts w:ascii="Liberation Sans" w:hAnsi="Liberation Sans" w:eastAsia="Liberation Sans"/>
                <w:b/>
                <w:color w:val="B54708"/>
                <w:sz w:val="20"/>
              </w:rPr>
              <w:t>PROTECT THE SIMULATIONS</w:t>
            </w:r>
          </w:p>
          <w:p>
            <w:pPr>
              <w:spacing w:before="0" w:after="0" w:line="250" w:lineRule="auto"/>
            </w:pPr>
            <w:r>
              <w:rPr>
                <w:rFonts w:ascii="Liberation Sans" w:hAnsi="Liberation Sans" w:eastAsia="Liberation Sans"/>
                <w:color w:val="1F2937"/>
                <w:sz w:val="18"/>
              </w:rPr>
              <w:t>Forms A and B are controlled readiness assessments, not casual practice banks. Complete each under realistic conditions and submit the full form before opening detailed rationales.</w:t>
            </w:r>
          </w:p>
        </w:tc>
        <w:trPr>
          <w:tblHeader/>
        </w:trPr>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When should I take Form A?</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After all 12 workbook cycles, all three checkpoints, controlled rationale review, and enough targeted remediation to make the attempt diagnostically useful. Complete the Form A readiness gate first.</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How should I take Form A?</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Use the full timing and section rules provided, reduce interruptions, avoid notes and answer resources, record confidence and pacing observations, and submit the entire form before reviewing detailed rationales.</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happens after Form A?</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Review the score and performance patterns, then complete the Form A Remediation Workbook. Mark every missed item and low-confidence correct response, identify the controlling error, write a corrected rule, return to the exact source, and complete re-application before opening Form B.</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When should I take Form B?</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After the Form A remediation gate is complete and the targeted areas have been repaired. Treat Form B as the final fresh readiness simulation rather than a frequently repeated practice set.</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Can I retake a comprehensive form immediately?</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No immediate retake is recommended. That reduces diagnostic value and may measure memory. Use controlled rationales and remediation first. Any later review attempt should remain clearly separate from the original timed record.</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How are Form B practice scores used?</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The controlled form includes a full practice score out of 143 and a current-blueprint practice score based on the 100 scored-style items. CTA does not claim an official passing percentage or convert either score to an NBCC scaled score. Consider domain and case patterns, confidence, pacing, and repeated errors.</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if my simulation score is disappointing?</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Do not convert one score into a prediction. Separate content gaps from reasoning, pacing, fatigue, or anxiety effects; identify the smallest high-priority repair plan; and use the tracker to document evidence of improvement.</w:t>
            </w:r>
          </w:p>
        </w:tc>
      </w:tr>
    </w:tbl>
    <w:p>
      <w:pPr>
        <w:spacing w:after="40"/>
      </w:pPr>
    </w:p>
    <w:p>
      <w:r>
        <w:br w:type="page"/>
      </w:r>
    </w:p>
    <w:p>
      <w:pPr>
        <w:pStyle w:val="Heading1"/>
        <w:keepNext/>
        <w:spacing w:before="140" w:after="80" w:line="250" w:lineRule="auto"/>
      </w:pPr>
      <w:r>
        <w:rPr>
          <w:rFonts w:ascii="Liberation Sans" w:hAnsi="Liberation Sans" w:eastAsia="Liberation Sans"/>
          <w:b/>
          <w:color w:val="18365B"/>
          <w:sz w:val="33"/>
        </w:rPr>
        <w:t>Schedules, Progress, Anxiety, and Readiness</w:t>
      </w: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if I fall behind?</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Move incomplete work forward and protect the sequence. Do not compress several banks, checkpoints, Form A, and Form B into an unrealistic final week. A slower plan with valid remediation is stronger than finishing quickly without learning.</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Can I change from one schedule to another?</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Yes. Record the new route in the tracker and preserve the same milestone order. Do not use a schedule change to bypass checkpoints or the Form A remediation gate.</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if timed practice increases my anxiety?</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Begin with shorter protected blocks, use grounding and pacing routines, and increase duration gradually. Record whether the problem involves content, decision fatigue, reading speed, physical needs, environmental distraction, or anxiety. Seek appropriate professional or disability-support resources when needed.</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How do I decide whether I am ready?</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Use multiple indicators: completion evidence, checkpoint trends, performance across unfamiliar cases, confidence calibration, pacing, endurance, repeated-error reduction, and the ability to explain why distractors are weaker. No single CTA score guarantees an official result.</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should I do during the final week?</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Consolidate rather than overload. Review only high-priority correction rules, case navigation, safety and legal sequencing, differential distinctions, measurement and continuity, and practical examination logistics. Protect sleep and recovery.</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Does CTA determine my eligibility or schedule my exam?</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No. Eligibility, registration, accommodations, identification, fees, rescheduling, testing-center rules, and examination administration come from the applicable official organizations and current candidate materials.</w:t>
            </w:r>
          </w:p>
        </w:tc>
      </w:tr>
    </w:tbl>
    <w:p>
      <w:pPr>
        <w:spacing w:after="40"/>
      </w:pPr>
    </w:p>
    <w:p>
      <w:r>
        <w:br w:type="page"/>
      </w:r>
    </w:p>
    <w:p>
      <w:pPr>
        <w:pStyle w:val="Heading1"/>
        <w:keepNext/>
        <w:spacing w:before="140" w:after="80" w:line="250" w:lineRule="auto"/>
      </w:pPr>
      <w:r>
        <w:rPr>
          <w:rFonts w:ascii="Liberation Sans" w:hAnsi="Liberation Sans" w:eastAsia="Liberation Sans"/>
          <w:b/>
          <w:color w:val="18365B"/>
          <w:sz w:val="33"/>
        </w:rPr>
        <w:t>Technical Support and Download Problems</w:t>
      </w: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should I try before contacting support?</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Confirm you are in the correct LPCC course area; refresh the page; sign out and back in; try the download again; confirm that your browser or Word-compatible application is current; and test a second supported browser or device when available.</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information should I include in a support request?</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Provide the exact course area, resource title or filename, workbook or form number, device, operating system, browser or application, exact error message, what you expected, what occurred, whether the problem repeats, and the steps already tried.</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should I never include in a support request?</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Do not send confidential client information, protected health information, passwords, full payment-card information, examination security content, or unnecessary personal data. Screenshots should be cropped to remove sensitive information.</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if a download opens with broken formatting?</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Download the file again, open it in a current desktop word-processing application, confirm page size and printer settings, and avoid editing headers, footers, or tables before printing. Report the exact file and page when the defect remains.</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if an answer file appears too early?</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Stop opening it, do not distribute it, and report the release-control problem. The LMS should delay controlled answer materials until the related candidate attempt is submitted.</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if Form B is unlocked before I complete remediation?</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Do not open it. Preserve the value of the final simulation and report the gating problem. Form B should follow Form A and the required remediation gate.</w:t>
            </w:r>
          </w:p>
        </w:tc>
      </w:tr>
    </w:tbl>
    <w:p>
      <w:pPr>
        <w:spacing w:after="40"/>
      </w:pPr>
    </w:p>
    <w:p>
      <w:r>
        <w:br w:type="page"/>
      </w:r>
    </w:p>
    <w:p>
      <w:pPr>
        <w:pStyle w:val="Heading1"/>
        <w:keepNext/>
        <w:spacing w:before="140" w:after="80" w:line="250" w:lineRule="auto"/>
      </w:pPr>
      <w:r>
        <w:rPr>
          <w:rFonts w:ascii="Liberation Sans" w:hAnsi="Liberation Sans" w:eastAsia="Liberation Sans"/>
          <w:b/>
          <w:color w:val="18365B"/>
          <w:sz w:val="33"/>
        </w:rPr>
        <w:t>Official Sources, Updates, and Program Boundaries</w:t>
      </w:r>
    </w:p>
    <w:tbl>
      <w:tblPr>
        <w:tblW w:type="auto" w:w="0"/>
        <w:jc w:val="center"/>
        <w:tblLayout w:type="autofit"/>
        <w:tblLook w:firstColumn="1" w:firstRow="1" w:lastColumn="0" w:lastRow="0" w:noHBand="0" w:noVBand="1" w:val="04A0"/>
      </w:tblPr>
      <w:tblGrid>
        <w:gridCol w:w="10454"/>
      </w:tblGrid>
      <w:tr>
        <w:tc>
          <w:tcPr>
            <w:tcW w:type="dxa" w:w="10454"/>
            <w:shd w:fill="FFF7E8"/>
            <w:tcMar>
              <w:top w:w="130" w:type="dxa"/>
              <w:start w:w="150" w:type="dxa"/>
              <w:bottom w:w="130" w:type="dxa"/>
              <w:end w:w="150" w:type="dxa"/>
            </w:tcMar>
          </w:tcPr>
          <w:p>
            <w:pPr>
              <w:spacing w:before="0" w:after="40" w:line="250" w:lineRule="auto"/>
            </w:pPr>
            <w:r>
              <w:rPr>
                <w:rFonts w:ascii="Liberation Sans" w:hAnsi="Liberation Sans" w:eastAsia="Liberation Sans"/>
                <w:b/>
                <w:color w:val="B54708"/>
                <w:sz w:val="20"/>
              </w:rPr>
              <w:t>CURRENT-INFORMATION RESPONSIBILITY</w:t>
            </w:r>
          </w:p>
          <w:p>
            <w:pPr>
              <w:spacing w:before="0" w:after="0" w:line="250" w:lineRule="auto"/>
            </w:pPr>
            <w:r>
              <w:rPr>
                <w:rFonts w:ascii="Liberation Sans" w:hAnsi="Liberation Sans" w:eastAsia="Liberation Sans"/>
                <w:color w:val="1F2937"/>
                <w:sz w:val="18"/>
              </w:rPr>
              <w:t>Exam formats, eligibility rules, application steps, fees, accommodations, and testing policies may change. Use current official BBS, NBCC, CCE, and Pearson VUE information for decisions about the real examination. CTA materials support preparation but do not replace official candidate information.</w:t>
            </w:r>
          </w:p>
        </w:tc>
        <w:trPr>
          <w:tblHeader/>
        </w:trPr>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Is CTA affiliated with the examination organizations?</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No. The program is an independent educational review resource and does not imply affiliation with or endorsement by the California Board of Behavioral Sciences, NBCC, CCE, Pearson VUE, or another testing organization.</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Does completing the program guarantee passage?</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No. Completion and practice performance support preparation but do not guarantee passage, determine eligibility, or predict an official scaled result.</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Does this program provide continuing-education credit?</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No. It is an exam-preparation program. It should not be presented with CE hours, a CE certificate, a CE evaluation, or a CE-provider completion workflow.</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is the July 2027 transition notice?</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The current-format materials require formal review and update before use for examinations administered on or after July 1, 2027. Learners should use the edition that matches their actual examination date and current official specifications.</w:t>
            </w:r>
          </w:p>
        </w:tc>
      </w:tr>
    </w:tbl>
    <w:p>
      <w:pPr>
        <w:spacing w:after="40"/>
      </w:pPr>
    </w:p>
    <w:tbl>
      <w:tblPr>
        <w:tblStyle w:val="TableGrid"/>
        <w:tblW w:type="auto" w:w="0"/>
        <w:jc w:val="center"/>
        <w:tblLook w:firstColumn="1" w:firstRow="1" w:lastColumn="0" w:lastRow="0" w:noHBand="0" w:noVBand="1" w:val="04A0"/>
      </w:tblPr>
      <w:tblGrid>
        <w:gridCol w:w="10454"/>
      </w:tblGrid>
      <w:tr>
        <w:tc>
          <w:tcPr>
            <w:tcW w:type="dxa" w:w="10454"/>
            <w:shd w:fill="2AA7A1"/>
            <w:tcMar>
              <w:top w:w="85" w:type="dxa"/>
              <w:start w:w="120" w:type="dxa"/>
              <w:bottom w:w="85" w:type="dxa"/>
              <w:end w:w="120" w:type="dxa"/>
            </w:tcMar>
          </w:tcPr>
          <w:p>
            <w:pPr>
              <w:spacing w:before="0" w:after="0" w:line="250" w:lineRule="auto"/>
            </w:pPr>
            <w:r>
              <w:rPr>
                <w:rFonts w:ascii="Liberation Sans" w:hAnsi="Liberation Sans" w:eastAsia="Liberation Sans"/>
                <w:b/>
                <w:color w:val="FFFFFF"/>
                <w:sz w:val="18"/>
              </w:rPr>
              <w:t>Q. What should I do when CTA material and current official information differ?</w:t>
            </w:r>
          </w:p>
        </w:tc>
        <w:trPr>
          <w:tblHeader/>
        </w:trPr>
      </w:tr>
      <w:tr>
        <w:tc>
          <w:tcPr>
            <w:tcW w:type="dxa" w:w="10454"/>
            <w:tcMar>
              <w:top w:w="95" w:type="dxa"/>
              <w:start w:w="120" w:type="dxa"/>
              <w:bottom w:w="95" w:type="dxa"/>
              <w:end w:w="120" w:type="dxa"/>
            </w:tcMar>
          </w:tcPr>
          <w:p>
            <w:pPr>
              <w:spacing w:before="0" w:after="0" w:line="250" w:lineRule="auto"/>
            </w:pPr>
            <w:r>
              <w:rPr>
                <w:rFonts w:ascii="Liberation Sans" w:hAnsi="Liberation Sans" w:eastAsia="Liberation Sans"/>
                <w:color w:val="1F2937"/>
                <w:sz w:val="18"/>
              </w:rPr>
              <w:t>A. Use the current controlling official information for examination administration or regulatory decisions, notify CTA support of the discrepancy, and do not rely on an outdated practice detail.</w:t>
            </w:r>
          </w:p>
        </w:tc>
      </w:tr>
    </w:tbl>
    <w:p>
      <w:pPr>
        <w:spacing w:after="40"/>
      </w:pPr>
    </w:p>
    <w:p>
      <w:r>
        <w:br w:type="page"/>
      </w:r>
    </w:p>
    <w:p>
      <w:pPr>
        <w:pStyle w:val="Heading1"/>
        <w:keepNext/>
        <w:spacing w:before="140" w:after="80" w:line="250" w:lineRule="auto"/>
      </w:pPr>
      <w:r>
        <w:rPr>
          <w:rFonts w:ascii="Liberation Sans" w:hAnsi="Liberation Sans" w:eastAsia="Liberation Sans"/>
          <w:b/>
          <w:color w:val="18365B"/>
          <w:sz w:val="33"/>
        </w:rPr>
        <w:t>Find the Right Workbook or Resource</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792"/>
            <w:shd w:fill="18365B"/>
            <w:tcMar>
              <w:top w:w="85" w:type="dxa"/>
              <w:start w:w="90" w:type="dxa"/>
              <w:bottom w:w="85" w:type="dxa"/>
              <w:end w:w="90" w:type="dxa"/>
            </w:tcMar>
            <w:vAlign w:val="center"/>
          </w:tcPr>
          <w:p>
            <w:pPr>
              <w:spacing w:before="0" w:after="0" w:line="250" w:lineRule="auto"/>
            </w:pPr>
            <w:r>
              <w:rPr>
                <w:rFonts w:ascii="Liberation Sans" w:hAnsi="Liberation Sans" w:eastAsia="Liberation Sans"/>
                <w:b/>
                <w:color w:val="FFFFFF"/>
                <w:sz w:val="14"/>
              </w:rPr>
              <w:t>No.</w:t>
            </w:r>
          </w:p>
        </w:tc>
        <w:tc>
          <w:tcPr>
            <w:tcW w:type="dxa" w:w="5256"/>
            <w:shd w:fill="18365B"/>
            <w:tcMar>
              <w:top w:w="85" w:type="dxa"/>
              <w:start w:w="90" w:type="dxa"/>
              <w:bottom w:w="85" w:type="dxa"/>
              <w:end w:w="90" w:type="dxa"/>
            </w:tcMar>
            <w:vAlign w:val="center"/>
          </w:tcPr>
          <w:p>
            <w:pPr>
              <w:spacing w:before="0" w:after="0" w:line="250" w:lineRule="auto"/>
            </w:pPr>
            <w:r>
              <w:rPr>
                <w:rFonts w:ascii="Liberation Sans" w:hAnsi="Liberation Sans" w:eastAsia="Liberation Sans"/>
                <w:b/>
                <w:color w:val="FFFFFF"/>
                <w:sz w:val="14"/>
              </w:rPr>
              <w:t>Workbook</w:t>
            </w:r>
          </w:p>
        </w:tc>
        <w:tc>
          <w:tcPr>
            <w:tcW w:type="dxa" w:w="4824"/>
            <w:shd w:fill="18365B"/>
            <w:tcMar>
              <w:top w:w="85" w:type="dxa"/>
              <w:start w:w="90" w:type="dxa"/>
              <w:bottom w:w="85" w:type="dxa"/>
              <w:end w:w="90" w:type="dxa"/>
            </w:tcMar>
            <w:vAlign w:val="center"/>
          </w:tcPr>
          <w:p>
            <w:pPr>
              <w:spacing w:before="0" w:after="0" w:line="250" w:lineRule="auto"/>
            </w:pPr>
            <w:r>
              <w:rPr>
                <w:rFonts w:ascii="Liberation Sans" w:hAnsi="Liberation Sans" w:eastAsia="Liberation Sans"/>
                <w:b/>
                <w:color w:val="FFFFFF"/>
                <w:sz w:val="14"/>
              </w:rPr>
              <w:t>Use When You Need Review Of...</w:t>
            </w:r>
          </w:p>
        </w:tc>
      </w:tr>
      <w:tr>
        <w:trPr>
          <w:cantSplit/>
        </w:trPr>
        <w:tc>
          <w:tcPr>
            <w:tcW w:type="dxa" w:w="792"/>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4"/>
              </w:rPr>
              <w:t>WB1</w:t>
            </w:r>
          </w:p>
        </w:tc>
        <w:tc>
          <w:tcPr>
            <w:tcW w:type="dxa" w:w="5256"/>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NCMHCE Case-Study Strategy and Applied Counselor Reasoning</w:t>
            </w:r>
          </w:p>
        </w:tc>
        <w:tc>
          <w:tcPr>
            <w:tcW w:type="dxa" w:w="4824"/>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Case sections, qualifiers, pacing, current evidence, and one best-supported action.</w:t>
            </w:r>
          </w:p>
        </w:tc>
      </w:tr>
      <w:tr>
        <w:trPr>
          <w:cantSplit/>
        </w:trPr>
        <w:tc>
          <w:tcPr>
            <w:tcW w:type="dxa" w:w="792"/>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4"/>
              </w:rPr>
              <w:t>WB2</w:t>
            </w:r>
          </w:p>
        </w:tc>
        <w:tc>
          <w:tcPr>
            <w:tcW w:type="dxa" w:w="5256"/>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LPCC Professional Identity, California Scope, Competence, and Self-Awareness</w:t>
            </w:r>
          </w:p>
        </w:tc>
        <w:tc>
          <w:tcPr>
            <w:tcW w:type="dxa" w:w="4824"/>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LPCC identity, statutory scope, competence, self-awareness, consultation, boundaries, and client protection.</w:t>
            </w:r>
          </w:p>
        </w:tc>
      </w:tr>
      <w:tr>
        <w:trPr>
          <w:cantSplit/>
        </w:trPr>
        <w:tc>
          <w:tcPr>
            <w:tcW w:type="dxa" w:w="792"/>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4"/>
              </w:rPr>
              <w:t>WB3</w:t>
            </w:r>
          </w:p>
        </w:tc>
        <w:tc>
          <w:tcPr>
            <w:tcW w:type="dxa" w:w="5256"/>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Intake, Informed Consent, Interviewing, MSE, and Biopsychosocial-Cultural Assessment</w:t>
            </w:r>
          </w:p>
        </w:tc>
        <w:tc>
          <w:tcPr>
            <w:tcW w:type="dxa" w:w="4824"/>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Intake structure, consent, interviewing, MSE, integrated assessment, instruments, and missing data.</w:t>
            </w:r>
          </w:p>
        </w:tc>
      </w:tr>
      <w:tr>
        <w:trPr>
          <w:cantSplit/>
        </w:trPr>
        <w:tc>
          <w:tcPr>
            <w:tcW w:type="dxa" w:w="792"/>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4"/>
              </w:rPr>
              <w:t>WB4</w:t>
            </w:r>
          </w:p>
        </w:tc>
        <w:tc>
          <w:tcPr>
            <w:tcW w:type="dxa" w:w="5256"/>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Crisis, Trauma, Abuse, Violence, and Level-of-Care Decisions</w:t>
            </w:r>
          </w:p>
        </w:tc>
        <w:tc>
          <w:tcPr>
            <w:tcW w:type="dxa" w:w="4824"/>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Crisis, suicide, violence, trauma, abuse, stabilization, reporting, and level of care.</w:t>
            </w:r>
          </w:p>
        </w:tc>
      </w:tr>
      <w:tr>
        <w:trPr>
          <w:cantSplit/>
        </w:trPr>
        <w:tc>
          <w:tcPr>
            <w:tcW w:type="dxa" w:w="792"/>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4"/>
              </w:rPr>
              <w:t>WB5</w:t>
            </w:r>
          </w:p>
        </w:tc>
        <w:tc>
          <w:tcPr>
            <w:tcW w:type="dxa" w:w="5256"/>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Diagnosis and Differential Diagnosis I</w:t>
            </w:r>
          </w:p>
        </w:tc>
        <w:tc>
          <w:tcPr>
            <w:tcW w:type="dxa" w:w="4824"/>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Mood, anxiety, trauma, OCD, psychotic, and related diagnostic differentials.</w:t>
            </w:r>
          </w:p>
        </w:tc>
      </w:tr>
      <w:tr>
        <w:trPr>
          <w:cantSplit/>
        </w:trPr>
        <w:tc>
          <w:tcPr>
            <w:tcW w:type="dxa" w:w="792"/>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4"/>
              </w:rPr>
              <w:t>WB6</w:t>
            </w:r>
          </w:p>
        </w:tc>
        <w:tc>
          <w:tcPr>
            <w:tcW w:type="dxa" w:w="5256"/>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Diagnosis and Differential Diagnosis II</w:t>
            </w:r>
          </w:p>
        </w:tc>
        <w:tc>
          <w:tcPr>
            <w:tcW w:type="dxa" w:w="4824"/>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Substance, personality, neurodevelopmental, eating, sleep, somatic, medical, and complex differentials.</w:t>
            </w:r>
          </w:p>
        </w:tc>
      </w:tr>
      <w:tr>
        <w:trPr>
          <w:cantSplit/>
        </w:trPr>
        <w:tc>
          <w:tcPr>
            <w:tcW w:type="dxa" w:w="792"/>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4"/>
              </w:rPr>
              <w:t>WB7</w:t>
            </w:r>
          </w:p>
        </w:tc>
        <w:tc>
          <w:tcPr>
            <w:tcW w:type="dxa" w:w="5256"/>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Case Conceptualization, Treatment Planning, Measurement, Progress, and Termination</w:t>
            </w:r>
          </w:p>
        </w:tc>
        <w:tc>
          <w:tcPr>
            <w:tcW w:type="dxa" w:w="4824"/>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Conceptualization, goals, objectives, measures, nonresponse, progress, termination, and continuity.</w:t>
            </w:r>
          </w:p>
        </w:tc>
      </w:tr>
      <w:tr>
        <w:trPr>
          <w:cantSplit/>
        </w:trPr>
        <w:tc>
          <w:tcPr>
            <w:tcW w:type="dxa" w:w="792"/>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4"/>
              </w:rPr>
              <w:t>WB8</w:t>
            </w:r>
          </w:p>
        </w:tc>
        <w:tc>
          <w:tcPr>
            <w:tcW w:type="dxa" w:w="5256"/>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Counseling Theories, Therapeutic Alliance, and Core Counseling Skills</w:t>
            </w:r>
          </w:p>
        </w:tc>
        <w:tc>
          <w:tcPr>
            <w:tcW w:type="dxa" w:w="4824"/>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Counseling theories, alliance, core skills, rupture repair, and theory-consistent intervention.</w:t>
            </w:r>
          </w:p>
        </w:tc>
      </w:tr>
      <w:tr>
        <w:trPr>
          <w:cantSplit/>
        </w:trPr>
        <w:tc>
          <w:tcPr>
            <w:tcW w:type="dxa" w:w="792"/>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4"/>
              </w:rPr>
              <w:t>WB9</w:t>
            </w:r>
          </w:p>
        </w:tc>
        <w:tc>
          <w:tcPr>
            <w:tcW w:type="dxa" w:w="5256"/>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Evidence-Based and Evidence-Informed Interventions</w:t>
            </w:r>
          </w:p>
        </w:tc>
        <w:tc>
          <w:tcPr>
            <w:tcW w:type="dxa" w:w="4824"/>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Evidence-based and evidence-informed intervention selection, sequencing, monitoring, and adaptation.</w:t>
            </w:r>
          </w:p>
        </w:tc>
      </w:tr>
      <w:tr>
        <w:trPr>
          <w:cantSplit/>
        </w:trPr>
        <w:tc>
          <w:tcPr>
            <w:tcW w:type="dxa" w:w="792"/>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4"/>
              </w:rPr>
              <w:t>WB10</w:t>
            </w:r>
          </w:p>
        </w:tc>
        <w:tc>
          <w:tcPr>
            <w:tcW w:type="dxa" w:w="5256"/>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Multicultural, Developmental, Career, Spiritual, Disability, and Context-Responsive Counseling</w:t>
            </w:r>
          </w:p>
        </w:tc>
        <w:tc>
          <w:tcPr>
            <w:tcW w:type="dxa" w:w="4824"/>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Culture, development, career, spirituality, disability, access, and context-responsive care.</w:t>
            </w:r>
          </w:p>
        </w:tc>
      </w:tr>
      <w:tr>
        <w:trPr>
          <w:cantSplit/>
        </w:trPr>
        <w:tc>
          <w:tcPr>
            <w:tcW w:type="dxa" w:w="792"/>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4"/>
              </w:rPr>
              <w:t>WB11</w:t>
            </w:r>
          </w:p>
        </w:tc>
        <w:tc>
          <w:tcPr>
            <w:tcW w:type="dxa" w:w="5256"/>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Individual, Group, Couple/Family, Referral, Continuity, and Collaboration</w:t>
            </w:r>
          </w:p>
        </w:tc>
        <w:tc>
          <w:tcPr>
            <w:tcW w:type="dxa" w:w="4824"/>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Individual, group, couple/family, referral, collaboration, role clarity, handoff, and follow-through.</w:t>
            </w:r>
          </w:p>
        </w:tc>
      </w:tr>
      <w:tr>
        <w:trPr>
          <w:cantSplit/>
        </w:trPr>
        <w:tc>
          <w:tcPr>
            <w:tcW w:type="dxa" w:w="792"/>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4"/>
              </w:rPr>
              <w:t>WB12</w:t>
            </w:r>
          </w:p>
        </w:tc>
        <w:tc>
          <w:tcPr>
            <w:tcW w:type="dxa" w:w="5256"/>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California Legal, Ethical, Documentation, Technology, and Professional Practice</w:t>
            </w:r>
          </w:p>
        </w:tc>
        <w:tc>
          <w:tcPr>
            <w:tcW w:type="dxa" w:w="4824"/>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4"/>
              </w:rPr>
              <w:t>California legal and ethical practice, privacy, records, telehealth, technology, documentation, billing, and continuity.</w:t>
            </w:r>
          </w:p>
        </w:tc>
      </w:tr>
    </w:tbl>
    <w:p>
      <w:pPr>
        <w:spacing w:after="0"/>
      </w:pPr>
    </w:p>
    <w:p>
      <w:pPr>
        <w:pStyle w:val="Heading2"/>
        <w:keepNext/>
        <w:spacing w:before="80" w:after="80" w:line="250" w:lineRule="auto"/>
      </w:pPr>
      <w:r>
        <w:rPr>
          <w:rFonts w:ascii="Liberation Sans" w:hAnsi="Liberation Sans" w:eastAsia="Liberation Sans"/>
          <w:b/>
          <w:color w:val="2AA7A1"/>
          <w:sz w:val="26"/>
        </w:rPr>
        <w:t>Enhancement Resource Map</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3600"/>
            <w:shd w:fill="18365B"/>
            <w:tcMar>
              <w:top w:w="85" w:type="dxa"/>
              <w:start w:w="90" w:type="dxa"/>
              <w:bottom w:w="85" w:type="dxa"/>
              <w:end w:w="90" w:type="dxa"/>
            </w:tcMar>
            <w:vAlign w:val="center"/>
          </w:tcPr>
          <w:p>
            <w:pPr>
              <w:spacing w:before="0" w:after="0" w:line="250" w:lineRule="auto"/>
            </w:pPr>
            <w:r>
              <w:rPr>
                <w:rFonts w:ascii="Liberation Sans" w:hAnsi="Liberation Sans" w:eastAsia="Liberation Sans"/>
                <w:b/>
                <w:color w:val="FFFFFF"/>
                <w:sz w:val="16"/>
              </w:rPr>
              <w:t>Resource</w:t>
            </w:r>
          </w:p>
        </w:tc>
        <w:tc>
          <w:tcPr>
            <w:tcW w:type="dxa" w:w="7200"/>
            <w:shd w:fill="18365B"/>
            <w:tcMar>
              <w:top w:w="85" w:type="dxa"/>
              <w:start w:w="90" w:type="dxa"/>
              <w:bottom w:w="85" w:type="dxa"/>
              <w:end w:w="90" w:type="dxa"/>
            </w:tcMar>
            <w:vAlign w:val="center"/>
          </w:tcPr>
          <w:p>
            <w:pPr>
              <w:spacing w:before="0" w:after="0" w:line="250" w:lineRule="auto"/>
            </w:pPr>
            <w:r>
              <w:rPr>
                <w:rFonts w:ascii="Liberation Sans" w:hAnsi="Liberation Sans" w:eastAsia="Liberation Sans"/>
                <w:b/>
                <w:color w:val="FFFFFF"/>
                <w:sz w:val="16"/>
              </w:rPr>
              <w:t>Best Use</w:t>
            </w:r>
          </w:p>
        </w:tc>
      </w:tr>
      <w:tr>
        <w:trPr>
          <w:cantSplit/>
        </w:trPr>
        <w:tc>
          <w:tcPr>
            <w:tcW w:type="dxa" w:w="3600"/>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Quick-Reference Library</w:t>
            </w:r>
          </w:p>
        </w:tc>
        <w:tc>
          <w:tcPr>
            <w:tcW w:type="dxa" w:w="7200"/>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Fast retrieval and targeted repair after learning the full topic.</w:t>
            </w:r>
          </w:p>
        </w:tc>
      </w:tr>
      <w:tr>
        <w:trPr>
          <w:cantSplit/>
        </w:trPr>
        <w:tc>
          <w:tcPr>
            <w:tcW w:type="dxa" w:w="3600"/>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Flashcards</w:t>
            </w:r>
          </w:p>
        </w:tc>
        <w:tc>
          <w:tcPr>
            <w:tcW w:type="dxa" w:w="7200"/>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Spaced recall of distinctions, sequences, rules, and common traps.</w:t>
            </w:r>
          </w:p>
        </w:tc>
      </w:tr>
      <w:tr>
        <w:trPr>
          <w:cantSplit/>
        </w:trPr>
        <w:tc>
          <w:tcPr>
            <w:tcW w:type="dxa" w:w="3600"/>
            <w:tcMar>
              <w:top w:w="85" w:type="dxa"/>
              <w:start w:w="90" w:type="dxa"/>
              <w:bottom w:w="85" w:type="dxa"/>
              <w:end w:w="90" w:type="dxa"/>
            </w:tcMar>
            <w:vAlign w:val="top"/>
          </w:tcPr>
          <w:p>
            <w:r>
              <w:t>Exam Format and Transition Reference</w:t>
            </w:r>
          </w:p>
        </w:tc>
        <w:tc>
          <w:tcPr>
            <w:tcW w:type="dxa" w:w="7200"/>
            <w:tcMar>
              <w:top w:w="85" w:type="dxa"/>
              <w:start w:w="90" w:type="dxa"/>
              <w:bottom w:w="85" w:type="dxa"/>
              <w:end w:w="90" w:type="dxa"/>
            </w:tcMar>
            <w:vAlign w:val="top"/>
          </w:tcPr>
          <w:p>
            <w:r>
              <w:t>Current-format pacing, official-source reminders, and the July 2027 transition plan.</w:t>
            </w:r>
          </w:p>
        </w:tc>
      </w:tr>
      <w:tr>
        <w:trPr>
          <w:cantSplit/>
        </w:trPr>
        <w:tc>
          <w:tcPr>
            <w:tcW w:type="dxa" w:w="3600"/>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Readiness Tracker</w:t>
            </w:r>
          </w:p>
        </w:tc>
        <w:tc>
          <w:tcPr>
            <w:tcW w:type="dxa" w:w="7200"/>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Baseline, schedule, progress, error patterns, checkpoints, and simulation gates.</w:t>
            </w:r>
          </w:p>
        </w:tc>
      </w:tr>
      <w:tr>
        <w:trPr>
          <w:cantSplit/>
        </w:trPr>
        <w:tc>
          <w:tcPr>
            <w:tcW w:type="dxa" w:w="3600"/>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Student Roadmap</w:t>
            </w:r>
          </w:p>
        </w:tc>
        <w:tc>
          <w:tcPr>
            <w:tcW w:type="dxa" w:w="7200"/>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Opening sequence and 10-, 14-, and 18-week pacing.</w:t>
            </w:r>
          </w:p>
        </w:tc>
      </w:tr>
      <w:tr>
        <w:trPr>
          <w:cantSplit/>
        </w:trPr>
        <w:tc>
          <w:tcPr>
            <w:tcW w:type="dxa" w:w="3600"/>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Form A Remediation Workbook</w:t>
            </w:r>
          </w:p>
        </w:tc>
        <w:tc>
          <w:tcPr>
            <w:tcW w:type="dxa" w:w="7200"/>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Written error analysis and readiness gate before Form B.</w:t>
            </w:r>
          </w:p>
        </w:tc>
      </w:tr>
      <w:tr>
        <w:trPr>
          <w:cantSplit/>
        </w:trPr>
        <w:tc>
          <w:tcPr>
            <w:tcW w:type="dxa" w:w="3600"/>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FAQ and Support Guide</w:t>
            </w:r>
          </w:p>
        </w:tc>
        <w:tc>
          <w:tcPr>
            <w:tcW w:type="dxa" w:w="7200"/>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t>Navigation, scoring language, release rules, troubleshooting, and boundaries.</w:t>
            </w:r>
          </w:p>
        </w:tc>
      </w:tr>
    </w:tbl>
    <w:p>
      <w:pPr>
        <w:spacing w:after="0"/>
      </w:pPr>
    </w:p>
    <w:p>
      <w:r>
        <w:br w:type="page"/>
      </w:r>
    </w:p>
    <w:p>
      <w:pPr>
        <w:pStyle w:val="Heading1"/>
        <w:keepNext/>
        <w:spacing w:before="140" w:after="80" w:line="250" w:lineRule="auto"/>
      </w:pPr>
      <w:r>
        <w:rPr>
          <w:rFonts w:ascii="Liberation Sans" w:hAnsi="Liberation Sans" w:eastAsia="Liberation Sans"/>
          <w:b/>
          <w:color w:val="18365B"/>
          <w:sz w:val="33"/>
        </w:rPr>
        <w:t>Support Request Preparation Page</w:t>
      </w:r>
    </w:p>
    <w:tbl>
      <w:tblPr>
        <w:tblW w:type="auto" w:w="0"/>
        <w:jc w:val="center"/>
        <w:tblLayout w:type="autofit"/>
        <w:tblLook w:firstColumn="1" w:firstRow="1" w:lastColumn="0" w:lastRow="0" w:noHBand="0" w:noVBand="1" w:val="04A0"/>
      </w:tblPr>
      <w:tblGrid>
        <w:gridCol w:w="10454"/>
      </w:tblGrid>
      <w:tr>
        <w:tc>
          <w:tcPr>
            <w:tcW w:type="dxa" w:w="10454"/>
            <w:shd w:fill="FDECEC"/>
            <w:tcMar>
              <w:top w:w="130" w:type="dxa"/>
              <w:start w:w="150" w:type="dxa"/>
              <w:bottom w:w="130" w:type="dxa"/>
              <w:end w:w="150" w:type="dxa"/>
            </w:tcMar>
          </w:tcPr>
          <w:p>
            <w:pPr>
              <w:spacing w:before="0" w:after="40" w:line="250" w:lineRule="auto"/>
            </w:pPr>
            <w:r>
              <w:rPr>
                <w:rFonts w:ascii="Liberation Sans" w:hAnsi="Liberation Sans" w:eastAsia="Liberation Sans"/>
                <w:b/>
                <w:color w:val="B42318"/>
                <w:sz w:val="20"/>
              </w:rPr>
              <w:t>PRIVACY REMINDER</w:t>
            </w:r>
          </w:p>
          <w:p>
            <w:pPr>
              <w:spacing w:before="0" w:after="0" w:line="250" w:lineRule="auto"/>
            </w:pPr>
            <w:r>
              <w:rPr>
                <w:rFonts w:ascii="Liberation Sans" w:hAnsi="Liberation Sans" w:eastAsia="Liberation Sans"/>
                <w:color w:val="1F2937"/>
                <w:sz w:val="18"/>
              </w:rPr>
              <w:t>Use the CTA support channel listed in the course portal. Do not include confidential client information, protected health information, passwords, full payment details, or unnecessary personal data.</w:t>
            </w:r>
          </w:p>
        </w:tc>
        <w:trPr>
          <w:tblHeader/>
        </w:trPr>
      </w:tr>
    </w:tbl>
    <w:p>
      <w:pPr>
        <w:spacing w:after="0"/>
      </w:pPr>
    </w:p>
    <w:p>
      <w:pPr>
        <w:spacing w:before="0" w:after="40" w:line="250" w:lineRule="auto"/>
      </w:pPr>
      <w:r>
        <w:rPr>
          <w:rFonts w:ascii="Liberation Sans" w:hAnsi="Liberation Sans" w:eastAsia="Liberation Sans"/>
          <w:i w:val="0"/>
          <w:color w:val="1F2937"/>
          <w:sz w:val="18"/>
        </w:rPr>
        <w:t>[ ] I confirmed that I am in the LPCC NCMHCE course area.</w:t>
      </w:r>
    </w:p>
    <w:p>
      <w:pPr>
        <w:spacing w:before="0" w:after="40" w:line="250" w:lineRule="auto"/>
      </w:pPr>
      <w:r>
        <w:rPr>
          <w:rFonts w:ascii="Liberation Sans" w:hAnsi="Liberation Sans" w:eastAsia="Liberation Sans"/>
          <w:i w:val="0"/>
          <w:color w:val="1F2937"/>
          <w:sz w:val="18"/>
        </w:rPr>
        <w:t>[ ] I refreshed, signed out and back in, or downloaded the file again when appropriate.</w:t>
      </w:r>
    </w:p>
    <w:p>
      <w:pPr>
        <w:spacing w:before="0" w:after="40" w:line="250" w:lineRule="auto"/>
      </w:pPr>
      <w:r>
        <w:rPr>
          <w:rFonts w:ascii="Liberation Sans" w:hAnsi="Liberation Sans" w:eastAsia="Liberation Sans"/>
          <w:i w:val="0"/>
          <w:color w:val="1F2937"/>
          <w:sz w:val="18"/>
        </w:rPr>
        <w:t>[ ] I recorded the exact resource title and workbook, checkpoint, or form number.</w:t>
      </w:r>
    </w:p>
    <w:p>
      <w:pPr>
        <w:spacing w:before="0" w:after="40" w:line="250" w:lineRule="auto"/>
      </w:pPr>
      <w:r>
        <w:rPr>
          <w:rFonts w:ascii="Liberation Sans" w:hAnsi="Liberation Sans" w:eastAsia="Liberation Sans"/>
          <w:i w:val="0"/>
          <w:color w:val="1F2937"/>
          <w:sz w:val="18"/>
        </w:rPr>
        <w:t>[ ] I recorded my device, operating system, browser or application, and exact error message.</w:t>
      </w:r>
    </w:p>
    <w:p>
      <w:pPr>
        <w:spacing w:before="0" w:after="40" w:line="250" w:lineRule="auto"/>
      </w:pPr>
      <w:r>
        <w:rPr>
          <w:rFonts w:ascii="Liberation Sans" w:hAnsi="Liberation Sans" w:eastAsia="Liberation Sans"/>
          <w:i w:val="0"/>
          <w:color w:val="1F2937"/>
          <w:sz w:val="18"/>
        </w:rPr>
        <w:t>[ ] I took a screenshot that does not include sensitive information, when useful.</w:t>
      </w:r>
    </w:p>
    <w:p>
      <w:pPr>
        <w:spacing w:before="0" w:after="40" w:line="250" w:lineRule="auto"/>
      </w:pPr>
      <w:r>
        <w:rPr>
          <w:rFonts w:ascii="Liberation Sans" w:hAnsi="Liberation Sans" w:eastAsia="Liberation Sans"/>
          <w:i w:val="0"/>
          <w:color w:val="1F2937"/>
          <w:sz w:val="18"/>
        </w:rPr>
        <w:t>[ ] I explained what I expected, what happened, and whether the problem can be repeated.</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3528"/>
            <w:shd w:fill="18365B"/>
            <w:tcMar>
              <w:top w:w="85" w:type="dxa"/>
              <w:start w:w="90" w:type="dxa"/>
              <w:bottom w:w="85" w:type="dxa"/>
              <w:end w:w="90" w:type="dxa"/>
            </w:tcMar>
            <w:vAlign w:val="center"/>
          </w:tcPr>
          <w:p>
            <w:pPr>
              <w:spacing w:before="0" w:after="0" w:line="250" w:lineRule="auto"/>
            </w:pPr>
            <w:r>
              <w:rPr>
                <w:rFonts w:ascii="Liberation Sans" w:hAnsi="Liberation Sans" w:eastAsia="Liberation Sans"/>
                <w:b/>
                <w:color w:val="FFFFFF"/>
                <w:sz w:val="16"/>
              </w:rPr>
              <w:t>Support Request Field</w:t>
            </w:r>
          </w:p>
        </w:tc>
        <w:tc>
          <w:tcPr>
            <w:tcW w:type="dxa" w:w="7272"/>
            <w:shd w:fill="18365B"/>
            <w:tcMar>
              <w:top w:w="85" w:type="dxa"/>
              <w:start w:w="90" w:type="dxa"/>
              <w:bottom w:w="85" w:type="dxa"/>
              <w:end w:w="90" w:type="dxa"/>
            </w:tcMar>
            <w:vAlign w:val="center"/>
          </w:tcPr>
          <w:p>
            <w:pPr>
              <w:spacing w:before="0" w:after="0" w:line="250" w:lineRule="auto"/>
            </w:pPr>
            <w:r>
              <w:rPr>
                <w:rFonts w:ascii="Liberation Sans" w:hAnsi="Liberation Sans" w:eastAsia="Liberation Sans"/>
                <w:b/>
                <w:color w:val="FFFFFF"/>
                <w:sz w:val="16"/>
              </w:rPr>
              <w:t>Student Notes</w:t>
            </w:r>
          </w:p>
        </w:tc>
      </w:tr>
      <w:tr>
        <w:trPr>
          <w:cantSplit/>
        </w:trPr>
        <w:tc>
          <w:tcPr>
            <w:tcW w:type="dxa" w:w="3528"/>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Course area / page</w:t>
            </w:r>
          </w:p>
        </w:tc>
        <w:tc>
          <w:tcPr>
            <w:tcW w:type="dxa" w:w="7272"/>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r>
          </w:p>
        </w:tc>
      </w:tr>
      <w:tr>
        <w:trPr>
          <w:cantSplit/>
        </w:trPr>
        <w:tc>
          <w:tcPr>
            <w:tcW w:type="dxa" w:w="3528"/>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Resource or filename</w:t>
            </w:r>
          </w:p>
        </w:tc>
        <w:tc>
          <w:tcPr>
            <w:tcW w:type="dxa" w:w="7272"/>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r>
          </w:p>
        </w:tc>
      </w:tr>
      <w:tr>
        <w:trPr>
          <w:cantSplit/>
        </w:trPr>
        <w:tc>
          <w:tcPr>
            <w:tcW w:type="dxa" w:w="3528"/>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Workbook, checkpoint, or form number</w:t>
            </w:r>
          </w:p>
        </w:tc>
        <w:tc>
          <w:tcPr>
            <w:tcW w:type="dxa" w:w="7272"/>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r>
          </w:p>
        </w:tc>
      </w:tr>
      <w:tr>
        <w:trPr>
          <w:cantSplit/>
        </w:trPr>
        <w:tc>
          <w:tcPr>
            <w:tcW w:type="dxa" w:w="3528"/>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Device and operating system</w:t>
            </w:r>
          </w:p>
        </w:tc>
        <w:tc>
          <w:tcPr>
            <w:tcW w:type="dxa" w:w="7272"/>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r>
          </w:p>
        </w:tc>
      </w:tr>
      <w:tr>
        <w:trPr>
          <w:cantSplit/>
        </w:trPr>
        <w:tc>
          <w:tcPr>
            <w:tcW w:type="dxa" w:w="3528"/>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Browser or application</w:t>
            </w:r>
          </w:p>
        </w:tc>
        <w:tc>
          <w:tcPr>
            <w:tcW w:type="dxa" w:w="7272"/>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r>
          </w:p>
        </w:tc>
      </w:tr>
      <w:tr>
        <w:trPr>
          <w:cantSplit/>
        </w:trPr>
        <w:tc>
          <w:tcPr>
            <w:tcW w:type="dxa" w:w="3528"/>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Exact error message</w:t>
            </w:r>
          </w:p>
        </w:tc>
        <w:tc>
          <w:tcPr>
            <w:tcW w:type="dxa" w:w="7272"/>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r>
          </w:p>
        </w:tc>
      </w:tr>
      <w:tr>
        <w:trPr>
          <w:cantSplit/>
        </w:trPr>
        <w:tc>
          <w:tcPr>
            <w:tcW w:type="dxa" w:w="3528"/>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What I expected to happen</w:t>
            </w:r>
          </w:p>
        </w:tc>
        <w:tc>
          <w:tcPr>
            <w:tcW w:type="dxa" w:w="7272"/>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r>
          </w:p>
        </w:tc>
      </w:tr>
      <w:tr>
        <w:trPr>
          <w:cantSplit/>
        </w:trPr>
        <w:tc>
          <w:tcPr>
            <w:tcW w:type="dxa" w:w="3528"/>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What actually happened</w:t>
            </w:r>
          </w:p>
        </w:tc>
        <w:tc>
          <w:tcPr>
            <w:tcW w:type="dxa" w:w="7272"/>
            <w:shd w:fill="F2F4F7"/>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r>
          </w:p>
        </w:tc>
      </w:tr>
      <w:tr>
        <w:trPr>
          <w:cantSplit/>
        </w:trPr>
        <w:tc>
          <w:tcPr>
            <w:tcW w:type="dxa" w:w="3528"/>
            <w:tcMar>
              <w:top w:w="85" w:type="dxa"/>
              <w:start w:w="90" w:type="dxa"/>
              <w:bottom w:w="85" w:type="dxa"/>
              <w:end w:w="90" w:type="dxa"/>
            </w:tcMar>
            <w:vAlign w:val="top"/>
          </w:tcPr>
          <w:p>
            <w:pPr>
              <w:spacing w:before="0" w:after="0" w:line="250" w:lineRule="auto"/>
            </w:pPr>
            <w:r>
              <w:rPr>
                <w:rFonts w:ascii="Liberation Sans" w:hAnsi="Liberation Sans" w:eastAsia="Liberation Sans"/>
                <w:b/>
                <w:color w:val="1F2937"/>
                <w:sz w:val="16"/>
              </w:rPr>
              <w:t>Steps already tried</w:t>
            </w:r>
          </w:p>
        </w:tc>
        <w:tc>
          <w:tcPr>
            <w:tcW w:type="dxa" w:w="7272"/>
            <w:tcMar>
              <w:top w:w="85" w:type="dxa"/>
              <w:start w:w="90" w:type="dxa"/>
              <w:bottom w:w="85" w:type="dxa"/>
              <w:end w:w="90" w:type="dxa"/>
            </w:tcMar>
            <w:vAlign w:val="top"/>
          </w:tcPr>
          <w:p>
            <w:pPr>
              <w:spacing w:before="0" w:after="0" w:line="250" w:lineRule="auto"/>
            </w:pPr>
            <w:r>
              <w:rPr>
                <w:rFonts w:ascii="Liberation Sans" w:hAnsi="Liberation Sans" w:eastAsia="Liberation Sans"/>
                <w:b w:val="0"/>
                <w:color w:val="1F2937"/>
                <w:sz w:val="16"/>
              </w:rPr>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F5F4"/>
            <w:tcMar>
              <w:top w:w="130" w:type="dxa"/>
              <w:start w:w="150" w:type="dxa"/>
              <w:bottom w:w="130" w:type="dxa"/>
              <w:end w:w="150" w:type="dxa"/>
            </w:tcMar>
          </w:tcPr>
          <w:p>
            <w:pPr>
              <w:spacing w:before="0" w:after="40" w:line="250" w:lineRule="auto"/>
            </w:pPr>
            <w:r>
              <w:rPr>
                <w:rFonts w:ascii="Liberation Sans" w:hAnsi="Liberation Sans" w:eastAsia="Liberation Sans"/>
                <w:b/>
                <w:color w:val="18365B"/>
                <w:sz w:val="20"/>
              </w:rPr>
              <w:t>FINAL REMINDER</w:t>
            </w:r>
          </w:p>
          <w:p>
            <w:pPr>
              <w:spacing w:before="0" w:after="0" w:line="250" w:lineRule="auto"/>
            </w:pPr>
            <w:r>
              <w:rPr>
                <w:rFonts w:ascii="Liberation Sans" w:hAnsi="Liberation Sans" w:eastAsia="Liberation Sans"/>
                <w:color w:val="1F2937"/>
                <w:sz w:val="18"/>
              </w:rPr>
              <w:t>Study support, technical support, and official examination guidance are different. Use CTA resources for learning and course navigation, CTA support for access or technical problems, and current official sources for eligibility and examination-policy decisions.</w:t>
            </w:r>
          </w:p>
        </w:tc>
        <w:trPr>
          <w:tblHeader/>
        </w:trPr>
      </w:tr>
    </w:tbl>
    <w:p>
      <w:pPr>
        <w:spacing w:after="0"/>
      </w:pPr>
    </w:p>
    <w:sectPr w:rsidR="00FC693F" w:rsidRPr="0006063C" w:rsidSect="00034616">
      <w:footerReference w:type="default" r:id="rId9"/>
      <w:pgSz w:w="12240" w:h="15840"/>
      <w:pgMar w:top="749" w:right="893" w:bottom="749"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7085"/>
        <w:sz w:val="15"/>
      </w:rPr>
      <w:t xml:space="preserve">Clinical Training &amp; Supervision Academy | LPCC NCMHCE Exam Preparation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Question">
    <w:name w:val="CTA Question"/>
    <w:pPr>
      <w:spacing w:before="0" w:after="0"/>
    </w:pPr>
    <w:rPr>
      <w:rFonts w:ascii="Liberation Sans" w:hAnsi="Liberation Sans"/>
      <w:b/>
      <w:color w:val="FFFFFF"/>
      <w:sz w:val="18"/>
    </w:rPr>
  </w:style>
  <w:style w:type="paragraph" w:customStyle="1" w:styleId="CTAAnswer">
    <w:name w:val="CTA Answer"/>
    <w:pPr>
      <w:spacing w:before="0" w:after="0"/>
    </w:pPr>
    <w:rPr>
      <w:rFonts w:ascii="Liberation Sans" w:hAnsi="Liberation San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NCMHCE Student FAQ and Self-Service Support Guide</dc:title>
  <dc:subject>Learner navigation, support, scoring, remediation, and no-recorded-media launch controls</dc:subject>
  <dc:creator>Clinical Training and Supervision Academy</dc:creator>
  <cp:keywords/>
  <dc:description>Initial release package prepared August 3, 2026.</dc:description>
  <cp:lastModifiedBy>Clinical Training and Supervision Academy</cp:lastModifiedBy>
  <cp:revision>1</cp:revision>
  <dcterms:created xsi:type="dcterms:W3CDTF">2013-12-23T23:15:00Z</dcterms:created>
  <dcterms:modified xsi:type="dcterms:W3CDTF">2013-12-23T23:15:00Z</dcterms:modified>
  <cp:category/>
</cp:coreProperties>
</file>