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i w:val="0"/>
          <w:color w:val="1F7A8C"/>
          <w:sz w:val="24"/>
        </w:rPr>
        <w:t>CLINICAL TRAINING &amp; SUPERVISION ACADEMY</w:t>
      </w:r>
    </w:p>
    <w:p>
      <w:pPr>
        <w:spacing w:before="280"/>
        <w:jc w:val="center"/>
      </w:pPr>
      <w:r>
        <w:rPr>
          <w:rFonts w:ascii="Arial" w:hAnsi="Arial"/>
          <w:b/>
          <w:i w:val="0"/>
          <w:color w:val="17365D"/>
          <w:sz w:val="68"/>
        </w:rPr>
        <w:t>LPCC</w:t>
      </w:r>
    </w:p>
    <w:p>
      <w:pPr>
        <w:jc w:val="center"/>
      </w:pPr>
      <w:r>
        <w:rPr>
          <w:rFonts w:ascii="Arial" w:hAnsi="Arial"/>
          <w:b/>
          <w:i w:val="0"/>
          <w:color w:val="24313D"/>
          <w:sz w:val="36"/>
        </w:rPr>
        <w:t>CLINICAL EXAM PREPARATION</w:t>
      </w:r>
    </w:p>
    <w:p>
      <w:pPr>
        <w:jc w:val="center"/>
      </w:pPr>
      <w:r>
        <w:rPr>
          <w:rFonts w:ascii="Arial" w:hAnsi="Arial"/>
          <w:b/>
          <w:i w:val="0"/>
          <w:color w:val="1F7A8C"/>
          <w:sz w:val="48"/>
        </w:rPr>
        <w:t>AUDIO REVIEW COLLECTION</w:t>
      </w:r>
    </w:p>
    <w:p>
      <w:pPr>
        <w:spacing w:before="160"/>
        <w:jc w:val="center"/>
      </w:pPr>
      <w:r>
        <w:rPr>
          <w:rFonts w:ascii="Arial" w:hAnsi="Arial"/>
          <w:b w:val="0"/>
          <w:i w:val="0"/>
          <w:color w:val="68737D"/>
          <w:sz w:val="24"/>
        </w:rPr>
        <w:t>Eight screen-free review tracks • Recording-ready narration scripts</w:t>
      </w:r>
    </w:p>
    <w:tbl>
      <w:tblPr>
        <w:tblW w:type="auto" w:w="0"/>
        <w:jc w:val="center"/>
        <w:tblLayout w:type="fixed"/>
        <w:tblLook w:firstColumn="1" w:firstRow="1" w:lastColumn="0" w:lastRow="0" w:noHBand="0" w:noVBand="1" w:val="04A0"/>
      </w:tblPr>
      <w:tblGrid>
        <w:gridCol w:w="10368"/>
      </w:tblGrid>
      <w:tr>
        <w:tc>
          <w:tcPr>
            <w:tcW w:type="dxa" w:w="10282"/>
            <w:shd w:fill="DDEFF2"/>
            <w:tcBorders>
              <w:top w:val="single" w:sz="12" w:color="1F7A8C"/>
              <w:left w:val="single" w:sz="12" w:color="1F7A8C"/>
              <w:bottom w:val="single" w:sz="12" w:color="1F7A8C"/>
              <w:right w:val="single" w:sz="12" w:color="1F7A8C"/>
            </w:tcBorders>
            <w:tcMar>
              <w:top w:w="180" w:type="dxa"/>
              <w:start w:w="190" w:type="dxa"/>
              <w:bottom w:w="180" w:type="dxa"/>
              <w:end w:w="190" w:type="dxa"/>
            </w:tcMar>
          </w:tcPr>
          <w:p>
            <w:pPr>
              <w:jc w:val="center"/>
            </w:pPr>
            <w:r>
              <w:rPr>
                <w:rFonts w:ascii="Arial" w:hAnsi="Arial"/>
                <w:b/>
                <w:i w:val="0"/>
                <w:color w:val="17365D"/>
                <w:sz w:val="23"/>
              </w:rPr>
              <w:t>Use for commuting, walking, final-week review, and confidence resets. Each track teaches how to reason through an unfolding case—not merely what to memorize.</w:t>
            </w:r>
          </w:p>
        </w:tc>
        <w:trPr>
          <w:tblHeader/>
        </w:trPr>
      </w:tr>
    </w:tbl>
    <w:p>
      <w:pPr>
        <w:spacing w:before="440"/>
        <w:jc w:val="center"/>
      </w:pPr>
      <w:r>
        <w:rPr>
          <w:rFonts w:ascii="Arial" w:hAnsi="Arial"/>
          <w:b w:val="0"/>
          <w:i w:val="0"/>
          <w:color w:val="68737D"/>
          <w:sz w:val="19"/>
        </w:rPr>
        <w:t>Version 1.0  •  July 2026</w:t>
      </w:r>
    </w:p>
    <w:p>
      <w:r/>
    </w:p>
    <w:p>
      <w:pPr>
        <w:pStyle w:val="Heading1"/>
        <w:jc w:val="center"/>
      </w:pPr>
      <w:r>
        <w:t>How to Use the LPCC Audio Review Collection</w:t>
      </w:r>
    </w:p>
    <w:tbl>
      <w:tblPr>
        <w:tblW w:type="auto" w:w="0"/>
        <w:jc w:val="center"/>
        <w:tblLayout w:type="fixed"/>
        <w:tblLook w:firstColumn="1" w:firstRow="1" w:lastColumn="0" w:lastRow="0" w:noHBand="0" w:noVBand="1" w:val="04A0"/>
      </w:tblPr>
      <w:tblGrid>
        <w:gridCol w:w="3427"/>
        <w:gridCol w:w="3427"/>
        <w:gridCol w:w="3427"/>
      </w:tblGrid>
      <w:tr>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BEFORE PRACTICE</w:t>
            </w:r>
          </w:p>
          <w:p>
            <w:r>
              <w:rPr>
                <w:rFonts w:ascii="Arial" w:hAnsi="Arial"/>
                <w:b w:val="0"/>
                <w:i w:val="0"/>
                <w:color w:val="24313D"/>
                <w:sz w:val="18"/>
              </w:rPr>
              <w:t>Listen to the track that matches the workbook or reasoning skill you are about to study.</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AFTER A MISS</w:t>
            </w:r>
          </w:p>
          <w:p>
            <w:r>
              <w:rPr>
                <w:rFonts w:ascii="Arial" w:hAnsi="Arial"/>
                <w:b w:val="0"/>
                <w:i w:val="0"/>
                <w:color w:val="24313D"/>
                <w:sz w:val="18"/>
              </w:rPr>
              <w:t>Use the matching track to restate the decision rule and identify why a tempting answer was premature, unsupported, or outside role.</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FINAL REVIEW</w:t>
            </w:r>
          </w:p>
          <w:p>
            <w:r>
              <w:rPr>
                <w:rFonts w:ascii="Arial" w:hAnsi="Arial"/>
                <w:b w:val="0"/>
                <w:i w:val="0"/>
                <w:color w:val="24313D"/>
                <w:sz w:val="18"/>
              </w:rPr>
              <w:t>Replay Tracks 1 and 8, then select weak-domain tracks using Form A, checkpoint, and error-log data.</w:t>
            </w:r>
          </w:p>
        </w:tc>
        <w:trPr>
          <w:tblHeader/>
        </w:trPr>
      </w:tr>
    </w:tbl>
    <w:p>
      <w:pPr>
        <w:spacing w:before="160"/>
      </w:pPr>
      <w:r>
        <w:rPr>
          <w:rFonts w:ascii="Arial" w:hAnsi="Arial"/>
          <w:b/>
          <w:i w:val="0"/>
          <w:color w:val="17365D"/>
          <w:sz w:val="20"/>
        </w:rPr>
        <w:t>Listening method. Do not treat the playlist as passive background audio. When the narration asks a question, pause and answer aloud. Retrieval, case-section control, and verbal reasoning are the learning tasks.</w:t>
      </w:r>
      <w:r>
        <w:rPr>
          <w:rFonts w:ascii="Arial" w:hAnsi="Arial"/>
          <w:b w:val="0"/>
          <w:i w:val="0"/>
          <w:color w:val="24313D"/>
          <w:sz w:val="20"/>
        </w:rPr>
      </w:r>
    </w:p>
    <w:p>
      <w:r>
        <w:rPr>
          <w:rFonts w:ascii="Arial" w:hAnsi="Arial"/>
          <w:b/>
          <w:i w:val="0"/>
          <w:color w:val="17365D"/>
          <w:sz w:val="20"/>
        </w:rPr>
        <w:t>Scope. These scripts reinforce the CTA LPCC workbooks, practice-bank rationales, quick-reference library, and flashcards. They are educational review materials and do not replace current official examination, licensing, legal, ethical, medical, or emergency guidance.</w:t>
      </w:r>
      <w:r>
        <w:rPr>
          <w:rFonts w:ascii="Arial" w:hAnsi="Arial"/>
          <w:b w:val="0"/>
          <w:i w:val="0"/>
          <w:color w:val="24313D"/>
          <w:sz w:val="20"/>
        </w:rPr>
      </w:r>
    </w:p>
    <w:p>
      <w:pPr>
        <w:pStyle w:val="Heading2"/>
      </w:pPr>
      <w:r>
        <w:t>Recording Standard</w:t>
      </w:r>
    </w:p>
    <w:p>
      <w:pPr>
        <w:pStyle w:val="ListBullet"/>
        <w:spacing w:after="30"/>
      </w:pPr>
      <w:r>
        <w:rPr>
          <w:rFonts w:ascii="Arial" w:hAnsi="Arial"/>
          <w:b w:val="0"/>
          <w:i w:val="0"/>
          <w:color w:val="24313D"/>
          <w:sz w:val="18"/>
        </w:rPr>
        <w:t>Read the narration verbatim in a supportive one-candidate coaching tone.</w:t>
      </w:r>
    </w:p>
    <w:p>
      <w:pPr>
        <w:pStyle w:val="ListBullet"/>
        <w:spacing w:after="30"/>
      </w:pPr>
      <w:r>
        <w:rPr>
          <w:rFonts w:ascii="Arial" w:hAnsi="Arial"/>
          <w:b w:val="0"/>
          <w:i w:val="0"/>
          <w:color w:val="24313D"/>
          <w:sz w:val="18"/>
        </w:rPr>
        <w:t>Allow two to four seconds of silence after each pause prompt.</w:t>
      </w:r>
    </w:p>
    <w:p>
      <w:pPr>
        <w:pStyle w:val="ListBullet"/>
        <w:spacing w:after="30"/>
      </w:pPr>
      <w:r>
        <w:rPr>
          <w:rFonts w:ascii="Arial" w:hAnsi="Arial"/>
          <w:b w:val="0"/>
          <w:i w:val="0"/>
          <w:color w:val="24313D"/>
          <w:sz w:val="18"/>
        </w:rPr>
        <w:t>Keep the final transcript synchronized with the recorded or edited audio.</w:t>
      </w:r>
    </w:p>
    <w:p>
      <w:pPr>
        <w:pStyle w:val="ListBullet"/>
        <w:spacing w:after="30"/>
      </w:pPr>
      <w:r>
        <w:rPr>
          <w:rFonts w:ascii="Arial" w:hAnsi="Arial"/>
          <w:b w:val="0"/>
          <w:i w:val="0"/>
          <w:color w:val="24313D"/>
          <w:sz w:val="18"/>
        </w:rPr>
        <w:t>Do not add unreviewed clinical, legal, medical, or exam-policy claims during recording.</w:t>
      </w:r>
    </w:p>
    <w:p>
      <w:pPr>
        <w:pStyle w:val="Heading2"/>
      </w:pPr>
      <w:r>
        <w:t>Playlist Map</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792"/>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t>
            </w:r>
          </w:p>
        </w:tc>
        <w:tc>
          <w:tcPr>
            <w:tcW w:type="dxa" w:w="4680"/>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Track</w:t>
            </w:r>
          </w:p>
        </w:tc>
        <w:tc>
          <w:tcPr>
            <w:tcW w:type="dxa" w:w="1656"/>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Target</w:t>
            </w:r>
          </w:p>
        </w:tc>
        <w:tc>
          <w:tcPr>
            <w:tcW w:type="dxa" w:w="3384"/>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Workbook Coverage</w:t>
            </w:r>
          </w:p>
        </w:tc>
        <w:trPr>
          <w:tblHeader/>
        </w:trPr>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1</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NCMHCE Case Reasoning: Sections, Qualifiers, and Evidence</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 – NCMHCE Case-Study Strategy and Applied Counselor Reasoning</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2</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Professional Identity, Intake, Assessment, and Differential Reasoning</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WB2 – LPCC Identity, Scope, Competence, and Self-Awareness; WB3: Intake, Consent, Interviewing, MSE, and Integrated Assessment; WB5-WB6: Diagnosis and Differential Diagnosis I-II</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3</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Crisis, Trauma, Abuse, Violence, and Level-of-Care Sequencing</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WB4 – Crisis, Trauma, Abuse, Violence, and Level-of-Care Decisions</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4</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Conceptualization, Planning, Measurement, Progress, and Termination</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WB7 – Conceptualization, Planning, Measurement, Progress, and Termination</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5</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Counseling Theories, Therapeutic Alliance, and Core Skills</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WB8 – Counseling Theories, Alliance, and Core Counseling Skills</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6</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Evidence-Informed Interventions and Context-Responsive Care</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WB9 – Evidence-Based and Evidence-Informed Interventions; WB10: Multicultural, Developmental, Career, Spiritual, Disability, and Context-Responsive Counseling</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7</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Modality, Referral, Collaboration, and California Professional Practice</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WB11 – Individual, Group, Couple/Family, Referral, Continuity, and Collaboration; WB12: California Legal, Ethical, Documentation, Technology, and Professional Practice</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8</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Integrated Review, Error Repair, and Form A/Form B Readiness</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Core + simulations</w:t>
            </w:r>
          </w:p>
        </w:tc>
      </w:tr>
    </w:tbl>
    <w:p>
      <w:r/>
    </w:p>
    <w:p>
      <w:pPr>
        <w:spacing w:after="0"/>
      </w:pPr>
      <w:r>
        <w:rPr>
          <w:rFonts w:ascii="Arial" w:hAnsi="Arial"/>
          <w:b/>
          <w:i w:val="0"/>
          <w:color w:val="1F7A8C"/>
          <w:sz w:val="20"/>
        </w:rPr>
        <w:t>TRACK 1</w:t>
      </w:r>
    </w:p>
    <w:p>
      <w:pPr>
        <w:pStyle w:val="Heading1"/>
        <w:keepNext/>
      </w:pPr>
      <w:r>
        <w:t>NCMHCE Case Reasoning: Sections, Qualifiers, and Evidence</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 NCMHCE Case-Study Strategy and Applied Counselor Reasoning</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Control the task, current case section, available evidence, pacing, and best-supported next action.</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This first track is your NCMHCE reasoning reset. Use it before practice questions, after a discouraging score, or anytime you notice that you are solving the entire story instead of answering the question in front of you. The goal is to identify the task, current case section, controlling evidence, and one best-supported next action.</w:t>
      </w:r>
    </w:p>
    <w:p>
      <w:pPr>
        <w:spacing w:after="100"/>
        <w:ind w:left="259" w:right="259"/>
      </w:pPr>
      <w:r>
        <w:rPr>
          <w:rFonts w:ascii="Arial" w:hAnsi="Arial"/>
          <w:b/>
          <w:i/>
          <w:color w:val="1F7A8C"/>
          <w:sz w:val="19"/>
        </w:rPr>
        <w:t>Take one slow breath. Picture an unfolding three-part case and practice reorienting each time new information appears.</w:t>
      </w:r>
    </w:p>
    <w:p>
      <w:pPr>
        <w:spacing w:after="100"/>
      </w:pPr>
      <w:r>
        <w:rPr>
          <w:rFonts w:ascii="Arial" w:hAnsi="Arial"/>
          <w:b w:val="0"/>
          <w:i w:val="0"/>
          <w:color w:val="24313D"/>
          <w:sz w:val="20"/>
        </w:rPr>
        <w:t>Now shift to Workbook 1, NCMHCE Case-Study Strategy and Applied Counselor Reasoning. The anchor is Case Navigation + Decision Control. The sequence is Task → Section → Evidence → Priority → Best-Supported Action.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Treat each three-part case as an unfolding record. Reorient when new information appears. Second, FIRST, NEXT, BEST, MOST, and LEAST RESTRICTIVE test different decisions; do not treat them as interchangeable. Third, Answer from the current section only. Later information cannot retroactively justify an earlier choice. Together, these rules identify the information that should control the next decision.</w:t>
      </w:r>
    </w:p>
    <w:p>
      <w:pPr>
        <w:spacing w:after="100"/>
      </w:pPr>
      <w:r>
        <w:rPr>
          <w:rFonts w:ascii="Arial" w:hAnsi="Arial"/>
          <w:b w:val="0"/>
          <w:i w:val="0"/>
          <w:color w:val="24313D"/>
          <w:sz w:val="20"/>
        </w:rPr>
        <w:t>The first common trap is Reading for diagnosis before identifying the question task. Another trap is Choosing the most intensive or sophisticated response instead of the best-timed response. A third trap is Changing an answer because later case facts create hindsight rather than because the original evidence supported the change.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is the exact task word? Which case section am I in? What option fits the known facts without assumptions? Do not continue until you can answer using only facts available in the current case section. Your practice action is: For each missed item, record the task word, section, overlooked clue, distractor type, and corrected rule.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In the intake section, a client reports recent panic symptoms, poor sleep, increased caffeine use, and missed work after a sudden job loss. The question asks what the counselor should do next. A definitive panic-disorder diagnosis and a full exposure plan may eventually become appropriate, but the current evidence supports clarifying safety, medical and substance contributors, chronology, impairment, and the client’s immediate goals before moving to diagnosis or intervention.</w:t>
      </w:r>
    </w:p>
    <w:p>
      <w:pPr>
        <w:spacing w:after="100"/>
      </w:pPr>
      <w:r>
        <w:rPr>
          <w:rFonts w:ascii="Arial" w:hAnsi="Arial"/>
          <w:b w:val="0"/>
          <w:i w:val="0"/>
          <w:color w:val="24313D"/>
          <w:sz w:val="20"/>
        </w:rPr>
        <w:t>Pause. State the task word, the current section, the controlling clues, and the best next step. Then explain why a later-stage answer is premature.</w:t>
      </w:r>
    </w:p>
    <w:p>
      <w:pPr>
        <w:spacing w:after="100"/>
        <w:ind w:left="259" w:right="259"/>
      </w:pPr>
      <w:r>
        <w:rPr>
          <w:rFonts w:ascii="Arial" w:hAnsi="Arial"/>
          <w:b/>
          <w:i/>
          <w:color w:val="1F7A8C"/>
          <w:sz w:val="19"/>
        </w:rPr>
        <w:t>When a later section adds new facts, reorient rather than rewriting history. Use the new evidence for the new question. Do not assume that later information proves an earlier answer was justified when the evidence was not yet available.</w:t>
      </w:r>
    </w:p>
    <w:p>
      <w:pPr>
        <w:spacing w:after="100"/>
      </w:pPr>
      <w:r>
        <w:rPr>
          <w:rFonts w:ascii="Arial" w:hAnsi="Arial"/>
          <w:b w:val="0"/>
          <w:i w:val="0"/>
          <w:color w:val="24313D"/>
          <w:sz w:val="20"/>
        </w:rPr>
        <w:t>Before the next practice set, say the sequence aloud: task, section, evidence, priority, best-supported action. Then choose and move forward.</w:t>
      </w:r>
    </w:p>
    <w:p>
      <w:r/>
    </w:p>
    <w:p>
      <w:pPr>
        <w:spacing w:after="0"/>
      </w:pPr>
      <w:r>
        <w:rPr>
          <w:rFonts w:ascii="Arial" w:hAnsi="Arial"/>
          <w:b/>
          <w:i w:val="0"/>
          <w:color w:val="1F7A8C"/>
          <w:sz w:val="20"/>
        </w:rPr>
        <w:t>TRACK 2</w:t>
      </w:r>
    </w:p>
    <w:p>
      <w:pPr>
        <w:pStyle w:val="Heading1"/>
        <w:keepNext/>
      </w:pPr>
      <w:r>
        <w:t>Professional Identity, Intake, Assessment, and Differential Reasoning</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WB2: LPCC Identity, Scope, Competence, and Self-Awareness; WB3: Intake, Consent, Interviewing, MSE, and Integrated Assessment; WB5-WB6: Diagnosis and Differential Diagnosis I-II</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Integrate role, scope, consent, assessment data, chronology, exclusions, and diagnostic uncertainty without premature closure.</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Professional identity, assessment, and diagnosis belong in one disciplined chain. Before selecting a test, label, or treatment, clarify the counselor’s role, legal authority, competence, consent framework, data quality, chronology, exclusions, and the degree of certainty the evidence supports.</w:t>
      </w:r>
    </w:p>
    <w:p>
      <w:pPr>
        <w:spacing w:after="100"/>
        <w:ind w:left="259" w:right="259"/>
      </w:pPr>
      <w:r>
        <w:rPr>
          <w:rFonts w:ascii="Arial" w:hAnsi="Arial"/>
          <w:b/>
          <w:i/>
          <w:color w:val="1F7A8C"/>
          <w:sz w:val="19"/>
        </w:rPr>
        <w:t>Take one slow breath. As you listen, separate what is observed, what is reported, what is inferred, and what is still missing.</w:t>
      </w:r>
    </w:p>
    <w:p>
      <w:pPr>
        <w:spacing w:after="100"/>
      </w:pPr>
      <w:r>
        <w:rPr>
          <w:rFonts w:ascii="Arial" w:hAnsi="Arial"/>
          <w:b w:val="0"/>
          <w:i w:val="0"/>
          <w:color w:val="24313D"/>
          <w:sz w:val="20"/>
        </w:rPr>
        <w:t>Now shift to Workbook 2, LPCC Identity, Scope, Competence, and Self-Awareness. The anchor is Professional Responsibility Sequence. The sequence is Legal Authority → Actual Competence → Self-Awareness → Client Protection.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Confirm that the activity is legally within the LPCC role before asking whether the counselor is competent to provide it. Second, Competence depends on relevant education, training, supervised experience, skill, and current circumstances—not confidence alone. Third, Use consultation, supervision, training, collaboration, modification, referral, or transfer in proportion to the limitation and risk. Together, these rules identify the information that should control the next decision.</w:t>
      </w:r>
    </w:p>
    <w:p>
      <w:pPr>
        <w:spacing w:after="100"/>
      </w:pPr>
      <w:r>
        <w:rPr>
          <w:rFonts w:ascii="Arial" w:hAnsi="Arial"/>
          <w:b w:val="0"/>
          <w:i w:val="0"/>
          <w:color w:val="24313D"/>
          <w:sz w:val="20"/>
        </w:rPr>
        <w:t>The first common trap is Assuming licensure, years of experience, client consent, or supervisor approval expands statutory scope. Another trap is Treating countertransference, bias, stress, or impairment as moral failure rather than information requiring assessment and action. A third trap is Referring automatically when supported care could protect the client—or continuing when a safe correction is not possible.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Is the service legally authorized for this role? What evidence supports current competence? What protective response matches the actual risk? Do not continue until you can answer using only facts available in the current case section. Your practice action is: State the difference between scope of practice and scope of competence, then name one proportionate corrective action.</w:t>
      </w:r>
    </w:p>
    <w:p>
      <w:pPr>
        <w:spacing w:after="100"/>
      </w:pPr>
      <w:r>
        <w:rPr>
          <w:rFonts w:ascii="Arial" w:hAnsi="Arial"/>
          <w:b w:val="0"/>
          <w:i w:val="0"/>
          <w:color w:val="24313D"/>
          <w:sz w:val="20"/>
        </w:rPr>
        <w:t>Now shift to Workbook 3, Intake, Consent, Interviewing, MSE, and Integrated Assessment. The anchor is Intake + Assessment Sequence. The sequence is Client/Consent → Engage → Screen → Clarify → Integrate → Plan.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Establish who the client is, purpose of services, participants, privacy limits, communication expectations, and informed consent. Second, Move from broad, respectful inquiry to focused clarification; explain sensitive questions and preserve choice. Third, Separate MSE observation from inference, integrate multiple sources, and use tools only when they improve a clinical decision. Together, these rules identify the information that should control the next decision.</w:t>
      </w:r>
    </w:p>
    <w:p>
      <w:pPr>
        <w:spacing w:after="100"/>
      </w:pPr>
      <w:r>
        <w:rPr>
          <w:rFonts w:ascii="Arial" w:hAnsi="Arial"/>
          <w:b w:val="0"/>
          <w:i w:val="0"/>
          <w:color w:val="24313D"/>
          <w:sz w:val="20"/>
        </w:rPr>
        <w:t>The first common trap is Collecting extensive history or collateral information before purpose, consent, and authorization are clear. Another trap is Treating one test score, one behavior, or one cultural assumption as the whole assessment. A third trap is Documenting diagnostic conclusions that exceed the available timeline, corroboration, or observed evidence. Each distractor may sound clinically reasonable. The weakness is usually evidence, sequence, role, context, feasibility, or follow-up.</w:t>
      </w:r>
    </w:p>
    <w:p>
      <w:pPr>
        <w:spacing w:after="100"/>
      </w:pPr>
      <w:r>
        <w:rPr>
          <w:rFonts w:ascii="Arial" w:hAnsi="Arial"/>
          <w:b w:val="0"/>
          <w:i w:val="0"/>
          <w:color w:val="24313D"/>
          <w:sz w:val="20"/>
        </w:rPr>
        <w:t>Pause and answer aloud. What intake structure must be clarified first? What is observed, reported, inferred, or still missing? Will this question, measure, or collateral source change the next decision? Do not continue until you can answer using only facts available in the current case section. Your practice action is: Write a six-domain assessment note: presenting concern, context, functioning, risk, strengths, and missing data.</w:t>
      </w:r>
    </w:p>
    <w:p>
      <w:pPr>
        <w:spacing w:after="100"/>
        <w:ind w:left="259" w:right="259"/>
      </w:pPr>
      <w:r>
        <w:rPr>
          <w:rFonts w:ascii="Arial" w:hAnsi="Arial"/>
          <w:b/>
          <w:i/>
          <w:color w:val="1F7A8C"/>
          <w:sz w:val="19"/>
        </w:rPr>
        <w:t>Now shift to Workbook 5, Diagnosis and Differential Diagnosis I. The anchor is Working Diagnostic Formulation. The sequence is Pattern → Timeline → Impact → Exclusions → Alternatives → Status.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Diagnosis is a working conclusion based on syndrome pattern, duration, severity, impairment, context, and exclusions. Second, Differentiate by chronology and mechanism: episodic activation versus chronic anxiety; intrusion and avoidance versus psychosis; obsession and compulsion versus generalized worry. Third, Use provisional, rule-out, other specified, unspecified, and deferred status only when the evidence supports that level of certainty. Together, these rules identify the information that should control the next decision.</w:t>
      </w:r>
    </w:p>
    <w:p>
      <w:pPr>
        <w:spacing w:after="100"/>
      </w:pPr>
      <w:r>
        <w:rPr>
          <w:rFonts w:ascii="Arial" w:hAnsi="Arial"/>
          <w:b w:val="0"/>
          <w:i w:val="0"/>
          <w:color w:val="24313D"/>
          <w:sz w:val="20"/>
        </w:rPr>
        <w:t>The first common trap is Diagnosing from the most dramatic symptom or selecting the most severe-sounding label. Another trap is Ignoring baseline, sleep, substances, medications, medical conditions, trauma timing, or periods of remission. A third trap is Forcing one diagnosis to explain cultural meaning, relational context, environmental stress, or co-occurring conditions. Each distractor may sound clinically reasonable. The weakness is usually evidence, sequence, role, context, feasibility, or follow-up.</w:t>
      </w:r>
    </w:p>
    <w:p>
      <w:pPr>
        <w:spacing w:after="100"/>
      </w:pPr>
      <w:r>
        <w:rPr>
          <w:rFonts w:ascii="Arial" w:hAnsi="Arial"/>
          <w:b w:val="0"/>
          <w:i w:val="0"/>
          <w:color w:val="24313D"/>
          <w:sz w:val="20"/>
        </w:rPr>
        <w:t>Pause and answer aloud. What is the full pattern and chronology? Which exclusion or competing explanation remains? Is the evidence sufficient to diagnose, gather more, or refer? Do not continue until you can answer using only facts available in the current case section. Your practice action is: Write one working formulation, two competing explanations, and the next fact needed to distinguish them.</w:t>
      </w:r>
    </w:p>
    <w:p>
      <w:pPr>
        <w:spacing w:after="100"/>
      </w:pPr>
      <w:r>
        <w:rPr>
          <w:rFonts w:ascii="Arial" w:hAnsi="Arial"/>
          <w:b w:val="0"/>
          <w:i w:val="0"/>
          <w:color w:val="24313D"/>
          <w:sz w:val="20"/>
        </w:rPr>
        <w:t>Now shift to Workbook 6, Diagnosis and Differential Diagnosis II. The anchor is Complex Differential Sequence. The sequence is Urgency → Substance/Medical → Development/Pattern → Comorbidity → Care Level. Do not worry about reciting every symbol. Use the sequence as a mental path that identifies the current task and prevents a later-stage answer from arriving too early.</w:t>
      </w:r>
    </w:p>
    <w:p>
      <w:pPr>
        <w:spacing w:after="100"/>
        <w:ind w:left="259" w:right="259"/>
      </w:pPr>
      <w:r>
        <w:rPr>
          <w:rFonts w:ascii="Arial" w:hAnsi="Arial"/>
          <w:b/>
          <w:i/>
          <w:color w:val="1F7A8C"/>
          <w:sz w:val="19"/>
        </w:rPr>
        <w:t>First, Address intoxication, withdrawal, delirium, severe nutritional compromise, medication effects, and other medical red flags before routine diagnosis. Second, Personality and neurodevelopmental formulations require longitudinal, cross-context patterns—not one difficult interaction. Third, Assess co-occurrence, functional impact, stage of change, and the need for coordinated or specialized care. Together, these rules identify the information that should control the next decision.</w:t>
      </w:r>
    </w:p>
    <w:p>
      <w:pPr>
        <w:spacing w:after="100"/>
      </w:pPr>
      <w:r>
        <w:rPr>
          <w:rFonts w:ascii="Arial" w:hAnsi="Arial"/>
          <w:b w:val="0"/>
          <w:i w:val="0"/>
          <w:color w:val="24313D"/>
          <w:sz w:val="20"/>
        </w:rPr>
        <w:t>The first common trap is Calling behavior manipulative, resistant, or personality-disordered without developmental and contextual assessment. Another trap is Assuming a psychiatric explanation when sleep, substance, neurological, endocrine, medication, or other medical factors remain plausible. A third trap is Using outpatient talk therapy as the default when withdrawal risk, eating-disorder acuity, psychosis, or medical instability requires more. Each distractor may sound clinically reasonable. The weakness is usually evidence, sequence, role, context, feasibility, or follow-up.</w:t>
      </w:r>
    </w:p>
    <w:p>
      <w:pPr>
        <w:spacing w:after="100"/>
      </w:pPr>
      <w:r>
        <w:rPr>
          <w:rFonts w:ascii="Arial" w:hAnsi="Arial"/>
          <w:b w:val="0"/>
          <w:i w:val="0"/>
          <w:color w:val="24313D"/>
          <w:sz w:val="20"/>
        </w:rPr>
        <w:t>Pause and answer aloud. Is there a medical or withdrawal priority? Is the pattern persistent across time and settings? What co-occurring condition or care-level need changes the plan? Do not continue until you can answer using only facts available in the current case section. Your practice action is: Build a differential grid with evidence for, evidence against, missing data, urgency, and referral or coordination needs.</w:t>
      </w:r>
    </w:p>
    <w:p>
      <w:pPr>
        <w:spacing w:after="100"/>
      </w:pPr>
      <w:r>
        <w:rPr>
          <w:rFonts w:ascii="Arial" w:hAnsi="Arial"/>
          <w:b w:val="0"/>
          <w:i w:val="0"/>
          <w:color w:val="24313D"/>
          <w:sz w:val="20"/>
        </w:rPr>
        <w:t>Now apply the combined reasoning to a short scenario.</w:t>
      </w:r>
    </w:p>
    <w:p>
      <w:pPr>
        <w:spacing w:after="100"/>
        <w:ind w:left="259" w:right="259"/>
      </w:pPr>
      <w:r>
        <w:rPr>
          <w:rFonts w:ascii="Arial" w:hAnsi="Arial"/>
          <w:b/>
          <w:i/>
          <w:color w:val="1F7A8C"/>
          <w:sz w:val="19"/>
        </w:rPr>
        <w:t>A client reports decreased need for sleep, rapid speech, irritability, impulsive spending, heavy stimulant use, and symptoms that began soon after a medication change. The counselor should not give medication advice, assume bipolar disorder from one cluster, or ignore possible medical and substance contributions. Clarify urgency, timeline, baseline, prior episodes, substances, medications, functioning, psychosis, and safety; coordinate appropriate medical evaluation; and use a working or provisional formulation supported by the available evidence.</w:t>
      </w:r>
    </w:p>
    <w:p>
      <w:pPr>
        <w:spacing w:after="100"/>
      </w:pPr>
      <w:r>
        <w:rPr>
          <w:rFonts w:ascii="Arial" w:hAnsi="Arial"/>
          <w:b w:val="0"/>
          <w:i w:val="0"/>
          <w:color w:val="24313D"/>
          <w:sz w:val="20"/>
        </w:rPr>
        <w:t>The integrated rule is simple: legal role first, consent and structure next, observations before inferences, chronology before certainty, medical and substance exclusions before closure, and coordinated care when complexity or acuity requires it.</w:t>
      </w:r>
    </w:p>
    <w:p>
      <w:r/>
    </w:p>
    <w:p>
      <w:pPr>
        <w:spacing w:after="0"/>
      </w:pPr>
      <w:r>
        <w:rPr>
          <w:rFonts w:ascii="Arial" w:hAnsi="Arial"/>
          <w:b/>
          <w:i w:val="0"/>
          <w:color w:val="1F7A8C"/>
          <w:sz w:val="20"/>
        </w:rPr>
        <w:t>TRACK 3</w:t>
      </w:r>
    </w:p>
    <w:p>
      <w:pPr>
        <w:pStyle w:val="Heading1"/>
        <w:keepNext/>
      </w:pPr>
      <w:r>
        <w:t>Crisis, Trauma, Abuse, Violence, and Level-of-Care Sequencing</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WB4: Crisis, Trauma, Abuse, Violence, and Level-of-Care Decisions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Move from vague danger language to direct assessment, proportionate protection, operational planning, documentation, and follow-up.</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Crisis questions become manageable when you stop asking whether the client is generally high risk and start asking which specific facts control the next step. Direct assessment is not automatic hospitalization. A possible reportable concern is not a completed investigation. The exam rewards accurate thresholds, proportionate protection, and an operational plan.</w:t>
      </w:r>
    </w:p>
    <w:p>
      <w:pPr>
        <w:spacing w:after="100"/>
        <w:ind w:left="259" w:right="259"/>
      </w:pPr>
      <w:r>
        <w:rPr>
          <w:rFonts w:ascii="Arial" w:hAnsi="Arial"/>
          <w:b/>
          <w:i/>
          <w:color w:val="1F7A8C"/>
          <w:sz w:val="19"/>
        </w:rPr>
        <w:t>Take one slow breath. Picture the client’s current location, access to means, reachability, supports, and the action that can actually be completed.</w:t>
      </w:r>
    </w:p>
    <w:p>
      <w:pPr>
        <w:spacing w:after="100"/>
      </w:pPr>
      <w:r>
        <w:rPr>
          <w:rFonts w:ascii="Arial" w:hAnsi="Arial"/>
          <w:b w:val="0"/>
          <w:i w:val="0"/>
          <w:color w:val="24313D"/>
          <w:sz w:val="20"/>
        </w:rPr>
        <w:t>Now shift to Workbook 4, Crisis, Trauma, Abuse, Violence, and Level-of-Care Decisions. The anchor is SAFER Crisis Sequence. The sequence is Stabilize → Assess Directly → Formulate Acuity → Execute → Reconnect/Record.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When risk is unclear, assess directly. When imminent danger, medical urgency, or a controlling duty is established, act proportionately. Second, Translate labels into facts: ideation, intent, plan, means, timing, history, capacity, exposure, protective factors, location, and reachability. Third, Match level of care to acuity and feasibility; include handoff, continuity, documentation, and follow-up. Together, these rules identify the information that should control the next decision.</w:t>
      </w:r>
    </w:p>
    <w:p>
      <w:pPr>
        <w:spacing w:after="100"/>
      </w:pPr>
      <w:r>
        <w:rPr>
          <w:rFonts w:ascii="Arial" w:hAnsi="Arial"/>
          <w:b w:val="0"/>
          <w:i w:val="0"/>
          <w:color w:val="24313D"/>
          <w:sz w:val="20"/>
        </w:rPr>
        <w:t>The first common trap is Using reassurance, a no-harm promise, or a generic resource list instead of direct assessment. Another trap is Selecting the most restrictive option before evaluating threshold, capacity, supports, and feasible alternatives. A third trap is Pressing trauma detail, confronting a possible victim, or delaying a required protective or reporting response.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immediate signal needs clarification? What facts determine acuity, duty, and level of care? Can the safety plan actually be reached and used? Do not continue until you can answer using only facts available in the current case section. Your practice action is: Practice stating the next two direct questions and the threshold that would change the response.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During telehealth, a client says, “Everyone would be better off without me,” then the connection drops. The counselor knows the client recently moved but does not have a confirmed current address. The next step is not routine exploration or a generic hotline message. Attempt immediate reconnection, conduct direct risk assessment when contact is restored, use the emergency and location information available, activate proportionate emergency procedures when the threshold is met, and document attempts, rationale, handoff, and follow-up.</w:t>
      </w:r>
    </w:p>
    <w:p>
      <w:pPr>
        <w:spacing w:after="100"/>
      </w:pPr>
      <w:r>
        <w:rPr>
          <w:rFonts w:ascii="Arial" w:hAnsi="Arial"/>
          <w:b w:val="0"/>
          <w:i w:val="0"/>
          <w:color w:val="24313D"/>
          <w:sz w:val="20"/>
        </w:rPr>
        <w:t>Pause. Name the immediate signal, the missing operational fact, the threshold that changes the response, and the least restrictive safe action that can actually be carried out.</w:t>
      </w:r>
    </w:p>
    <w:p>
      <w:pPr>
        <w:spacing w:after="100"/>
        <w:ind w:left="259" w:right="259"/>
      </w:pPr>
      <w:r>
        <w:rPr>
          <w:rFonts w:ascii="Arial" w:hAnsi="Arial"/>
          <w:b/>
          <w:i/>
          <w:color w:val="1F7A8C"/>
          <w:sz w:val="19"/>
        </w:rPr>
        <w:t>For trauma, abuse, and violence questions, do not press for unnecessary detail, confront a possible victim, or confuse counseling assessment with investigation. Identify current safety, reporting or protection duties, medical needs, consent, and the next defensible action.</w:t>
      </w:r>
    </w:p>
    <w:p>
      <w:pPr>
        <w:spacing w:after="100"/>
      </w:pPr>
      <w:r>
        <w:rPr>
          <w:rFonts w:ascii="Arial" w:hAnsi="Arial"/>
          <w:b w:val="0"/>
          <w:i w:val="0"/>
          <w:color w:val="24313D"/>
          <w:sz w:val="20"/>
        </w:rPr>
        <w:t>Practice naming the next two direct questions before naming an intervention. Then add location, access, responsibility, handoff, documentation, and follow-up.</w:t>
      </w:r>
    </w:p>
    <w:p>
      <w:r/>
    </w:p>
    <w:p>
      <w:pPr>
        <w:spacing w:after="0"/>
      </w:pPr>
      <w:r>
        <w:rPr>
          <w:rFonts w:ascii="Arial" w:hAnsi="Arial"/>
          <w:b/>
          <w:i w:val="0"/>
          <w:color w:val="1F7A8C"/>
          <w:sz w:val="20"/>
        </w:rPr>
        <w:t>TRACK 4</w:t>
      </w:r>
    </w:p>
    <w:p>
      <w:pPr>
        <w:pStyle w:val="Heading1"/>
        <w:keepNext/>
      </w:pPr>
      <w:r>
        <w:t>Conceptualization, Planning, Measurement, Progress, and Termination</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WB7: Conceptualization, Planning, Measurement, Progress, and Termination</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Build a defensible chain from formulation to measurable care, course correction, transition, and continuity.</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A treatment plan is not a list of techniques. It is a defensible chain from formulation to collaborative goal, measurable objective, intervention, measure, review, and transition. Planning questions often include a tempting method that may be effective in general but is not connected to the stated maintaining factor or current barrier.</w:t>
      </w:r>
    </w:p>
    <w:p>
      <w:pPr>
        <w:spacing w:after="100"/>
        <w:ind w:left="259" w:right="259"/>
      </w:pPr>
      <w:r>
        <w:rPr>
          <w:rFonts w:ascii="Arial" w:hAnsi="Arial"/>
          <w:b/>
          <w:i/>
          <w:color w:val="1F7A8C"/>
          <w:sz w:val="19"/>
        </w:rPr>
        <w:t>Take one slow breath. Picture the clinical chain and ask whether every link is supported by the assessment.</w:t>
      </w:r>
    </w:p>
    <w:p>
      <w:pPr>
        <w:spacing w:after="100"/>
      </w:pPr>
      <w:r>
        <w:rPr>
          <w:rFonts w:ascii="Arial" w:hAnsi="Arial"/>
          <w:b w:val="0"/>
          <w:i w:val="0"/>
          <w:color w:val="24313D"/>
          <w:sz w:val="20"/>
        </w:rPr>
        <w:t>Now shift to Workbook 7, Conceptualization, Planning, Measurement, Progress, and Termination. The anchor is Plan-Review-Continuity Loop. The sequence is Formulation → Goals → Objectives → Intervention → Measure → Review → Transition.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Connect presenting problems, contributing and maintaining factors, strengths, barriers, and protective factors to the plan. Second, Make goals collaborative and meaningful; make objectives observable, time-linked, and feasible; select interventions that target the stated mechanism. Third, Use baseline and repeated data. Nonresponse triggers reassessment of formulation, alliance, implementation, access, dose, and level of care. Together, these rules identify the information that should control the next decision.</w:t>
      </w:r>
    </w:p>
    <w:p>
      <w:pPr>
        <w:spacing w:after="100"/>
      </w:pPr>
      <w:r>
        <w:rPr>
          <w:rFonts w:ascii="Arial" w:hAnsi="Arial"/>
          <w:b w:val="0"/>
          <w:i w:val="0"/>
          <w:color w:val="24313D"/>
          <w:sz w:val="20"/>
        </w:rPr>
        <w:t>The first common trap is Writing vague goals such as “feel better” without indicators, timing, or client-defined meaning. Another trap is Changing techniques repeatedly without checking whether the original plan was implemented or accessible. A third trap is Ending solely because symptoms improved, attendance declined, or coverage changed without continuity, relapse prevention, and follow-up.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mechanism or barrier is the plan targeting? How will change be measured and when reviewed? What transition or relapse-prevention step protects continuity? Do not continue until you can answer using only facts available in the current case section. Your practice action is: Complete one chain: formulation factor → goal → measurable objective → intervention → measure → review date.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has attended six sessions for depression and work-related stress. The plan says only “improve mood,” attendance is inconsistent, and the client reports no change. The next step is not to add an unrelated technique or label the client unmotivated. Reassess the formulation, alliance, access, implementation, risk, and treatment dose; rewrite the goal and objectives in observable terms; choose a mechanism-linked intervention; and establish a review point.</w:t>
      </w:r>
    </w:p>
    <w:p>
      <w:pPr>
        <w:spacing w:after="100"/>
      </w:pPr>
      <w:r>
        <w:rPr>
          <w:rFonts w:ascii="Arial" w:hAnsi="Arial"/>
          <w:b w:val="0"/>
          <w:i w:val="0"/>
          <w:color w:val="24313D"/>
          <w:sz w:val="20"/>
        </w:rPr>
        <w:t>Pause. State the maintaining factor, the measurable goal, the intervention link, and the result that would support continuing or revising the plan.</w:t>
      </w:r>
    </w:p>
    <w:p>
      <w:pPr>
        <w:spacing w:after="100"/>
        <w:ind w:left="259" w:right="259"/>
      </w:pPr>
      <w:r>
        <w:rPr>
          <w:rFonts w:ascii="Arial" w:hAnsi="Arial"/>
          <w:b/>
          <w:i/>
          <w:color w:val="1F7A8C"/>
          <w:sz w:val="19"/>
        </w:rPr>
        <w:t>When progress is limited, ask whether the diagnosis, target, method, delivery, access, intensity, or level of care is wrong. When care is ending, plan continuity, relapse prevention, referrals when needed, review of gains, and follow-up rather than abrupt discharge.</w:t>
      </w:r>
    </w:p>
    <w:p>
      <w:pPr>
        <w:spacing w:after="100"/>
      </w:pPr>
      <w:r>
        <w:rPr>
          <w:rFonts w:ascii="Arial" w:hAnsi="Arial"/>
          <w:b w:val="0"/>
          <w:i w:val="0"/>
          <w:color w:val="24313D"/>
          <w:sz w:val="20"/>
        </w:rPr>
        <w:t>Before the next bank, complete one chain aloud: formulation factor, goal, objective, intervention, measure, review date, and transition plan.</w:t>
      </w:r>
    </w:p>
    <w:p>
      <w:r/>
    </w:p>
    <w:p>
      <w:pPr>
        <w:spacing w:after="0"/>
      </w:pPr>
      <w:r>
        <w:rPr>
          <w:rFonts w:ascii="Arial" w:hAnsi="Arial"/>
          <w:b/>
          <w:i w:val="0"/>
          <w:color w:val="1F7A8C"/>
          <w:sz w:val="20"/>
        </w:rPr>
        <w:t>TRACK 5</w:t>
      </w:r>
    </w:p>
    <w:p>
      <w:pPr>
        <w:pStyle w:val="Heading1"/>
        <w:keepNext/>
      </w:pPr>
      <w:r>
        <w:t>Counseling Theories, Therapeutic Alliance, and Core Skills</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WB8: Counseling Theories, Alliance, and Core Counseling Skills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Use theory as a testable formulation map and choose relationship responses and micro-skills that fit the clinical moment.</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Theory questions are not vocabulary contests. Theory should explain a maintaining mechanism and predict why a particular counselor response may help. Skill questions ask what the relationship needs now: empathy, clarification, structure, immediacy, discrepancy, psychoeducation, repair, or collaborative problem solving.</w:t>
      </w:r>
    </w:p>
    <w:p>
      <w:pPr>
        <w:spacing w:after="100"/>
        <w:ind w:left="259" w:right="259"/>
      </w:pPr>
      <w:r>
        <w:rPr>
          <w:rFonts w:ascii="Arial" w:hAnsi="Arial"/>
          <w:b/>
          <w:i/>
          <w:color w:val="1F7A8C"/>
          <w:sz w:val="19"/>
        </w:rPr>
        <w:t>Take one slow breath. Picture the client’s meaning, the maintaining pattern, and the alliance need before selecting a technique.</w:t>
      </w:r>
    </w:p>
    <w:p>
      <w:pPr>
        <w:spacing w:after="100"/>
      </w:pPr>
      <w:r>
        <w:rPr>
          <w:rFonts w:ascii="Arial" w:hAnsi="Arial"/>
          <w:b w:val="0"/>
          <w:i w:val="0"/>
          <w:color w:val="24313D"/>
          <w:sz w:val="20"/>
        </w:rPr>
        <w:t>Now shift to Workbook 8, Counseling Theories, Alliance, and Core Counseling Skills. The anchor is Theory + Relationship Fit. The sequence is Client Meaning → Maintaining Mechanism → Alliance Need → Theory-Consistent Skill → Response.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Theory is a testable map linking observations, mechanism, target, intervention, and expected response. Second, Alliance requires empathy, collaboration, cultural humility, boundaries, and repair—not agreement with every belief or avoidance of challenge. Third, Choose the micro-skill that fits the moment: reflection, clarification, immediacy, summarizing, gentle discrepancy, psychoeducation, or collaborative problem solving. Together, these rules identify the information that should control the next decision.</w:t>
      </w:r>
    </w:p>
    <w:p>
      <w:pPr>
        <w:spacing w:after="100"/>
      </w:pPr>
      <w:r>
        <w:rPr>
          <w:rFonts w:ascii="Arial" w:hAnsi="Arial"/>
          <w:b w:val="0"/>
          <w:i w:val="0"/>
          <w:color w:val="24313D"/>
          <w:sz w:val="20"/>
        </w:rPr>
        <w:t>The first common trap is Matching a diagnosis or vocabulary word to a theory without identifying the mechanism. Another trap is Using confrontation, interpretation, advice, or silence before sufficient safety and alliance exist. A third trap is Treating rupture as client resistance rather than checking counselor impact, misunderstanding, power, culture, and treatment fit.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mechanism is the theory explaining? What does the alliance need in this moment? Which skill advances the client’s goal without exceeding readiness? Do not continue until you can answer using only facts available in the current case section. Your practice action is: For one vignette, name the mechanism, alliance task, selected skill, and expected observable response.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says, “You keep turning everything into an individual coping problem. You do not understand what discrimination at work is doing to me.” The strongest next response is not to defend the treatment model, interpret resistance, or immediately change techniques. Acknowledge the impact, invite correction, clarify the client’s meaning and goals, examine the counselor’s assumptions and power in the relationship, and repair the formulation collaboratively.</w:t>
      </w:r>
    </w:p>
    <w:p>
      <w:pPr>
        <w:spacing w:after="100"/>
      </w:pPr>
      <w:r>
        <w:rPr>
          <w:rFonts w:ascii="Arial" w:hAnsi="Arial"/>
          <w:b w:val="0"/>
          <w:i w:val="0"/>
          <w:color w:val="24313D"/>
          <w:sz w:val="20"/>
        </w:rPr>
        <w:t>Pause. Name the alliance rupture, the maintaining mechanism or context that may have been missed, and the skill that advances the client’s goal without exceeding readiness.</w:t>
      </w:r>
    </w:p>
    <w:p>
      <w:pPr>
        <w:spacing w:after="100"/>
        <w:ind w:left="259" w:right="259"/>
      </w:pPr>
      <w:r>
        <w:rPr>
          <w:rFonts w:ascii="Arial" w:hAnsi="Arial"/>
          <w:b/>
          <w:i/>
          <w:color w:val="1F7A8C"/>
          <w:sz w:val="19"/>
        </w:rPr>
        <w:t>Use reflection before advice when meaning is still emerging. Use clarification before interpretation when facts are uncertain. Use gentle discrepancy when ambivalence is established and the alliance can support it. Use immediacy when the in-session pattern is clinically relevant and can be addressed safely.</w:t>
      </w:r>
    </w:p>
    <w:p>
      <w:pPr>
        <w:spacing w:after="100"/>
      </w:pPr>
      <w:r>
        <w:rPr>
          <w:rFonts w:ascii="Arial" w:hAnsi="Arial"/>
          <w:b w:val="0"/>
          <w:i w:val="0"/>
          <w:color w:val="24313D"/>
          <w:sz w:val="20"/>
        </w:rPr>
        <w:t>For every theory or skill item, complete this sentence: Because the counselor hypothesizes that blank maintains the problem, the next response should blank, and progress would look like blank.</w:t>
      </w:r>
    </w:p>
    <w:p>
      <w:r/>
    </w:p>
    <w:p>
      <w:pPr>
        <w:spacing w:after="0"/>
      </w:pPr>
      <w:r>
        <w:rPr>
          <w:rFonts w:ascii="Arial" w:hAnsi="Arial"/>
          <w:b/>
          <w:i w:val="0"/>
          <w:color w:val="1F7A8C"/>
          <w:sz w:val="20"/>
        </w:rPr>
        <w:t>TRACK 6</w:t>
      </w:r>
    </w:p>
    <w:p>
      <w:pPr>
        <w:pStyle w:val="Heading1"/>
        <w:keepNext/>
      </w:pPr>
      <w:r>
        <w:t>Evidence-Informed Interventions and Context-Responsive Care</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WB9: Evidence-Based and Evidence-Informed Interventions; WB10: Multicultural, Developmental, Career, Spiritual, Disability, and Context-Responsive Counseling</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Match method, dose, adaptation, access, and measurement to the target, mechanism, readiness, and client-defined context.</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Intervention questions usually offer several methods that sound evidence-informed. The exam is not asking which treatment is globally best. It is asking which response fits this target, mechanism, readiness level, culture, access conditions, counselor competence, and current stage of care.</w:t>
      </w:r>
    </w:p>
    <w:p>
      <w:pPr>
        <w:spacing w:after="100"/>
        <w:ind w:left="259" w:right="259"/>
      </w:pPr>
      <w:r>
        <w:rPr>
          <w:rFonts w:ascii="Arial" w:hAnsi="Arial"/>
          <w:b/>
          <w:i/>
          <w:color w:val="1F7A8C"/>
          <w:sz w:val="19"/>
        </w:rPr>
        <w:t>Take one slow breath. Before choosing a method, name the target and the mechanism it is intended to change.</w:t>
      </w:r>
    </w:p>
    <w:p>
      <w:pPr>
        <w:spacing w:after="100"/>
      </w:pPr>
      <w:r>
        <w:rPr>
          <w:rFonts w:ascii="Arial" w:hAnsi="Arial"/>
          <w:b w:val="0"/>
          <w:i w:val="0"/>
          <w:color w:val="24313D"/>
          <w:sz w:val="20"/>
        </w:rPr>
        <w:t>Now shift to Workbook 9, Evidence-Based and Evidence-Informed Interventions. The anchor is Intervention Fit Sequence. The sequence is Safety → Target → Mechanism → Readiness → Method/Dose → Measure → Adjust.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Evidence-based care integrates research, counselor competence, clinical judgment, client characteristics, values, preferences, and context. Second, Match the method to a defined target and mechanism; sequence stabilization, skills, exposure or processing, recovery, or relapse prevention deliberately. Third, For nonresponse, reassess diagnosis, risk, alliance, adherence, access, treatment dose, competing needs, and care level before technique shopping. Together, these rules identify the information that should control the next decision.</w:t>
      </w:r>
    </w:p>
    <w:p>
      <w:pPr>
        <w:spacing w:after="100"/>
      </w:pPr>
      <w:r>
        <w:rPr>
          <w:rFonts w:ascii="Arial" w:hAnsi="Arial"/>
          <w:b w:val="0"/>
          <w:i w:val="0"/>
          <w:color w:val="24313D"/>
          <w:sz w:val="20"/>
        </w:rPr>
        <w:t>The first common trap is Choosing a familiar intervention because it is popular rather than because it fits the formulation. Another trap is Beginning exposure, trauma processing, conjoint work, or behavior change before safety, consent, readiness, and implementation supports are present. A third trap is Calling an intervention ineffective without measuring fidelity, participation, barriers, and outcome.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exact target and mechanism must change? Is the client ready and able to use this method? What result and review point will show whether to continue or adjust? Do not continue until the method, dose, and review point are linked to the formulation.</w:t>
      </w:r>
    </w:p>
    <w:p>
      <w:pPr>
        <w:spacing w:after="100"/>
      </w:pPr>
      <w:r>
        <w:rPr>
          <w:rFonts w:ascii="Arial" w:hAnsi="Arial"/>
          <w:b w:val="0"/>
          <w:i w:val="0"/>
          <w:color w:val="24313D"/>
          <w:sz w:val="20"/>
        </w:rPr>
        <w:t>Your practice action is: Write a target-mechanism-method-measure statement for one intervention.</w:t>
      </w:r>
    </w:p>
    <w:p>
      <w:pPr>
        <w:spacing w:after="100"/>
      </w:pPr>
      <w:r>
        <w:rPr>
          <w:rFonts w:ascii="Arial" w:hAnsi="Arial"/>
          <w:b w:val="0"/>
          <w:i w:val="0"/>
          <w:color w:val="24313D"/>
          <w:sz w:val="20"/>
        </w:rPr>
        <w:t>Now shift to Workbook 10, Multicultural, Developmental, Career, Spiritual, Disability, and Context-Responsive Counseling. The anchor is Ask-Adapt-Access-Evaluate. The sequence is Client Meaning → Power/Context → Development → Adaptation → Access → Outcome.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Ask how the client understands identity, distress, family and community expectations, spirituality, work, disability, and help-seeking. Second, Context must change delivery: language, pacing, examples, modality, participants, materials, goals, and decision-making process. Third, Treat cost, transportation, technology, housing, work schedules, caregiving, language, discrimination, and disability access as treatment variables. Together, these rules identify the information that should control the next decision.</w:t>
      </w:r>
    </w:p>
    <w:p>
      <w:pPr>
        <w:spacing w:after="100"/>
      </w:pPr>
      <w:r>
        <w:rPr>
          <w:rFonts w:ascii="Arial" w:hAnsi="Arial"/>
          <w:b w:val="0"/>
          <w:i w:val="0"/>
          <w:color w:val="24313D"/>
          <w:sz w:val="20"/>
        </w:rPr>
        <w:t>The first common trap is Assuming needs, values, or preferences from a demographic category or developmental label. Another trap is Pathologizing culturally meaningful behavior, spiritual belief, disability response, or career concern without impairment and context. A third trap is Labeling missed appointments or limited follow-through as resistance when access, power, safety, or accommodation is the controlling issue.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What meaning does the client assign to this issue? What power, developmental, or access condition changes delivery? What concrete adaptation will be evaluated? Do not continue until the adaptation is concrete and measurable.</w:t>
      </w:r>
    </w:p>
    <w:p>
      <w:pPr>
        <w:spacing w:after="100"/>
      </w:pPr>
      <w:r>
        <w:rPr>
          <w:rFonts w:ascii="Arial" w:hAnsi="Arial"/>
          <w:b w:val="0"/>
          <w:i w:val="0"/>
          <w:color w:val="24313D"/>
          <w:sz w:val="20"/>
        </w:rPr>
        <w:t>Your practice action is: Name one client-led adaptation and the observable outcome that would show it improved access, alliance, or effectiveness.</w:t>
      </w:r>
    </w:p>
    <w:p>
      <w:pPr>
        <w:spacing w:after="100"/>
      </w:pPr>
      <w:r>
        <w:rPr>
          <w:rFonts w:ascii="Arial" w:hAnsi="Arial"/>
          <w:b w:val="0"/>
          <w:i w:val="0"/>
          <w:color w:val="24313D"/>
          <w:sz w:val="20"/>
        </w:rPr>
        <w:t>Integrate the two workbooks by remembering that evidence-informed care is not a fixed protocol delivered identically to every client. The mechanism remains clear while language, pacing, examples, modality, materials, participants, and practical supports may need to change.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with trauma-related avoidance wants help but is living in unstable housing, has limited privacy for telehealth, and prefers services in a language the counselor does not speak fluently. Immediate exposure work may sound evidence-based, but the current response should address safety and stabilization, obtain competent language access, adapt the delivery plan, clarify consent and privacy, and choose an accessible intervention with a measurable review point.</w:t>
      </w:r>
    </w:p>
    <w:p>
      <w:pPr>
        <w:spacing w:after="100"/>
        <w:ind w:left="259" w:right="259"/>
      </w:pPr>
      <w:r>
        <w:rPr>
          <w:rFonts w:ascii="Arial" w:hAnsi="Arial"/>
          <w:b/>
          <w:i/>
          <w:color w:val="1F7A8C"/>
          <w:sz w:val="19"/>
        </w:rPr>
        <w:t>Pause. State the target, mechanism, readiness issue, access barrier, concrete adaptation, and outcome that will show whether the plan is working.</w:t>
      </w:r>
    </w:p>
    <w:p>
      <w:pPr>
        <w:spacing w:after="100"/>
      </w:pPr>
      <w:r>
        <w:rPr>
          <w:rFonts w:ascii="Arial" w:hAnsi="Arial"/>
          <w:b w:val="0"/>
          <w:i w:val="0"/>
          <w:color w:val="24313D"/>
          <w:sz w:val="20"/>
        </w:rPr>
        <w:t>For nonresponse, reassess the diagnosis, risk, alliance, fidelity, attendance barriers, treatment dose, competing priorities, cultural fit, and care level before adding unrelated techniques.</w:t>
      </w:r>
    </w:p>
    <w:p>
      <w:pPr>
        <w:spacing w:after="100"/>
      </w:pPr>
      <w:r>
        <w:rPr>
          <w:rFonts w:ascii="Arial" w:hAnsi="Arial"/>
          <w:b w:val="0"/>
          <w:i w:val="0"/>
          <w:color w:val="24313D"/>
          <w:sz w:val="20"/>
        </w:rPr>
        <w:t>For trauma, substance-use, career, behavioral, cognitive, motivational, and skills-based interventions, ask the same question: what process is this method intended to change, and what evidence will show that change occurred?</w:t>
      </w:r>
    </w:p>
    <w:p>
      <w:pPr>
        <w:spacing w:after="100"/>
      </w:pPr>
      <w:r>
        <w:rPr>
          <w:rFonts w:ascii="Arial" w:hAnsi="Arial"/>
          <w:b w:val="0"/>
          <w:i w:val="0"/>
          <w:color w:val="24313D"/>
          <w:sz w:val="20"/>
        </w:rPr>
        <w:t>Access is not an administrative afterthought. Transportation, cost, technology, language, disability accommodation, caregiving, scheduling, stigma, and discrimination can determine whether an otherwise appropriate intervention is usable.</w:t>
      </w:r>
    </w:p>
    <w:p>
      <w:pPr>
        <w:spacing w:after="100"/>
        <w:ind w:left="259" w:right="259"/>
      </w:pPr>
      <w:r>
        <w:rPr>
          <w:rFonts w:ascii="Arial" w:hAnsi="Arial"/>
          <w:b/>
          <w:i/>
          <w:color w:val="1F7A8C"/>
          <w:sz w:val="19"/>
        </w:rPr>
        <w:t>Final self-test: Is the method safe? Does it fit the mechanism? Is the client ready? Can the client access it? Is the counselor competent? How will response be measured?</w:t>
      </w:r>
    </w:p>
    <w:p>
      <w:pPr>
        <w:spacing w:after="100"/>
      </w:pPr>
      <w:r>
        <w:rPr>
          <w:rFonts w:ascii="Arial" w:hAnsi="Arial"/>
          <w:b w:val="0"/>
          <w:i w:val="0"/>
          <w:color w:val="24313D"/>
          <w:sz w:val="20"/>
        </w:rPr>
        <w:t>Choose the intervention that is specific enough to fit the case and flexible enough to respect the client’s context.</w:t>
      </w:r>
    </w:p>
    <w:p>
      <w:r/>
    </w:p>
    <w:p>
      <w:pPr>
        <w:spacing w:after="0"/>
      </w:pPr>
      <w:r>
        <w:rPr>
          <w:rFonts w:ascii="Arial" w:hAnsi="Arial"/>
          <w:b/>
          <w:i w:val="0"/>
          <w:color w:val="1F7A8C"/>
          <w:sz w:val="20"/>
        </w:rPr>
        <w:t>TRACK 7</w:t>
      </w:r>
    </w:p>
    <w:p>
      <w:pPr>
        <w:pStyle w:val="Heading1"/>
        <w:keepNext/>
      </w:pPr>
      <w:r>
        <w:t>Modality, Referral, Collaboration, and California Professional Practice</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WB11: Individual, Group, Couple/Family, Referral, Continuity, and Collaboration; WB12: California Legal, Ethical, Documentation, Technology, and Professional Practice</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Select a treatment unit and coordinated response while protecting safety, consent, scope, privacy, current authority, records, and continuity.</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Modality, referral, collaboration, and professional-practice questions contain multiple people and competing responsibilities. More participants do not automatically improve care. Payment does not automatically create information rights. Consultation does not transfer responsibility. Begin with purpose, client status, safety, consent, role, scope, current authority, and continuity.</w:t>
      </w:r>
    </w:p>
    <w:p>
      <w:pPr>
        <w:spacing w:after="100"/>
        <w:ind w:left="259" w:right="259"/>
      </w:pPr>
      <w:r>
        <w:rPr>
          <w:rFonts w:ascii="Arial" w:hAnsi="Arial"/>
          <w:b/>
          <w:i/>
          <w:color w:val="1F7A8C"/>
          <w:sz w:val="19"/>
        </w:rPr>
        <w:t>Take one slow breath. Picture who the client is, who is participating, what each person is authorized to do, and who owns the next step.</w:t>
      </w:r>
    </w:p>
    <w:p>
      <w:pPr>
        <w:spacing w:after="100"/>
      </w:pPr>
      <w:r>
        <w:rPr>
          <w:rFonts w:ascii="Arial" w:hAnsi="Arial"/>
          <w:b w:val="0"/>
          <w:i w:val="0"/>
          <w:color w:val="24313D"/>
          <w:sz w:val="20"/>
        </w:rPr>
        <w:t>Now shift to Workbook 11, Individual, Group, Couple/Family, Referral, Continuity, and Collaboration. The anchor is Modality + Continuity Decision. The sequence is Purpose → Safety/Consent → Readiness → Role/Scope → Coordination → Follow-Up.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Select individual, group, couple or family, or coordinated care because the treatment unit and mechanism fit the case—not by default. Second, Screen group purpose, composition, readiness, confidentiality limits, process risk, and facilitation plan. Third, A referral does not end responsibility: explain the rationale, support access, share only authorized and necessary information, and confirm continuity. Together, these rules identify the information that should control the next decision.</w:t>
      </w:r>
    </w:p>
    <w:p>
      <w:pPr>
        <w:spacing w:after="100"/>
      </w:pPr>
      <w:r>
        <w:rPr>
          <w:rFonts w:ascii="Arial" w:hAnsi="Arial"/>
          <w:b w:val="0"/>
          <w:i w:val="0"/>
          <w:color w:val="24313D"/>
          <w:sz w:val="20"/>
        </w:rPr>
        <w:t>The first common trap is Beginning conjoint or family work when violence, coercion, privacy, consent, or LPCC role and scope concerns have not been addressed. Another trap is Placing a client in a group without screening fit, acuity, expectations, or ability to participate safely. A third trap is Assuming consultation transfers responsibility or permits broad information sharing. Each distractor may sound clinically reasonable. The weakness is usually evidence, sequence, role, context, feasibility, or follow-up.</w:t>
      </w:r>
    </w:p>
    <w:p>
      <w:pPr>
        <w:spacing w:after="100"/>
        <w:ind w:left="259" w:right="259"/>
      </w:pPr>
      <w:r>
        <w:rPr>
          <w:rFonts w:ascii="Arial" w:hAnsi="Arial"/>
          <w:b/>
          <w:i/>
          <w:color w:val="1F7A8C"/>
          <w:sz w:val="19"/>
        </w:rPr>
        <w:t>Pause and answer aloud. Which treatment unit best matches the target? Are safety, consent, readiness, and scope established? Who owns each next step and how will follow-up be confirmed? Do not continue until you can answer using only facts available in the current case section. Your practice action is: Complete a continuity statement: purpose, collaborator role, authorization, information shared, access barrier, and follow-up date.</w:t>
      </w:r>
    </w:p>
    <w:p>
      <w:pPr>
        <w:spacing w:after="100"/>
      </w:pPr>
      <w:r>
        <w:rPr>
          <w:rFonts w:ascii="Arial" w:hAnsi="Arial"/>
          <w:b w:val="0"/>
          <w:i w:val="0"/>
          <w:color w:val="24313D"/>
          <w:sz w:val="20"/>
        </w:rPr>
        <w:t>Now shift to Workbook 12, California Legal, Ethical, Documentation, Technology, and Professional Practice. The anchor is Legal-Ethical Practice Sequence. The sequence is Issue → Current Authority → Client/Safety Facts → Options → Least Harm → Document/Review. Do not worry about reciting every symbol. Use the sequence as a mental path that identifies the current task and prevents a later-stage answer from arriving too early.</w:t>
      </w:r>
    </w:p>
    <w:p>
      <w:pPr>
        <w:spacing w:after="100"/>
      </w:pPr>
      <w:r>
        <w:rPr>
          <w:rFonts w:ascii="Arial" w:hAnsi="Arial"/>
          <w:b w:val="0"/>
          <w:i w:val="0"/>
          <w:color w:val="24313D"/>
          <w:sz w:val="20"/>
        </w:rPr>
        <w:t>First, Identify the controlling legal or ethical issue, verify current official authority when rules may have changed, and distinguish legal requirements from best practice. Second, Use informed consent as an ongoing process; disclose privacy limits, fees, communication and technology practices, emergencies, records, and material treatment changes. Third, Document clinically relevant facts, reasoning, actions, consultation, coordination, and follow-up with objective, respectful, minimum-necessary detail. Together, these rules identify the information that should control the next decision.</w:t>
      </w:r>
    </w:p>
    <w:p>
      <w:pPr>
        <w:spacing w:after="100"/>
      </w:pPr>
      <w:r>
        <w:rPr>
          <w:rFonts w:ascii="Arial" w:hAnsi="Arial"/>
          <w:b w:val="0"/>
          <w:i w:val="0"/>
          <w:color w:val="24313D"/>
          <w:sz w:val="20"/>
        </w:rPr>
        <w:t>The first common trap is Relying on an outdated school rule, memory, social-media summary, employer custom, or another profession’s practice act. Another trap is Treating confidentiality as absolute or disclosing broadly because an exception, authorization, or collaboration exists. A third trap is Using telehealth, texting, social media, recording, AI tools, or electronic records without consent, security, competence, jurisdiction, and contingency planning. Each distractor may sound clinically reasonable. The weakness is usually evidence, sequence, role, context, feasibility, or follow-up.</w:t>
      </w:r>
    </w:p>
    <w:p>
      <w:pPr>
        <w:spacing w:after="100"/>
      </w:pPr>
      <w:r>
        <w:rPr>
          <w:rFonts w:ascii="Arial" w:hAnsi="Arial"/>
          <w:b w:val="0"/>
          <w:i w:val="0"/>
          <w:color w:val="24313D"/>
          <w:sz w:val="20"/>
        </w:rPr>
        <w:t>Pause and answer aloud. What exact legal or ethical issue and current authority apply? What facts determine duty, permission, or prohibition? What documentation, consultation, notification, or follow-up is required? Do not continue until you can answer using only facts available in the current case section. Your practice action is: Write a brief ethical decision record: issue, authority checked, facts, options, risks, consultation, decision, and review plan.</w:t>
      </w:r>
    </w:p>
    <w:p>
      <w:pPr>
        <w:spacing w:after="100"/>
        <w:ind w:left="259" w:right="259"/>
      </w:pPr>
      <w:r>
        <w:rPr>
          <w:rFonts w:ascii="Arial" w:hAnsi="Arial"/>
          <w:b/>
          <w:i/>
          <w:color w:val="1F7A8C"/>
          <w:sz w:val="19"/>
        </w:rPr>
        <w:t>Now apply the combined reasoning to a short scenario.</w:t>
      </w:r>
    </w:p>
    <w:p>
      <w:pPr>
        <w:spacing w:after="100"/>
      </w:pPr>
      <w:r>
        <w:rPr>
          <w:rFonts w:ascii="Arial" w:hAnsi="Arial"/>
          <w:b w:val="0"/>
          <w:i w:val="0"/>
          <w:color w:val="24313D"/>
          <w:sz w:val="20"/>
        </w:rPr>
        <w:t>The parent of a twenty-one-year-old client pays for therapy and asks for weekly progress reports. The client has not authorized disclosure and is considering whether family involvement would help. The counselor should not assume payment creates access, invite the parent into treatment by default, or end the discussion abruptly. Protect confidentiality, clarify the client’s preferences and any valid authorization, define the purpose and treatment unit, assess safety and voluntariness, and address payment logistics without disclosing protected clinical content.</w:t>
      </w:r>
    </w:p>
    <w:p>
      <w:pPr>
        <w:spacing w:after="100"/>
      </w:pPr>
      <w:r>
        <w:rPr>
          <w:rFonts w:ascii="Arial" w:hAnsi="Arial"/>
          <w:b w:val="0"/>
          <w:i w:val="0"/>
          <w:color w:val="24313D"/>
          <w:sz w:val="20"/>
        </w:rPr>
        <w:t>Pause. State who the client is, what authority is present, what information may be shared, whether another participant fits the treatment target, and how continuity will be protected.</w:t>
      </w:r>
    </w:p>
    <w:p>
      <w:pPr>
        <w:spacing w:after="100"/>
      </w:pPr>
      <w:r>
        <w:rPr>
          <w:rFonts w:ascii="Arial" w:hAnsi="Arial"/>
          <w:b w:val="0"/>
          <w:i w:val="0"/>
          <w:color w:val="24313D"/>
          <w:sz w:val="20"/>
        </w:rPr>
        <w:t>A referral is complete only when the rationale is explained, access barriers are addressed, necessary and authorized information is shared, roles are clear, and follow-up confirms whether care was reached. A group is appropriate only after purpose, readiness, composition, confidentiality limits, and process risk are screened.</w:t>
      </w:r>
    </w:p>
    <w:p>
      <w:pPr>
        <w:spacing w:after="100"/>
        <w:ind w:left="259" w:right="259"/>
      </w:pPr>
      <w:r>
        <w:rPr>
          <w:rFonts w:ascii="Arial" w:hAnsi="Arial"/>
          <w:b/>
          <w:i/>
          <w:color w:val="1F7A8C"/>
          <w:sz w:val="19"/>
        </w:rPr>
        <w:t>When legal, ethical, technology, telehealth, record, jurisdiction, or confidentiality rules may have changed, verify current official authority. Do not rely on memory, employer custom, social-media summaries, or another profession’s practice act.</w:t>
      </w:r>
    </w:p>
    <w:p>
      <w:pPr>
        <w:spacing w:after="100"/>
      </w:pPr>
      <w:r>
        <w:rPr>
          <w:rFonts w:ascii="Arial" w:hAnsi="Arial"/>
          <w:b w:val="0"/>
          <w:i w:val="0"/>
          <w:color w:val="24313D"/>
          <w:sz w:val="20"/>
        </w:rPr>
        <w:t>Use the least unnecessary disclosure and disruption, document the reasoning and consultation, and review whether the action protected welfare and continuity.</w:t>
      </w:r>
    </w:p>
    <w:p>
      <w:r/>
    </w:p>
    <w:p>
      <w:pPr>
        <w:spacing w:after="0"/>
      </w:pPr>
      <w:r>
        <w:rPr>
          <w:rFonts w:ascii="Arial" w:hAnsi="Arial"/>
          <w:b/>
          <w:i w:val="0"/>
          <w:color w:val="1F7A8C"/>
          <w:sz w:val="20"/>
        </w:rPr>
        <w:t>TRACK 8</w:t>
      </w:r>
    </w:p>
    <w:p>
      <w:pPr>
        <w:pStyle w:val="Heading1"/>
        <w:keepNext/>
      </w:pPr>
      <w:r>
        <w:t>Integrated Review, Error Repair, and Form A/Form B Readiness</w:t>
      </w:r>
    </w:p>
    <w:tbl>
      <w:tblPr>
        <w:tblW w:type="auto" w:w="0"/>
        <w:jc w:val="center"/>
        <w:tblLayout w:type="fixed"/>
        <w:tblLook w:firstColumn="1" w:firstRow="1" w:lastColumn="0" w:lastRow="0" w:noHBand="0" w:noVBand="1" w:val="04A0"/>
      </w:tblPr>
      <w:tblGrid>
        <w:gridCol w:w="5141"/>
        <w:gridCol w:w="5141"/>
      </w:tblGrid>
      <w:tr>
        <w:trPr>
          <w:cantSplit/>
          <w:tblHeader/>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Core LPCC reasoning, all 12 workbooks, cumulative checkpoints, Form A remediation, and Form B readiness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PURPOSE  Turn errors into transferable decision rules, preserve the diagnostic value of the simulations, and organize final preparation.</w:t>
            </w:r>
            <w:r>
              <w:rPr>
                <w:rFonts w:ascii="Arial" w:hAnsi="Arial"/>
                <w:b w:val="0"/>
                <w:i w:val="0"/>
                <w:color w:val="24313D"/>
                <w:sz w:val="19"/>
              </w:rPr>
            </w:r>
          </w:p>
        </w:tc>
        <w:trPr>
          <w:tblHeader/>
        </w:trPr>
      </w:tr>
    </w:tbl>
    <w:p>
      <w:pPr>
        <w:pStyle w:val="Heading2"/>
        <w:keepNext/>
      </w:pPr>
      <w:r>
        <w:t>Authoritative Narration</w:t>
      </w:r>
    </w:p>
    <w:p>
      <w:pPr>
        <w:spacing w:after="100"/>
      </w:pPr>
      <w:r>
        <w:rPr>
          <w:rFonts w:ascii="Arial" w:hAnsi="Arial"/>
          <w:b w:val="0"/>
          <w:i w:val="0"/>
          <w:color w:val="24313D"/>
          <w:sz w:val="20"/>
        </w:rPr>
        <w:t>This final track is a performance review system. Missed questions are data about how you reason under pressure. The goal is to identify whether the miss came from content, stage, qualifier, evidence, role, context, follow-up, pacing, or confidence—then replace the pattern with a specific decision rule.</w:t>
      </w:r>
    </w:p>
    <w:p>
      <w:pPr>
        <w:spacing w:after="100"/>
        <w:ind w:left="259" w:right="259"/>
      </w:pPr>
      <w:r>
        <w:rPr>
          <w:rFonts w:ascii="Arial" w:hAnsi="Arial"/>
          <w:b/>
          <w:i/>
          <w:color w:val="1F7A8C"/>
          <w:sz w:val="19"/>
        </w:rPr>
        <w:t>Take one slow breath. Picture one difficult item and separate the case facts from the story you added to them.</w:t>
      </w:r>
    </w:p>
    <w:p>
      <w:pPr>
        <w:spacing w:after="100"/>
      </w:pPr>
      <w:r>
        <w:rPr>
          <w:rFonts w:ascii="Arial" w:hAnsi="Arial"/>
          <w:b w:val="0"/>
          <w:i w:val="0"/>
          <w:color w:val="24313D"/>
          <w:sz w:val="20"/>
        </w:rPr>
        <w:t>Begin with the six-pass LPCC sequence: READ → LOCATE → STAGE → PRIORITIZE → CHOOSE → CHECK. Read the question and qualifier, locate the current case section, name the practice stage, prioritize urgency or controlling duty, choose the best-supported action, and check role, culture, access, proportionality, documentation, and follow-up.</w:t>
      </w:r>
    </w:p>
    <w:p>
      <w:pPr>
        <w:spacing w:after="100"/>
      </w:pPr>
      <w:r>
        <w:rPr>
          <w:rFonts w:ascii="Arial" w:hAnsi="Arial"/>
          <w:b w:val="0"/>
          <w:i w:val="0"/>
          <w:color w:val="24313D"/>
          <w:sz w:val="20"/>
        </w:rPr>
        <w:t>Read the final question first and identify FIRST, NEXT, BEST, MOST, LEAST RESTRICTIVE, or another exact task.</w:t>
      </w:r>
    </w:p>
    <w:p>
      <w:pPr>
        <w:spacing w:after="100"/>
      </w:pPr>
      <w:r>
        <w:rPr>
          <w:rFonts w:ascii="Arial" w:hAnsi="Arial"/>
          <w:b w:val="0"/>
          <w:i w:val="0"/>
          <w:color w:val="24313D"/>
          <w:sz w:val="20"/>
        </w:rPr>
        <w:t>Use only evidence available in the current section. Later case information cannot retroactively justify an earlier answer.</w:t>
      </w:r>
    </w:p>
    <w:p>
      <w:pPr>
        <w:spacing w:after="100"/>
      </w:pPr>
      <w:r>
        <w:rPr>
          <w:rFonts w:ascii="Arial" w:hAnsi="Arial"/>
          <w:b w:val="0"/>
          <w:i w:val="0"/>
          <w:color w:val="24313D"/>
          <w:sz w:val="20"/>
        </w:rPr>
        <w:t>When facts are missing, gather the decision-critical information before choosing a later-stage diagnosis, plan, intervention, referral, or disclosure.</w:t>
      </w:r>
    </w:p>
    <w:p>
      <w:pPr>
        <w:spacing w:after="100"/>
      </w:pPr>
      <w:r>
        <w:rPr>
          <w:rFonts w:ascii="Arial" w:hAnsi="Arial"/>
          <w:b w:val="0"/>
          <w:i w:val="0"/>
          <w:color w:val="24313D"/>
          <w:sz w:val="20"/>
        </w:rPr>
        <w:t>Prefer a collaborative, proportionate, role-appropriate, feasible response that moves the case one defensible stage forward.</w:t>
      </w:r>
    </w:p>
    <w:p>
      <w:pPr>
        <w:spacing w:after="100"/>
        <w:ind w:left="259" w:right="259"/>
      </w:pPr>
      <w:r>
        <w:rPr>
          <w:rFonts w:ascii="Arial" w:hAnsi="Arial"/>
          <w:b/>
          <w:i/>
          <w:color w:val="1F7A8C"/>
          <w:sz w:val="19"/>
        </w:rPr>
        <w:t>Pause and name the seven CTA LPCC error codes: C for Content, S for Stage or Sequence, Q for Qualifier, E for Evidence, R for Role or Scope, X for Context or Access, and F for Follow-Up.</w:t>
      </w:r>
    </w:p>
    <w:p>
      <w:pPr>
        <w:spacing w:after="100"/>
      </w:pPr>
      <w:r>
        <w:rPr>
          <w:rFonts w:ascii="Arial" w:hAnsi="Arial"/>
          <w:b w:val="0"/>
          <w:i w:val="0"/>
          <w:color w:val="24313D"/>
          <w:sz w:val="20"/>
        </w:rPr>
        <w:t>Content Error. The controlling clinical, diagnostic, intervention, legal, or ethical rule was not known. Correction: return to the exact workbook section and write the rule in one sentence.</w:t>
      </w:r>
    </w:p>
    <w:p>
      <w:pPr>
        <w:spacing w:after="100"/>
      </w:pPr>
      <w:r>
        <w:rPr>
          <w:rFonts w:ascii="Arial" w:hAnsi="Arial"/>
          <w:b w:val="0"/>
          <w:i w:val="0"/>
          <w:color w:val="24313D"/>
          <w:sz w:val="20"/>
        </w:rPr>
        <w:t>Stage or Sequence Error. A reasonable action was selected too early or a required assessment, consent, stabilization, or planning step was skipped. Correction: name the current stage and what must occur before the tempting option.</w:t>
      </w:r>
    </w:p>
    <w:p>
      <w:pPr>
        <w:spacing w:after="100"/>
      </w:pPr>
      <w:r>
        <w:rPr>
          <w:rFonts w:ascii="Arial" w:hAnsi="Arial"/>
          <w:b w:val="0"/>
          <w:i w:val="0"/>
          <w:color w:val="24313D"/>
          <w:sz w:val="20"/>
        </w:rPr>
        <w:t>Qualifier Error. FIRST, NEXT, BEST, MOST, or LEAST RESTRICTIVE was misread. Correction: rewrite the final question in your own words before comparing options.</w:t>
      </w:r>
    </w:p>
    <w:p>
      <w:pPr>
        <w:spacing w:after="100"/>
      </w:pPr>
      <w:r>
        <w:rPr>
          <w:rFonts w:ascii="Arial" w:hAnsi="Arial"/>
          <w:b w:val="0"/>
          <w:i w:val="0"/>
          <w:color w:val="24313D"/>
          <w:sz w:val="20"/>
        </w:rPr>
        <w:t>Evidence Error. Facts were added, later-section information was used too early, or a critical clue was overlooked. Correction: underline only the evidence currently available and reject options that require invented facts.</w:t>
      </w:r>
    </w:p>
    <w:p>
      <w:pPr>
        <w:spacing w:after="100"/>
      </w:pPr>
      <w:r>
        <w:rPr>
          <w:rFonts w:ascii="Arial" w:hAnsi="Arial"/>
          <w:b w:val="0"/>
          <w:i w:val="0"/>
          <w:color w:val="24313D"/>
          <w:sz w:val="20"/>
        </w:rPr>
        <w:t>Role or Scope Error. The action exceeded LPCC authority, competence, client status, information rights, or the counselor’s role. Correction: identify legal authority, competence, consent, duty, and consultation or referral purpose.</w:t>
      </w:r>
    </w:p>
    <w:p>
      <w:pPr>
        <w:spacing w:after="100"/>
      </w:pPr>
      <w:r>
        <w:rPr>
          <w:rFonts w:ascii="Arial" w:hAnsi="Arial"/>
          <w:b w:val="0"/>
          <w:i w:val="0"/>
          <w:color w:val="24313D"/>
          <w:sz w:val="20"/>
        </w:rPr>
        <w:t>Context or Access Error. Development, culture, identity, disability, power, preference, environment, or feasibility was ignored. Correction: state exactly how context changes delivery or the answer.</w:t>
      </w:r>
    </w:p>
    <w:p>
      <w:pPr>
        <w:spacing w:after="100"/>
      </w:pPr>
      <w:r>
        <w:rPr>
          <w:rFonts w:ascii="Arial" w:hAnsi="Arial"/>
          <w:b w:val="0"/>
          <w:i w:val="0"/>
          <w:color w:val="24313D"/>
          <w:sz w:val="20"/>
        </w:rPr>
        <w:t>Follow-Up Error. The answer acted without documentation, measurement, handoff, coordination, continuity, or review. Correction: add the outcome-check step.</w:t>
      </w:r>
    </w:p>
    <w:p>
      <w:pPr>
        <w:spacing w:after="100"/>
      </w:pPr>
      <w:r>
        <w:rPr>
          <w:rFonts w:ascii="Arial" w:hAnsi="Arial"/>
          <w:b w:val="0"/>
          <w:i w:val="0"/>
          <w:color w:val="24313D"/>
          <w:sz w:val="20"/>
        </w:rPr>
        <w:t>Add two NCMHCE-specific checks. Did you use only the information available in the current case section? Did you reorient when the narrative advanced instead of allowing hindsight to change the earlier evidence standard?</w:t>
      </w:r>
    </w:p>
    <w:p>
      <w:pPr>
        <w:spacing w:after="100"/>
      </w:pPr>
      <w:r>
        <w:rPr>
          <w:rFonts w:ascii="Arial" w:hAnsi="Arial"/>
          <w:b w:val="0"/>
          <w:i w:val="0"/>
          <w:color w:val="24313D"/>
          <w:sz w:val="20"/>
        </w:rPr>
        <w:t>For Form A, use full simulated conditions: follow the intended timing, avoid looking up answers, complete the form, and review detailed rationales only after submission. The score matters, but the pattern of errors matters more.</w:t>
      </w:r>
    </w:p>
    <w:p>
      <w:pPr>
        <w:spacing w:after="100"/>
      </w:pPr>
      <w:r>
        <w:rPr>
          <w:rFonts w:ascii="Arial" w:hAnsi="Arial"/>
          <w:b w:val="0"/>
          <w:i w:val="0"/>
          <w:color w:val="24313D"/>
          <w:sz w:val="20"/>
        </w:rPr>
        <w:t>During remediation, group misses by decision rule. Return to the matching workbook, question rationale, quick-reference sheet, flashcards, and audio track. Then apply the corrected rule to a new or delayed item. Remediation is complete when you can explain why the distractor is weaker—not merely remember the answer letter.</w:t>
      </w:r>
    </w:p>
    <w:p>
      <w:pPr>
        <w:spacing w:after="100"/>
      </w:pPr>
      <w:r>
        <w:rPr>
          <w:rFonts w:ascii="Arial" w:hAnsi="Arial"/>
          <w:b w:val="0"/>
          <w:i w:val="0"/>
          <w:color w:val="24313D"/>
          <w:sz w:val="20"/>
        </w:rPr>
        <w:t>Protect Form B. Take it only after the required Form A remediation, under simulated conditions, as the fresh final readiness sample. Casual retakes can inflate familiarity without improving transferable reasoning.</w:t>
      </w:r>
    </w:p>
    <w:p>
      <w:pPr>
        <w:spacing w:after="100"/>
      </w:pPr>
      <w:r>
        <w:rPr>
          <w:rFonts w:ascii="Arial" w:hAnsi="Arial"/>
          <w:b w:val="0"/>
          <w:i w:val="0"/>
          <w:color w:val="24313D"/>
          <w:sz w:val="20"/>
        </w:rPr>
        <w:t>Use the exam-version guide that matches your actual testing date. Do not combine the current NCMHCE structure with future specifications. Confirm official candidate materials, appointment rules, identification requirements, timing, and testing policies before the examination.</w:t>
      </w:r>
    </w:p>
    <w:p>
      <w:pPr>
        <w:spacing w:after="100"/>
      </w:pPr>
      <w:r>
        <w:rPr>
          <w:rFonts w:ascii="Arial" w:hAnsi="Arial"/>
          <w:b w:val="0"/>
          <w:i w:val="0"/>
          <w:color w:val="24313D"/>
          <w:sz w:val="20"/>
        </w:rPr>
        <w:t>Now apply the remediation process to a short example.</w:t>
      </w:r>
    </w:p>
    <w:p>
      <w:pPr>
        <w:spacing w:after="100"/>
      </w:pPr>
      <w:r>
        <w:rPr>
          <w:rFonts w:ascii="Arial" w:hAnsi="Arial"/>
          <w:b w:val="0"/>
          <w:i w:val="0"/>
          <w:color w:val="24313D"/>
          <w:sz w:val="20"/>
        </w:rPr>
        <w:t>Suppose you selected a family meeting before clarifying whether the adult client wanted family involvement, whether participation was safe, and what information could be shared. Do not memorize that family meetings are wrong. Write the transferable rule: when third-party involvement is proposed and no emergency overrides ordinary consent, clarify the client, purpose, voluntariness, role, authorization, information boundaries, and continuity before coordinating involvement.</w:t>
      </w:r>
    </w:p>
    <w:p>
      <w:pPr>
        <w:spacing w:after="100"/>
      </w:pPr>
      <w:r>
        <w:rPr>
          <w:rFonts w:ascii="Arial" w:hAnsi="Arial"/>
          <w:b w:val="0"/>
          <w:i w:val="0"/>
          <w:color w:val="24313D"/>
          <w:sz w:val="20"/>
        </w:rPr>
        <w:t>Pause. Assign the error code, state the controlling fact, write the corrected rule, and explain why the later-stage distractor was premature.</w:t>
      </w:r>
    </w:p>
    <w:p>
      <w:pPr>
        <w:spacing w:after="100"/>
        <w:ind w:left="259" w:right="259"/>
      </w:pPr>
      <w:r>
        <w:rPr>
          <w:rFonts w:ascii="Arial" w:hAnsi="Arial"/>
          <w:b/>
          <w:i/>
          <w:color w:val="1F7A8C"/>
          <w:sz w:val="19"/>
        </w:rPr>
        <w:t>In the final days, do not relearn the entire curriculum. Review the six-pass sequence, your highest-frequency error codes, crisis and duty rules, exam-version and pacing plan, and a small set of successful corrections. Protect sleep, routine, nutrition, medication as prescribed, travel or technology logistics, and recovery after a difficult case.</w:t>
      </w:r>
    </w:p>
    <w:p>
      <w:pPr>
        <w:spacing w:after="100"/>
      </w:pPr>
      <w:r>
        <w:rPr>
          <w:rFonts w:ascii="Arial" w:hAnsi="Arial"/>
          <w:b w:val="0"/>
          <w:i w:val="0"/>
          <w:color w:val="24313D"/>
          <w:sz w:val="20"/>
        </w:rPr>
        <w:t>Take Form A, remediate the patterns, protect Form B, and enter the examination with a repeatable process: use the current evidence, honor the LPCC role, address urgency first, choose one defensible stage forward, and check follow-up.</w:t>
      </w:r>
    </w:p>
    <w:p>
      <w:r/>
    </w:p>
    <w:p>
      <w:pPr>
        <w:pStyle w:val="Heading1"/>
        <w:jc w:val="center"/>
      </w:pPr>
      <w:r>
        <w:t>Collection Completion Checklist</w:t>
      </w:r>
    </w:p>
    <w:tbl>
      <w:tblPr>
        <w:tblW w:type="auto" w:w="0"/>
        <w:jc w:val="center"/>
        <w:tblLayout w:type="fixed"/>
        <w:tblLook w:firstColumn="1" w:firstRow="1" w:lastColumn="0" w:lastRow="0" w:noHBand="0" w:noVBand="1" w:val="04A0"/>
      </w:tblPr>
      <w:tblGrid>
        <w:gridCol w:w="792"/>
        <w:gridCol w:w="9432"/>
      </w:tblGrid>
      <w:tr>
        <w:trPr>
          <w:cantSplit/>
          <w:tblHeader/>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Track titles and workbook coverage match the CTA LPCC curriculum sequence.</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Narration was reviewed before recording and read verbatim during recording.</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Audio edits preserve the meaning and order of the authoritative transcript.</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Captions or transcript files match the final audio word for word.</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Version number and publication date remain consistent across script, audio, and platform upload.</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The learner is directed to current official resources for examination, licensing, legal, medical, or emergency questions.</w:t>
            </w:r>
          </w:p>
        </w:tc>
      </w:tr>
    </w:tbl>
    <w:p>
      <w:pPr>
        <w:spacing w:before="320"/>
        <w:jc w:val="center"/>
      </w:pPr>
      <w:r>
        <w:rPr>
          <w:rFonts w:ascii="Arial" w:hAnsi="Arial"/>
          <w:b w:val="0"/>
          <w:i/>
          <w:color w:val="68737D"/>
          <w:sz w:val="17"/>
        </w:rPr>
        <w:t>Clinical Training &amp; Supervision Academy • Educational exam-preparation resource • No guarantee of examination passage</w:t>
      </w:r>
    </w:p>
    <w:sectPr w:rsidR="00FC693F" w:rsidRPr="0006063C" w:rsidSect="00034616">
      <w:headerReference w:type="default" r:id="rId9"/>
      <w:footerReference w:type="default" r:id="rId10"/>
      <w:pgSz w:w="12240" w:h="15840"/>
      <w:pgMar w:top="792" w:right="979" w:bottom="792"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8737D"/>
        <w:sz w:val="16"/>
      </w:rPr>
      <w:t xml:space="preserve">Clinical Training Academy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F7A8C"/>
        <w:sz w:val="15"/>
      </w:rPr>
      <w:t>CLINICAL TRAINING ACADEMY  •  LPCC AUDIO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b/>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Clinical Exam Preparation Audio Review Collection</dc:title>
  <dc:subject>Eight recording-ready screen-free LPCC/NCMHCE review tracks</dc:subject>
  <dc:creator>Clinical Training &amp; Supervision Academy</dc:creator>
  <cp:keywords>LPCC, NCMHCE, audio review, exam preparation, clinical reasoning, CTA</cp:keywords>
  <dc:description>Educational exam-preparation resource. No CE credit.</dc:description>
  <cp:lastModifiedBy/>
  <cp:revision>1</cp:revision>
  <dcterms:created xsi:type="dcterms:W3CDTF">2013-12-23T23:15:00Z</dcterms:created>
  <dcterms:modified xsi:type="dcterms:W3CDTF">2013-12-23T23:15:00Z</dcterms:modified>
  <cp:category/>
</cp:coreProperties>
</file>