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2971800" cy="987923"/>
            <wp:docPr id="1" name="Picture 1" descr="Image: image1.jpg"/>
            <wp:cNvGraphicFramePr>
              <a:graphicFrameLocks noChangeAspect="1"/>
            </wp:cNvGraphicFramePr>
            <a:graphic>
              <a:graphicData uri="http://schemas.openxmlformats.org/drawingml/2006/picture">
                <pic:pic>
                  <pic:nvPicPr>
                    <pic:cNvPr id="0" name="Primary Logo (Final).jpg"/>
                    <pic:cNvPicPr/>
                  </pic:nvPicPr>
                  <pic:blipFill>
                    <a:blip r:embed="rId9"/>
                    <a:stretch>
                      <a:fillRect/>
                    </a:stretch>
                  </pic:blipFill>
                  <pic:spPr>
                    <a:xfrm>
                      <a:off x="0" y="0"/>
                      <a:ext cx="2971800" cy="987923"/>
                    </a:xfrm>
                    <a:prstGeom prst="rect"/>
                  </pic:spPr>
                </pic:pic>
              </a:graphicData>
            </a:graphic>
          </wp:inline>
        </w:drawing>
      </w:r>
    </w:p>
    <w:p>
      <w:pPr>
        <w:pStyle w:val="Subtitle"/>
        <w:jc w:val="center"/>
      </w:pPr>
      <w:r>
        <w:t>WEBSITE COPY • PRODUCT CONFIGURATION • RELEASE CONTROLS</w:t>
      </w:r>
    </w:p>
    <w:p>
      <w:pPr>
        <w:pStyle w:val="Title"/>
        <w:jc w:val="center"/>
      </w:pPr>
      <w:r>
        <w:t>DAVID COMPLETE LMS AND WEBSITE RELEASE PACKAGE</w:t>
      </w:r>
    </w:p>
    <w:p>
      <w:pPr>
        <w:pStyle w:val="Subtitle"/>
        <w:jc w:val="center"/>
      </w:pPr>
      <w:r>
        <w:t>CTA LPCC NCMHCE Exam Preparation Program</w:t>
      </w:r>
    </w:p>
    <w:p>
      <w:pPr>
        <w:jc w:val="center"/>
      </w:pPr>
      <w:r>
        <w:rPr>
          <w:color w:val="5F6B76"/>
        </w:rPr>
        <w:t>Version 1.0 | August 3, 2026</w:t>
      </w:r>
    </w:p>
    <w:p>
      <w:pPr>
        <w:jc w:val="center"/>
      </w:pPr>
      <w:r>
        <w:rPr>
          <w:i/>
          <w:color w:val="159A9C"/>
        </w:rPr>
        <w:t>Teaching Clinicians How to Think.</w:t>
      </w:r>
    </w:p>
    <w:tbl>
      <w:tblPr>
        <w:tblW w:type="auto" w:w="0"/>
        <w:jc w:val="center"/>
        <w:tblLook w:firstColumn="1" w:firstRow="1" w:lastColumn="0" w:lastRow="0" w:noHBand="0" w:noVBand="1" w:val="04A0"/>
      </w:tblPr>
      <w:tblGrid>
        <w:gridCol w:w="8640"/>
      </w:tblGrid>
      <w:tr>
        <w:tc>
          <w:tcPr>
            <w:tcW w:type="dxa" w:w="8640"/>
            <w:shd w:fill="E9F5EF"/>
            <w:tcBorders>
              <w:top w:val="single" w:sz="10" w:color="2E7D5B"/>
              <w:left w:val="single" w:sz="10" w:color="2E7D5B"/>
              <w:bottom w:val="single" w:sz="10" w:color="2E7D5B"/>
              <w:right w:val="single" w:sz="10" w:color="2E7D5B"/>
            </w:tcBorders>
          </w:tcPr>
          <w:p>
            <w:r>
              <w:rPr>
                <w:b/>
                <w:color w:val="142B4F"/>
              </w:rPr>
              <w:t>RELEASE STATUS</w:t>
            </w:r>
            <w:r>
              <w:br/>
              <w:t>WEBSITE-READY • COMPLETE CURRENT-FORMAT CURRICULUM • READY FOR LMS BUILD AND TESTING</w:t>
            </w:r>
          </w:p>
        </w:tc>
        <w:trPr>
          <w:tblHeader/>
        </w:trPr>
      </w:tr>
    </w:tbl>
    <w:p/>
    <w:p>
      <w:pPr>
        <w:pStyle w:val="Heading1"/>
      </w:pPr>
      <w:r>
        <w:t>Contents</w:t>
      </w:r>
    </w:p>
    <w:p>
      <w:pPr>
        <w:pStyle w:val="ListBullet"/>
      </w:pPr>
      <w:r>
        <w:t>1. Release Decision and Program Identity</w:t>
      </w:r>
    </w:p>
    <w:p>
      <w:pPr>
        <w:pStyle w:val="ListBullet"/>
      </w:pPr>
      <w:r>
        <w:t>2. Current NCMHCE Structure</w:t>
      </w:r>
    </w:p>
    <w:p>
      <w:pPr>
        <w:pStyle w:val="ListBullet"/>
      </w:pPr>
      <w:r>
        <w:t>3. Program Architecture</w:t>
      </w:r>
    </w:p>
    <w:p>
      <w:pPr>
        <w:pStyle w:val="ListBullet"/>
      </w:pPr>
      <w:r>
        <w:t>4. Website Sales-Page Copy</w:t>
      </w:r>
    </w:p>
    <w:p>
      <w:pPr>
        <w:pStyle w:val="ListBullet"/>
      </w:pPr>
      <w:r>
        <w:t>5. How the Program Works</w:t>
      </w:r>
    </w:p>
    <w:p>
      <w:pPr>
        <w:pStyle w:val="ListBullet"/>
      </w:pPr>
      <w:r>
        <w:t>6. Website Product Configuration</w:t>
      </w:r>
    </w:p>
    <w:p>
      <w:pPr>
        <w:pStyle w:val="ListBullet"/>
      </w:pPr>
      <w:r>
        <w:t>7. David Implementation Instructions</w:t>
      </w:r>
    </w:p>
    <w:p>
      <w:pPr>
        <w:pStyle w:val="ListBullet"/>
      </w:pPr>
      <w:r>
        <w:t>8. Release Inventory and File Controls</w:t>
      </w:r>
    </w:p>
    <w:p>
      <w:pPr>
        <w:pStyle w:val="ListBullet"/>
      </w:pPr>
      <w:r>
        <w:t>9. Same-Day Launch Checklist</w:t>
      </w:r>
    </w:p>
    <w:p>
      <w:pPr>
        <w:pStyle w:val="ListBullet"/>
      </w:pPr>
      <w:r>
        <w:t>10. Source Basis and Currency Control</w:t>
      </w:r>
    </w:p>
    <w:p>
      <w:r>
        <w:br w:type="page"/>
      </w:r>
    </w:p>
    <w:p>
      <w:pPr>
        <w:pStyle w:val="Heading1"/>
      </w:pPr>
      <w:r>
        <w:t>1. Release Decision and Program Identity</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42B4F"/>
          </w:tcPr>
          <w:p>
            <w:pPr>
              <w:jc w:val="left"/>
            </w:pPr>
            <w:r>
              <w:rPr>
                <w:b/>
                <w:color w:val="FFFFFF"/>
              </w:rPr>
              <w:t>Field</w:t>
            </w:r>
          </w:p>
        </w:tc>
        <w:tc>
          <w:tcPr>
            <w:tcW w:type="dxa" w:w="4320"/>
            <w:shd w:fill="142B4F"/>
          </w:tcPr>
          <w:p>
            <w:pPr>
              <w:jc w:val="left"/>
            </w:pPr>
            <w:r>
              <w:rPr>
                <w:b/>
                <w:color w:val="FFFFFF"/>
              </w:rPr>
              <w:t>Approved Entry</w:t>
            </w:r>
          </w:p>
        </w:tc>
      </w:tr>
      <w:tr>
        <w:tc>
          <w:tcPr>
            <w:tcW w:type="dxa" w:w="4320"/>
            <w:vAlign w:val="top"/>
          </w:tcPr>
          <w:p>
            <w:r>
              <w:t>Public product title</w:t>
            </w:r>
          </w:p>
        </w:tc>
        <w:tc>
          <w:tcPr>
            <w:tcW w:type="dxa" w:w="4320"/>
            <w:vAlign w:val="top"/>
          </w:tcPr>
          <w:p>
            <w:r>
              <w:t>CTA LPCC NCMHCE Exam Preparation Program</w:t>
            </w:r>
          </w:p>
        </w:tc>
      </w:tr>
      <w:tr>
        <w:tc>
          <w:tcPr>
            <w:tcW w:type="dxa" w:w="4320"/>
            <w:vAlign w:val="top"/>
          </w:tcPr>
          <w:p>
            <w:r>
              <w:t>Program type</w:t>
            </w:r>
          </w:p>
        </w:tc>
        <w:tc>
          <w:tcPr>
            <w:tcW w:type="dxa" w:w="4320"/>
            <w:vAlign w:val="top"/>
          </w:tcPr>
          <w:p>
            <w:r>
              <w:t>Standalone profession-specific licensure examination preparation</w:t>
            </w:r>
          </w:p>
        </w:tc>
      </w:tr>
      <w:tr>
        <w:tc>
          <w:tcPr>
            <w:tcW w:type="dxa" w:w="4320"/>
            <w:vAlign w:val="top"/>
          </w:tcPr>
          <w:p>
            <w:r>
              <w:t>Examination</w:t>
            </w:r>
          </w:p>
        </w:tc>
        <w:tc>
          <w:tcPr>
            <w:tcW w:type="dxa" w:w="4320"/>
            <w:vAlign w:val="top"/>
          </w:tcPr>
          <w:p>
            <w:r>
              <w:t>National Clinical Mental Health Counseling Examination (NCMHCE)</w:t>
            </w:r>
          </w:p>
        </w:tc>
      </w:tr>
      <w:tr>
        <w:tc>
          <w:tcPr>
            <w:tcW w:type="dxa" w:w="4320"/>
            <w:vAlign w:val="top"/>
          </w:tcPr>
          <w:p>
            <w:r>
              <w:t>Primary audience</w:t>
            </w:r>
          </w:p>
        </w:tc>
        <w:tc>
          <w:tcPr>
            <w:tcW w:type="dxa" w:w="4320"/>
            <w:vAlign w:val="top"/>
          </w:tcPr>
          <w:p>
            <w:r>
              <w:t>California APCCs/LPCC candidates and other eligible NCMHCE examinees</w:t>
            </w:r>
          </w:p>
        </w:tc>
      </w:tr>
      <w:tr>
        <w:tc>
          <w:tcPr>
            <w:tcW w:type="dxa" w:w="4320"/>
            <w:vAlign w:val="top"/>
          </w:tcPr>
          <w:p>
            <w:r>
              <w:t>Instructional method</w:t>
            </w:r>
          </w:p>
        </w:tc>
        <w:tc>
          <w:tcPr>
            <w:tcW w:type="dxa" w:w="4320"/>
            <w:vAlign w:val="top"/>
          </w:tcPr>
          <w:p>
            <w:r>
              <w:t>Self-paced asynchronous online program with editable and printable Word resources</w:t>
            </w:r>
          </w:p>
        </w:tc>
      </w:tr>
      <w:tr>
        <w:tc>
          <w:tcPr>
            <w:tcW w:type="dxa" w:w="4320"/>
            <w:vAlign w:val="top"/>
          </w:tcPr>
          <w:p>
            <w:r>
              <w:t>Launch price</w:t>
            </w:r>
          </w:p>
        </w:tc>
        <w:tc>
          <w:tcPr>
            <w:tcW w:type="dxa" w:w="4320"/>
            <w:vAlign w:val="top"/>
          </w:tcPr>
          <w:p>
            <w:r>
              <w:t>$249</w:t>
            </w:r>
          </w:p>
        </w:tc>
      </w:tr>
      <w:tr>
        <w:tc>
          <w:tcPr>
            <w:tcW w:type="dxa" w:w="4320"/>
            <w:vAlign w:val="top"/>
          </w:tcPr>
          <w:p>
            <w:r>
              <w:t>Access period</w:t>
            </w:r>
          </w:p>
        </w:tc>
        <w:tc>
          <w:tcPr>
            <w:tcW w:type="dxa" w:w="4320"/>
            <w:vAlign w:val="top"/>
          </w:tcPr>
          <w:p>
            <w:r>
              <w:t>6 months from enrollment</w:t>
            </w:r>
          </w:p>
        </w:tc>
      </w:tr>
      <w:tr>
        <w:tc>
          <w:tcPr>
            <w:tcW w:type="dxa" w:w="4320"/>
            <w:vAlign w:val="top"/>
          </w:tcPr>
          <w:p>
            <w:r>
              <w:t>Continuing education</w:t>
            </w:r>
          </w:p>
        </w:tc>
        <w:tc>
          <w:tcPr>
            <w:tcW w:type="dxa" w:w="4320"/>
            <w:vAlign w:val="top"/>
          </w:tcPr>
          <w:p>
            <w:r>
              <w:t>Exam Preparation Only - No CE Credit or CE certificate</w:t>
            </w:r>
          </w:p>
        </w:tc>
      </w:tr>
      <w:tr>
        <w:tc>
          <w:tcPr>
            <w:tcW w:type="dxa" w:w="4320"/>
            <w:vAlign w:val="top"/>
          </w:tcPr>
          <w:p>
            <w:r>
              <w:t>Release status</w:t>
            </w:r>
          </w:p>
        </w:tc>
        <w:tc>
          <w:tcPr>
            <w:tcW w:type="dxa" w:w="4320"/>
            <w:vAlign w:val="top"/>
          </w:tcPr>
          <w:p>
            <w:r>
              <w:t>Complete package ready for David to build and test; public launch pending student-role implementation review</w:t>
            </w:r>
          </w:p>
        </w:tc>
      </w:tr>
    </w:tbl>
    <w:tbl>
      <w:tblPr>
        <w:tblW w:type="auto" w:w="0"/>
        <w:jc w:val="center"/>
        <w:tblLook w:firstColumn="1" w:firstRow="1" w:lastColumn="0" w:lastRow="0" w:noHBand="0" w:noVBand="1" w:val="04A0"/>
      </w:tblPr>
      <w:tblGrid>
        <w:gridCol w:w="8640"/>
      </w:tblGrid>
      <w:tr>
        <w:tc>
          <w:tcPr>
            <w:tcW w:type="dxa" w:w="8640"/>
            <w:shd w:fill="E8F6F6"/>
            <w:tcBorders>
              <w:top w:val="single" w:sz="10" w:color="159A9C"/>
              <w:left w:val="single" w:sz="10" w:color="159A9C"/>
              <w:bottom w:val="single" w:sz="10" w:color="159A9C"/>
              <w:right w:val="single" w:sz="10" w:color="159A9C"/>
            </w:tcBorders>
          </w:tcPr>
          <w:p>
            <w:r>
              <w:rPr>
                <w:b/>
                <w:color w:val="142B4F"/>
              </w:rPr>
              <w:t>NAMING CONTROL</w:t>
            </w:r>
            <w:r>
              <w:br/>
              <w:t>Use the exact public title above. Do not market this program as the NCE, a generic LPCC clinical examination, or a combined LMFT/LCSW/LPCC course.</w:t>
            </w:r>
          </w:p>
        </w:tc>
        <w:trPr>
          <w:tblHeader/>
        </w:trPr>
      </w:tr>
    </w:tbl>
    <w:p/>
    <w:p>
      <w:pPr>
        <w:pStyle w:val="Heading1"/>
      </w:pPr>
      <w:r>
        <w:t>2. Current NCMHCE Structure</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42B4F"/>
          </w:tcPr>
          <w:p>
            <w:pPr>
              <w:jc w:val="left"/>
            </w:pPr>
            <w:r>
              <w:rPr>
                <w:b/>
                <w:color w:val="FFFFFF"/>
              </w:rPr>
              <w:t>Field</w:t>
            </w:r>
          </w:p>
        </w:tc>
        <w:tc>
          <w:tcPr>
            <w:tcW w:type="dxa" w:w="4320"/>
            <w:shd w:fill="142B4F"/>
          </w:tcPr>
          <w:p>
            <w:pPr>
              <w:jc w:val="left"/>
            </w:pPr>
            <w:r>
              <w:rPr>
                <w:b/>
                <w:color w:val="FFFFFF"/>
              </w:rPr>
              <w:t>Current-Format Control</w:t>
            </w:r>
          </w:p>
        </w:tc>
      </w:tr>
      <w:tr>
        <w:tc>
          <w:tcPr>
            <w:tcW w:type="dxa" w:w="4320"/>
            <w:vAlign w:val="top"/>
          </w:tcPr>
          <w:p>
            <w:r>
              <w:t>Case studies</w:t>
            </w:r>
          </w:p>
        </w:tc>
        <w:tc>
          <w:tcPr>
            <w:tcW w:type="dxa" w:w="4320"/>
            <w:vAlign w:val="top"/>
          </w:tcPr>
          <w:p>
            <w:r>
              <w:t>11</w:t>
            </w:r>
          </w:p>
        </w:tc>
      </w:tr>
      <w:tr>
        <w:tc>
          <w:tcPr>
            <w:tcW w:type="dxa" w:w="4320"/>
            <w:vAlign w:val="top"/>
          </w:tcPr>
          <w:p>
            <w:r>
              <w:t>Sections per case</w:t>
            </w:r>
          </w:p>
        </w:tc>
        <w:tc>
          <w:tcPr>
            <w:tcW w:type="dxa" w:w="4320"/>
            <w:vAlign w:val="top"/>
          </w:tcPr>
          <w:p>
            <w:r>
              <w:t>3: initial intake summary and two counseling sessions</w:t>
            </w:r>
          </w:p>
        </w:tc>
      </w:tr>
      <w:tr>
        <w:tc>
          <w:tcPr>
            <w:tcW w:type="dxa" w:w="4320"/>
            <w:vAlign w:val="top"/>
          </w:tcPr>
          <w:p>
            <w:r>
              <w:t>Questions per case</w:t>
            </w:r>
          </w:p>
        </w:tc>
        <w:tc>
          <w:tcPr>
            <w:tcW w:type="dxa" w:w="4320"/>
            <w:vAlign w:val="top"/>
          </w:tcPr>
          <w:p>
            <w:r>
              <w:t>9-15</w:t>
            </w:r>
          </w:p>
        </w:tc>
      </w:tr>
      <w:tr>
        <w:tc>
          <w:tcPr>
            <w:tcW w:type="dxa" w:w="4320"/>
            <w:vAlign w:val="top"/>
          </w:tcPr>
          <w:p>
            <w:r>
              <w:t>Total items</w:t>
            </w:r>
          </w:p>
        </w:tc>
        <w:tc>
          <w:tcPr>
            <w:tcW w:type="dxa" w:w="4320"/>
            <w:vAlign w:val="top"/>
          </w:tcPr>
          <w:p>
            <w:r>
              <w:t>130-150</w:t>
            </w:r>
          </w:p>
        </w:tc>
      </w:tr>
      <w:tr>
        <w:tc>
          <w:tcPr>
            <w:tcW w:type="dxa" w:w="4320"/>
            <w:vAlign w:val="top"/>
          </w:tcPr>
          <w:p>
            <w:r>
              <w:t>Scored items</w:t>
            </w:r>
          </w:p>
        </w:tc>
        <w:tc>
          <w:tcPr>
            <w:tcW w:type="dxa" w:w="4320"/>
            <w:vAlign w:val="top"/>
          </w:tcPr>
          <w:p>
            <w:r>
              <w:t>100; one complete case and additional items may be unscored</w:t>
            </w:r>
          </w:p>
        </w:tc>
      </w:tr>
      <w:tr>
        <w:tc>
          <w:tcPr>
            <w:tcW w:type="dxa" w:w="4320"/>
            <w:vAlign w:val="top"/>
          </w:tcPr>
          <w:p>
            <w:r>
              <w:t>Answer format</w:t>
            </w:r>
          </w:p>
        </w:tc>
        <w:tc>
          <w:tcPr>
            <w:tcW w:type="dxa" w:w="4320"/>
            <w:vAlign w:val="top"/>
          </w:tcPr>
          <w:p>
            <w:r>
              <w:t>Four options, one best answer</w:t>
            </w:r>
          </w:p>
        </w:tc>
      </w:tr>
      <w:tr>
        <w:tc>
          <w:tcPr>
            <w:tcW w:type="dxa" w:w="4320"/>
            <w:vAlign w:val="top"/>
          </w:tcPr>
          <w:p>
            <w:r>
              <w:t>Examination time</w:t>
            </w:r>
          </w:p>
        </w:tc>
        <w:tc>
          <w:tcPr>
            <w:tcW w:type="dxa" w:w="4320"/>
            <w:vAlign w:val="top"/>
          </w:tcPr>
          <w:p>
            <w:r>
              <w:t>225 minutes for examination items</w:t>
            </w:r>
          </w:p>
        </w:tc>
      </w:tr>
      <w:tr>
        <w:tc>
          <w:tcPr>
            <w:tcW w:type="dxa" w:w="4320"/>
            <w:vAlign w:val="top"/>
          </w:tcPr>
          <w:p>
            <w:r>
              <w:t>Total test session</w:t>
            </w:r>
          </w:p>
        </w:tc>
        <w:tc>
          <w:tcPr>
            <w:tcW w:type="dxa" w:w="4320"/>
            <w:vAlign w:val="top"/>
          </w:tcPr>
          <w:p>
            <w:r>
              <w:t>255 minutes including agreement, tutorial, and scheduled 15-minute break</w:t>
            </w:r>
          </w:p>
        </w:tc>
      </w:tr>
      <w:tr>
        <w:tc>
          <w:tcPr>
            <w:tcW w:type="dxa" w:w="4320"/>
            <w:vAlign w:val="top"/>
          </w:tcPr>
          <w:p>
            <w:r>
              <w:t>Break</w:t>
            </w:r>
          </w:p>
        </w:tc>
        <w:tc>
          <w:tcPr>
            <w:tcW w:type="dxa" w:w="4320"/>
            <w:vAlign w:val="top"/>
          </w:tcPr>
          <w:p>
            <w:r>
              <w:t>Scheduled after Case 5</w:t>
            </w:r>
          </w:p>
        </w:tc>
      </w:tr>
      <w:tr>
        <w:tc>
          <w:tcPr>
            <w:tcW w:type="dxa" w:w="4320"/>
            <w:vAlign w:val="top"/>
          </w:tcPr>
          <w:p>
            <w:r>
              <w:t>Review rule</w:t>
            </w:r>
          </w:p>
        </w:tc>
        <w:tc>
          <w:tcPr>
            <w:tcW w:type="dxa" w:w="4320"/>
            <w:vAlign w:val="top"/>
          </w:tcPr>
          <w:p>
            <w:r>
              <w:t>Candidates may review within the current case section; after advancing, they cannot return to prior sections</w:t>
            </w:r>
          </w:p>
        </w:tc>
      </w:tr>
    </w:tbl>
    <w:tbl>
      <w:tblPr>
        <w:tblW w:type="auto" w:w="0"/>
        <w:jc w:val="center"/>
        <w:tblLook w:firstColumn="1" w:firstRow="1" w:lastColumn="0" w:lastRow="0" w:noHBand="0" w:noVBand="1" w:val="04A0"/>
      </w:tblPr>
      <w:tblGrid>
        <w:gridCol w:w="8640"/>
      </w:tblGrid>
      <w:tr>
        <w:tc>
          <w:tcPr>
            <w:tcW w:type="dxa" w:w="8640"/>
            <w:shd w:fill="FFF7DD"/>
            <w:tcBorders>
              <w:top w:val="single" w:sz="10" w:color="D9A928"/>
              <w:left w:val="single" w:sz="10" w:color="D9A928"/>
              <w:bottom w:val="single" w:sz="10" w:color="D9A928"/>
              <w:right w:val="single" w:sz="10" w:color="D9A928"/>
            </w:tcBorders>
          </w:tcPr>
          <w:p>
            <w:r>
              <w:rPr>
                <w:b/>
                <w:color w:val="142B4F"/>
              </w:rPr>
              <w:t>CURRENCY CONTROL</w:t>
            </w:r>
            <w:r>
              <w:br/>
              <w:t>This package is the current-format edition. CTA must replace or update affected materials before use with examinations administered on or after July 1, 2027.</w:t>
            </w:r>
          </w:p>
        </w:tc>
        <w:trPr>
          <w:tblHeader/>
        </w:trPr>
      </w:tr>
    </w:tbl>
    <w:p/>
    <w:p>
      <w:pPr>
        <w:pStyle w:val="Heading1"/>
      </w:pPr>
      <w:r>
        <w:t>3. Program Architecture</w:t>
      </w:r>
    </w:p>
    <w:p>
      <w:pPr>
        <w:pStyle w:val="ListBullet"/>
      </w:pPr>
      <w:r>
        <w:t>12 LPCC-specific student workbooks covering NCMHCE reasoning, counselor identity and scope, assessment, crisis, diagnosis, planning, theories, interventions, contextual care, collaboration, and California professional practice.</w:t>
      </w:r>
    </w:p>
    <w:p>
      <w:pPr>
        <w:pStyle w:val="ListBullet"/>
      </w:pPr>
      <w:r>
        <w:t>12 original 17-question candidate banks and 12 controlled answer-and-rationale forms - 204 workbook-bank questions total.</w:t>
      </w:r>
    </w:p>
    <w:p>
      <w:pPr>
        <w:pStyle w:val="ListBullet"/>
      </w:pPr>
      <w:r>
        <w:t>Three cumulative checkpoints: 39, 52, and 65 questions, each with a controlled rationale form.</w:t>
      </w:r>
    </w:p>
    <w:p>
      <w:pPr>
        <w:pStyle w:val="ListBullet"/>
      </w:pPr>
      <w:r>
        <w:t>Comprehensive Simulation Form A - 143 questions across 11 three-part cases.</w:t>
      </w:r>
    </w:p>
    <w:p>
      <w:pPr>
        <w:pStyle w:val="ListBullet"/>
      </w:pPr>
      <w:r>
        <w:t>Form A Remediation Workbook required before Form B.</w:t>
      </w:r>
    </w:p>
    <w:p>
      <w:pPr>
        <w:pStyle w:val="ListBullet"/>
      </w:pPr>
      <w:r>
        <w:t>Comprehensive Simulation Form B - 143 questions across 11 three-part cases.</w:t>
      </w:r>
    </w:p>
    <w:p>
      <w:pPr>
        <w:pStyle w:val="ListBullet"/>
      </w:pPr>
      <w:r>
        <w:t>132-card flashcard collection, quick-reference library, readiness tracker, FAQ, and 10-, 14-, and 18-week study schedules.</w:t>
      </w:r>
    </w:p>
    <w:p>
      <w:pPr>
        <w:pStyle w:val="ListBullet"/>
      </w:pPr>
      <w:r>
        <w:t>No recorded audio or video at launch. The recording-ready audio script is an internal future-production asset only.</w:t>
      </w:r>
    </w:p>
    <w:tbl>
      <w:tblPr>
        <w:tblW w:type="auto" w:w="0"/>
        <w:jc w:val="center"/>
        <w:tblLook w:firstColumn="1" w:firstRow="1" w:lastColumn="0" w:lastRow="0" w:noHBand="0" w:noVBand="1" w:val="04A0"/>
      </w:tblPr>
      <w:tblGrid>
        <w:gridCol w:w="8640"/>
      </w:tblGrid>
      <w:tr>
        <w:tc>
          <w:tcPr>
            <w:tcW w:type="dxa" w:w="8640"/>
            <w:shd w:fill="E8F6F6"/>
            <w:tcBorders>
              <w:top w:val="single" w:sz="10" w:color="159A9C"/>
              <w:left w:val="single" w:sz="10" w:color="159A9C"/>
              <w:bottom w:val="single" w:sz="10" w:color="159A9C"/>
              <w:right w:val="single" w:sz="10" w:color="159A9C"/>
            </w:tcBorders>
          </w:tcPr>
          <w:p>
            <w:r>
              <w:rPr>
                <w:b/>
                <w:color w:val="142B4F"/>
              </w:rPr>
              <w:t>CTA LEARNING MODEL</w:t>
            </w:r>
            <w:r>
              <w:br/>
              <w:t>PREVIEW -&gt; LEARN -&gt; APPLY -&gt; ANALYZE -&gt; REPAIR -&gt; REVISIT. Learners complete each workbook, commit to answers, study every rationale, repair the exact error, and progress through checkpoints before full simulation.</w:t>
            </w:r>
          </w:p>
        </w:tc>
        <w:trPr>
          <w:tblHeader/>
        </w:trPr>
      </w:tr>
    </w:tbl>
    <w:p/>
    <w:p>
      <w:pPr>
        <w:pStyle w:val="Heading1"/>
      </w:pPr>
      <w:r>
        <w:t>4. Website Sales-Page Copy</w:t>
      </w:r>
    </w:p>
    <w:p>
      <w:pPr>
        <w:pStyle w:val="Heading2"/>
      </w:pPr>
      <w:r>
        <w:t>Hero Headline</w:t>
      </w:r>
    </w:p>
    <w:p>
      <w:pPr>
        <w:jc w:val="center"/>
      </w:pPr>
      <w:r>
        <w:rPr>
          <w:b/>
          <w:color w:val="142B4F"/>
          <w:sz w:val="36"/>
        </w:rPr>
        <w:t>Prepare for the NCMHCE with Case-Based Clinical Reasoning</w:t>
      </w:r>
    </w:p>
    <w:p>
      <w:pPr>
        <w:pStyle w:val="Heading2"/>
      </w:pPr>
      <w:r>
        <w:t>Subheadline</w:t>
      </w:r>
    </w:p>
    <w:p>
      <w:r>
        <w:t>A complete LPCC-specific system with 12 workbooks, 204 focused workbook-bank questions, three cumulative checkpoints, detailed rationales, and two 143-question case-based simulations aligned to the current NCMHCE structure.</w:t>
      </w:r>
    </w:p>
    <w:p>
      <w:pPr>
        <w:pStyle w:val="Heading2"/>
      </w:pPr>
      <w:r>
        <w:t>Primary Call to Action</w:t>
      </w:r>
    </w:p>
    <w:p>
      <w:r>
        <w:t>Begin Your NCMHCE Preparation</w:t>
      </w:r>
    </w:p>
    <w:p>
      <w:pPr>
        <w:pStyle w:val="Heading2"/>
      </w:pPr>
      <w:r>
        <w:t>Program Description</w:t>
      </w:r>
    </w:p>
    <w:p>
      <w:r>
        <w:t>The CTA LPCC NCMHCE Exam Preparation Program is a complete self-paced learning system for APCCs, LPCC candidates, and other eligible examinees preparing for the National Clinical Mental Health Counseling Examination. The program teaches candidates to control the current case section, identify the exact task, integrate assessment and diagnosis, select a best-supported counseling action, and avoid answers that are clinically plausible but premature, unsupported, outside role, inaccessible, or incomplete.</w:t>
      </w:r>
    </w:p>
    <w:p>
      <w:pPr>
        <w:pStyle w:val="Heading2"/>
      </w:pPr>
      <w:r>
        <w:t>What Candidates Will Build</w:t>
      </w:r>
    </w:p>
    <w:p>
      <w:pPr>
        <w:pStyle w:val="ListBullet"/>
      </w:pPr>
      <w:r>
        <w:t>Use current-section evidence without importing facts from later case sections.</w:t>
      </w:r>
    </w:p>
    <w:p>
      <w:pPr>
        <w:pStyle w:val="ListBullet"/>
      </w:pPr>
      <w:r>
        <w:t>Distinguish FIRST, NEXT, BEST, MOST, and LEAST RESTRICTIVE tasks.</w:t>
      </w:r>
    </w:p>
    <w:p>
      <w:pPr>
        <w:pStyle w:val="ListBullet"/>
      </w:pPr>
      <w:r>
        <w:t>Apply LPCC scope, competence, informed consent, confidentiality, technology, and California professional-practice reasoning.</w:t>
      </w:r>
    </w:p>
    <w:p>
      <w:pPr>
        <w:pStyle w:val="ListBullet"/>
      </w:pPr>
      <w:r>
        <w:t>Sequence intake, assessment, differential diagnosis, crisis response, planning, intervention, measurement, referral, and continuity.</w:t>
      </w:r>
    </w:p>
    <w:p>
      <w:pPr>
        <w:pStyle w:val="ListBullet"/>
      </w:pPr>
      <w:r>
        <w:t>Match counseling theories, alliance responses, and interventions to the case mechanism, readiness, culture, access, and client preference.</w:t>
      </w:r>
    </w:p>
    <w:p>
      <w:pPr>
        <w:pStyle w:val="ListBullet"/>
      </w:pPr>
      <w:r>
        <w:t>Use complete option-by-option rationales and error codes to repair reasoning rather than memorize answer positions.</w:t>
      </w:r>
    </w:p>
    <w:p>
      <w:pPr>
        <w:pStyle w:val="ListBullet"/>
      </w:pPr>
      <w:r>
        <w:t>Build pacing, endurance, and case reorientation under two full current-format simulations.</w:t>
      </w:r>
    </w:p>
    <w:p>
      <w:pPr>
        <w:pStyle w:val="Heading2"/>
      </w:pPr>
      <w:r>
        <w:t>What Is Included</w:t>
      </w:r>
    </w:p>
    <w:p>
      <w:pPr>
        <w:pStyle w:val="ListBullet"/>
      </w:pPr>
      <w:r>
        <w:t>12 editable and print-optimized LPCC student workbooks.</w:t>
      </w:r>
    </w:p>
    <w:p>
      <w:pPr>
        <w:pStyle w:val="ListBullet"/>
      </w:pPr>
      <w:r>
        <w:t>12 paired 17-question candidate banks and controlled rationale forms.</w:t>
      </w:r>
    </w:p>
    <w:p>
      <w:pPr>
        <w:pStyle w:val="ListBullet"/>
      </w:pPr>
      <w:r>
        <w:t>Checkpoint 1 - 39 questions; Checkpoint 2 - 52 questions; Checkpoint 3 - 65 questions.</w:t>
      </w:r>
    </w:p>
    <w:p>
      <w:pPr>
        <w:pStyle w:val="ListBullet"/>
      </w:pPr>
      <w:r>
        <w:t>Comprehensive Simulation Form A - 143 questions with controlled rationales.</w:t>
      </w:r>
    </w:p>
    <w:p>
      <w:pPr>
        <w:pStyle w:val="ListBullet"/>
      </w:pPr>
      <w:r>
        <w:t>Form A Remediation Workbook.</w:t>
      </w:r>
    </w:p>
    <w:p>
      <w:pPr>
        <w:pStyle w:val="ListBullet"/>
      </w:pPr>
      <w:r>
        <w:t>Comprehensive Simulation Form B - 143 questions with controlled rationales and final readiness review.</w:t>
      </w:r>
    </w:p>
    <w:p>
      <w:pPr>
        <w:pStyle w:val="ListBullet"/>
      </w:pPr>
      <w:r>
        <w:t>132-card flashcard collection.</w:t>
      </w:r>
    </w:p>
    <w:p>
      <w:pPr>
        <w:pStyle w:val="ListBullet"/>
      </w:pPr>
      <w:r>
        <w:t>Quick-reference and rapid-review library.</w:t>
      </w:r>
    </w:p>
    <w:p>
      <w:pPr>
        <w:pStyle w:val="ListBullet"/>
      </w:pPr>
      <w:r>
        <w:t>Readiness self-assessment and progress tracker.</w:t>
      </w:r>
    </w:p>
    <w:p>
      <w:pPr>
        <w:pStyle w:val="ListBullet"/>
      </w:pPr>
      <w:r>
        <w:t>Student FAQ and 10-, 14-, and 18-week study schedules.</w:t>
      </w:r>
    </w:p>
    <w:tbl>
      <w:tblPr>
        <w:tblW w:type="auto" w:w="0"/>
        <w:jc w:val="center"/>
        <w:tblLook w:firstColumn="1" w:firstRow="1" w:lastColumn="0" w:lastRow="0" w:noHBand="0" w:noVBand="1" w:val="04A0"/>
      </w:tblPr>
      <w:tblGrid>
        <w:gridCol w:w="8640"/>
      </w:tblGrid>
      <w:tr>
        <w:tc>
          <w:tcPr>
            <w:tcW w:type="dxa" w:w="8640"/>
            <w:shd w:fill="FFF7DD"/>
            <w:tcBorders>
              <w:top w:val="single" w:sz="10" w:color="D9A928"/>
              <w:left w:val="single" w:sz="10" w:color="D9A928"/>
              <w:bottom w:val="single" w:sz="10" w:color="D9A928"/>
              <w:right w:val="single" w:sz="10" w:color="D9A928"/>
            </w:tcBorders>
          </w:tcPr>
          <w:p>
            <w:r>
              <w:rPr>
                <w:b/>
                <w:color w:val="142B4F"/>
              </w:rPr>
              <w:t>RECORDED MEDIA</w:t>
            </w:r>
            <w:r>
              <w:br/>
              <w:t>Recorded audio and video are not included or advertised at launch. The complete written curriculum and LMS-based assessment system can launch without recordings.</w:t>
            </w:r>
          </w:p>
        </w:tc>
        <w:trPr>
          <w:tblHeader/>
        </w:trPr>
      </w:tr>
    </w:tbl>
    <w:p/>
    <w:p>
      <w:pPr>
        <w:pStyle w:val="Heading1"/>
      </w:pPr>
      <w:r>
        <w:t>5. How the Program Works</w:t>
      </w:r>
    </w:p>
    <w:p>
      <w:pPr>
        <w:pStyle w:val="ListBullet"/>
      </w:pPr>
      <w:r>
        <w:t>Choose the 10-, 14-, or 18-week route and complete the baseline readiness self-assessment.</w:t>
      </w:r>
    </w:p>
    <w:p>
      <w:pPr>
        <w:pStyle w:val="ListBullet"/>
      </w:pPr>
      <w:r>
        <w:t>Complete one student workbook and its application activities.</w:t>
      </w:r>
    </w:p>
    <w:p>
      <w:pPr>
        <w:pStyle w:val="ListBullet"/>
      </w:pPr>
      <w:r>
        <w:t>Submit the matching 17-question candidate bank before opening the rationale form.</w:t>
      </w:r>
    </w:p>
    <w:p>
      <w:pPr>
        <w:pStyle w:val="ListBullet"/>
      </w:pPr>
      <w:r>
        <w:t>Review the correct answer, every distractor, the CTA Exam Strategy, and the error code.</w:t>
      </w:r>
    </w:p>
    <w:p>
      <w:pPr>
        <w:pStyle w:val="ListBullet"/>
      </w:pPr>
      <w:r>
        <w:t>Complete Checkpoint 1 after WB4, Checkpoint 2 after WB8, and Checkpoint 3 after WB12.</w:t>
      </w:r>
    </w:p>
    <w:p>
      <w:pPr>
        <w:pStyle w:val="ListBullet"/>
      </w:pPr>
      <w:r>
        <w:t>Take Form A under current-format simulated conditions.</w:t>
      </w:r>
    </w:p>
    <w:p>
      <w:pPr>
        <w:pStyle w:val="ListBullet"/>
      </w:pPr>
      <w:r>
        <w:t>Complete the written Form A remediation gate.</w:t>
      </w:r>
    </w:p>
    <w:p>
      <w:pPr>
        <w:pStyle w:val="ListBullet"/>
      </w:pPr>
      <w:r>
        <w:t>Take Form B as the final fresh readiness assessment and use the controlled rationale form for targeted final review.</w:t>
      </w:r>
    </w:p>
    <w:p>
      <w:pPr>
        <w:pStyle w:val="Heading2"/>
      </w:pPr>
      <w:r>
        <w:t>Who This Program Is For</w:t>
      </w:r>
    </w:p>
    <w:p>
      <w:pPr>
        <w:pStyle w:val="ListBullet"/>
      </w:pPr>
      <w:r>
        <w:t>California APCCs and LPCC candidates preparing for the NCMHCE.</w:t>
      </w:r>
    </w:p>
    <w:p>
      <w:pPr>
        <w:pStyle w:val="ListBullet"/>
      </w:pPr>
      <w:r>
        <w:t>Other eligible candidates in jurisdictions that use the NCMHCE for licensure or credentialing.</w:t>
      </w:r>
    </w:p>
    <w:p>
      <w:pPr>
        <w:pStyle w:val="ListBullet"/>
      </w:pPr>
      <w:r>
        <w:t>Candidates who need case-based counselor reasoning rather than isolated content review.</w:t>
      </w:r>
    </w:p>
    <w:p>
      <w:pPr>
        <w:pStyle w:val="ListBullet"/>
      </w:pPr>
      <w:r>
        <w:t>Working professionals who need a self-paced, printable, asynchronous study system.</w:t>
      </w:r>
    </w:p>
    <w:p>
      <w:pPr>
        <w:pStyle w:val="Heading2"/>
      </w:pPr>
      <w:r>
        <w:t>What This Program Is Not</w:t>
      </w:r>
    </w:p>
    <w:p>
      <w:pPr>
        <w:pStyle w:val="ListBullet"/>
      </w:pPr>
      <w:r>
        <w:t>It is not continuing education and does not provide CE credit or a CE certificate.</w:t>
      </w:r>
    </w:p>
    <w:p>
      <w:pPr>
        <w:pStyle w:val="ListBullet"/>
      </w:pPr>
      <w:r>
        <w:t>It does not determine examination eligibility, licensure, certification, or employment.</w:t>
      </w:r>
    </w:p>
    <w:p>
      <w:pPr>
        <w:pStyle w:val="ListBullet"/>
      </w:pPr>
      <w:r>
        <w:t>It does not reproduce live, recalled, copied, or unauthorized licensing-examination questions.</w:t>
      </w:r>
    </w:p>
    <w:p>
      <w:pPr>
        <w:pStyle w:val="ListBullet"/>
      </w:pPr>
      <w:r>
        <w:t>It does not guarantee passage and is not affiliated with or endorsed by NBCC, CCE, Pearson VUE, or the California BBS.</w:t>
      </w:r>
    </w:p>
    <w:p>
      <w:pPr>
        <w:pStyle w:val="Heading1"/>
      </w:pPr>
      <w:r>
        <w:t>6. Website Product Configuration</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42B4F"/>
          </w:tcPr>
          <w:p>
            <w:pPr>
              <w:jc w:val="left"/>
            </w:pPr>
            <w:r>
              <w:rPr>
                <w:b/>
                <w:color w:val="FFFFFF"/>
              </w:rPr>
              <w:t>Field</w:t>
            </w:r>
          </w:p>
        </w:tc>
        <w:tc>
          <w:tcPr>
            <w:tcW w:type="dxa" w:w="4320"/>
            <w:shd w:fill="142B4F"/>
          </w:tcPr>
          <w:p>
            <w:pPr>
              <w:jc w:val="left"/>
            </w:pPr>
            <w:r>
              <w:rPr>
                <w:b/>
                <w:color w:val="FFFFFF"/>
              </w:rPr>
              <w:t>Approved Entry</w:t>
            </w:r>
          </w:p>
        </w:tc>
      </w:tr>
      <w:tr>
        <w:tc>
          <w:tcPr>
            <w:tcW w:type="dxa" w:w="4320"/>
            <w:vAlign w:val="top"/>
          </w:tcPr>
          <w:p>
            <w:r>
              <w:t>Public product title</w:t>
            </w:r>
          </w:p>
        </w:tc>
        <w:tc>
          <w:tcPr>
            <w:tcW w:type="dxa" w:w="4320"/>
            <w:vAlign w:val="top"/>
          </w:tcPr>
          <w:p>
            <w:r>
              <w:t>CTA LPCC NCMHCE Exam Preparation Program</w:t>
            </w:r>
          </w:p>
        </w:tc>
      </w:tr>
      <w:tr>
        <w:tc>
          <w:tcPr>
            <w:tcW w:type="dxa" w:w="4320"/>
            <w:vAlign w:val="top"/>
          </w:tcPr>
          <w:p>
            <w:r>
              <w:t>Product category</w:t>
            </w:r>
          </w:p>
        </w:tc>
        <w:tc>
          <w:tcPr>
            <w:tcW w:type="dxa" w:w="4320"/>
            <w:vAlign w:val="top"/>
          </w:tcPr>
          <w:p>
            <w:r>
              <w:t>Exam Preparation &gt; Clinical Examination</w:t>
            </w:r>
          </w:p>
        </w:tc>
      </w:tr>
      <w:tr>
        <w:tc>
          <w:tcPr>
            <w:tcW w:type="dxa" w:w="4320"/>
            <w:vAlign w:val="top"/>
          </w:tcPr>
          <w:p>
            <w:r>
              <w:t>Status</w:t>
            </w:r>
          </w:p>
        </w:tc>
        <w:tc>
          <w:tcPr>
            <w:tcW w:type="dxa" w:w="4320"/>
            <w:vAlign w:val="top"/>
          </w:tcPr>
          <w:p>
            <w:r>
              <w:t>Available / Launch after implementation testing</w:t>
            </w:r>
          </w:p>
        </w:tc>
      </w:tr>
      <w:tr>
        <w:tc>
          <w:tcPr>
            <w:tcW w:type="dxa" w:w="4320"/>
            <w:vAlign w:val="top"/>
          </w:tcPr>
          <w:p>
            <w:r>
              <w:t>Launch price</w:t>
            </w:r>
          </w:p>
        </w:tc>
        <w:tc>
          <w:tcPr>
            <w:tcW w:type="dxa" w:w="4320"/>
            <w:vAlign w:val="top"/>
          </w:tcPr>
          <w:p>
            <w:r>
              <w:t>$249</w:t>
            </w:r>
          </w:p>
        </w:tc>
      </w:tr>
      <w:tr>
        <w:tc>
          <w:tcPr>
            <w:tcW w:type="dxa" w:w="4320"/>
            <w:vAlign w:val="top"/>
          </w:tcPr>
          <w:p>
            <w:r>
              <w:t>Access period</w:t>
            </w:r>
          </w:p>
        </w:tc>
        <w:tc>
          <w:tcPr>
            <w:tcW w:type="dxa" w:w="4320"/>
            <w:vAlign w:val="top"/>
          </w:tcPr>
          <w:p>
            <w:r>
              <w:t>6 months from enrollment</w:t>
            </w:r>
          </w:p>
        </w:tc>
      </w:tr>
      <w:tr>
        <w:tc>
          <w:tcPr>
            <w:tcW w:type="dxa" w:w="4320"/>
            <w:vAlign w:val="top"/>
          </w:tcPr>
          <w:p>
            <w:r>
              <w:t>Instructional method</w:t>
            </w:r>
          </w:p>
        </w:tc>
        <w:tc>
          <w:tcPr>
            <w:tcW w:type="dxa" w:w="4320"/>
            <w:vAlign w:val="top"/>
          </w:tcPr>
          <w:p>
            <w:r>
              <w:t>Self-paced asynchronous online program with editable and printable resources</w:t>
            </w:r>
          </w:p>
        </w:tc>
      </w:tr>
      <w:tr>
        <w:tc>
          <w:tcPr>
            <w:tcW w:type="dxa" w:w="4320"/>
            <w:vAlign w:val="top"/>
          </w:tcPr>
          <w:p>
            <w:r>
              <w:t>CE classification</w:t>
            </w:r>
          </w:p>
        </w:tc>
        <w:tc>
          <w:tcPr>
            <w:tcW w:type="dxa" w:w="4320"/>
            <w:vAlign w:val="top"/>
          </w:tcPr>
          <w:p>
            <w:r>
              <w:t>Exam Preparation Only | No CE Credit</w:t>
            </w:r>
          </w:p>
        </w:tc>
      </w:tr>
      <w:tr>
        <w:tc>
          <w:tcPr>
            <w:tcW w:type="dxa" w:w="4320"/>
            <w:vAlign w:val="top"/>
          </w:tcPr>
          <w:p>
            <w:r>
              <w:t>Primary button</w:t>
            </w:r>
          </w:p>
        </w:tc>
        <w:tc>
          <w:tcPr>
            <w:tcW w:type="dxa" w:w="4320"/>
            <w:vAlign w:val="top"/>
          </w:tcPr>
          <w:p>
            <w:r>
              <w:t>Begin Your NCMHCE Preparation</w:t>
            </w:r>
          </w:p>
        </w:tc>
      </w:tr>
      <w:tr>
        <w:tc>
          <w:tcPr>
            <w:tcW w:type="dxa" w:w="4320"/>
            <w:vAlign w:val="top"/>
          </w:tcPr>
          <w:p>
            <w:r>
              <w:t>URL slug</w:t>
            </w:r>
          </w:p>
        </w:tc>
        <w:tc>
          <w:tcPr>
            <w:tcW w:type="dxa" w:w="4320"/>
            <w:vAlign w:val="top"/>
          </w:tcPr>
          <w:p>
            <w:r>
              <w:t>lpcc-ncmhce-exam-preparation</w:t>
            </w:r>
          </w:p>
        </w:tc>
      </w:tr>
      <w:tr>
        <w:tc>
          <w:tcPr>
            <w:tcW w:type="dxa" w:w="4320"/>
            <w:vAlign w:val="top"/>
          </w:tcPr>
          <w:p>
            <w:r>
              <w:t>SEO title</w:t>
            </w:r>
          </w:p>
        </w:tc>
        <w:tc>
          <w:tcPr>
            <w:tcW w:type="dxa" w:w="4320"/>
            <w:vAlign w:val="top"/>
          </w:tcPr>
          <w:p>
            <w:r>
              <w:t>LPCC NCMHCE Exam Prep | CTA</w:t>
            </w:r>
          </w:p>
        </w:tc>
      </w:tr>
      <w:tr>
        <w:tc>
          <w:tcPr>
            <w:tcW w:type="dxa" w:w="4320"/>
            <w:vAlign w:val="top"/>
          </w:tcPr>
          <w:p>
            <w:r>
              <w:t>Meta description</w:t>
            </w:r>
          </w:p>
        </w:tc>
        <w:tc>
          <w:tcPr>
            <w:tcW w:type="dxa" w:w="4320"/>
            <w:vAlign w:val="top"/>
          </w:tcPr>
          <w:p>
            <w:r>
              <w:t>Prepare for the NCMHCE with 12 LPCC workbooks, 204 focused workbook-bank questions, three checkpoints, complete rationales, and two 143-question case-based simulations.</w:t>
            </w:r>
          </w:p>
        </w:tc>
      </w:tr>
      <w:tr>
        <w:tc>
          <w:tcPr>
            <w:tcW w:type="dxa" w:w="4320"/>
            <w:vAlign w:val="top"/>
          </w:tcPr>
          <w:p>
            <w:r>
              <w:t>Page badge</w:t>
            </w:r>
          </w:p>
        </w:tc>
        <w:tc>
          <w:tcPr>
            <w:tcW w:type="dxa" w:w="4320"/>
            <w:vAlign w:val="top"/>
          </w:tcPr>
          <w:p>
            <w:r>
              <w:t>Exam Preparation • No CE Credit</w:t>
            </w:r>
          </w:p>
        </w:tc>
      </w:tr>
      <w:tr>
        <w:tc>
          <w:tcPr>
            <w:tcW w:type="dxa" w:w="4320"/>
            <w:vAlign w:val="top"/>
          </w:tcPr>
          <w:p>
            <w:r>
              <w:t>Image alt text</w:t>
            </w:r>
          </w:p>
        </w:tc>
        <w:tc>
          <w:tcPr>
            <w:tcW w:type="dxa" w:w="4320"/>
            <w:vAlign w:val="top"/>
          </w:tcPr>
          <w:p>
            <w:r>
              <w:t>Clinical Training and Supervision Academy LPCC NCMHCE Exam Preparation Program graphic</w:t>
            </w:r>
          </w:p>
        </w:tc>
      </w:tr>
    </w:tbl>
    <w:p>
      <w:pPr>
        <w:pStyle w:val="Heading2"/>
      </w:pPr>
      <w:r>
        <w:t>Required Notices</w:t>
      </w:r>
    </w:p>
    <w:p>
      <w:pPr>
        <w:pStyle w:val="ListBullet"/>
      </w:pPr>
      <w:r>
        <w:t>Exam Preparation Only - No CE Credit.</w:t>
      </w:r>
    </w:p>
    <w:p>
      <w:pPr>
        <w:pStyle w:val="ListBullet"/>
      </w:pPr>
      <w:r>
        <w:t>CTA is an independent educational resource and is not affiliated with or endorsed by NBCC, CCE, Pearson VUE, or any state licensing board.</w:t>
      </w:r>
    </w:p>
    <w:p>
      <w:pPr>
        <w:pStyle w:val="ListBullet"/>
      </w:pPr>
      <w:r>
        <w:t>Participation supports examination readiness but does not guarantee passage or determine eligibility.</w:t>
      </w:r>
    </w:p>
    <w:p>
      <w:pPr>
        <w:pStyle w:val="ListBullet"/>
      </w:pPr>
      <w:r>
        <w:t>Candidates should follow the official handbook, blueprint, and rules that apply to their actual testing date and jurisdiction.</w:t>
      </w:r>
    </w:p>
    <w:p>
      <w:pPr>
        <w:pStyle w:val="Heading2"/>
      </w:pPr>
      <w:r>
        <w:t>Frequently Asked Questions</w:t>
      </w:r>
    </w:p>
    <w:p>
      <w:r>
        <w:rPr>
          <w:b/>
          <w:color w:val="159A9C"/>
        </w:rPr>
        <w:t>Does this program provide continuing education credit?</w:t>
      </w:r>
    </w:p>
    <w:p>
      <w:r>
        <w:t>No. It is an examination-preparation program and does not provide CE hours or a CE certificate.</w:t>
      </w:r>
    </w:p>
    <w:p>
      <w:r>
        <w:rPr>
          <w:b/>
          <w:color w:val="159A9C"/>
        </w:rPr>
        <w:t>Who is the program for?</w:t>
      </w:r>
    </w:p>
    <w:p>
      <w:r>
        <w:t>It is designed for California APCCs/LPCC candidates and other eligible NCMHCE examinees. Eligibility is determined by the applicable board or credentialing organization.</w:t>
      </w:r>
    </w:p>
    <w:p>
      <w:r>
        <w:rPr>
          <w:b/>
          <w:color w:val="159A9C"/>
        </w:rPr>
        <w:t>Does it use the current NCMHCE format?</w:t>
      </w:r>
    </w:p>
    <w:p>
      <w:r>
        <w:t>Yes. The current-format materials use 11 three-part case studies, four-option questions, 225 minutes of examination time, and a scheduled break after Case 5.</w:t>
      </w:r>
    </w:p>
    <w:p>
      <w:r>
        <w:rPr>
          <w:b/>
          <w:color w:val="159A9C"/>
        </w:rPr>
        <w:t>How many full simulations are included?</w:t>
      </w:r>
    </w:p>
    <w:p>
      <w:r>
        <w:t>Two separate 143-question forms are included. Rationales remain controlled until the associated form is submitted.</w:t>
      </w:r>
    </w:p>
    <w:p>
      <w:r>
        <w:rPr>
          <w:b/>
          <w:color w:val="159A9C"/>
        </w:rPr>
        <w:t>Are the materials printable?</w:t>
      </w:r>
    </w:p>
    <w:p>
      <w:r>
        <w:t>Yes. The program is designed for LMS delivery, editable Word downloads, and print use.</w:t>
      </w:r>
    </w:p>
    <w:p>
      <w:r>
        <w:rPr>
          <w:b/>
          <w:color w:val="159A9C"/>
        </w:rPr>
        <w:t>Are recorded lessons included?</w:t>
      </w:r>
    </w:p>
    <w:p>
      <w:r>
        <w:t>No. Recorded audio and video are not included at launch.</w:t>
      </w:r>
    </w:p>
    <w:p>
      <w:r>
        <w:rPr>
          <w:b/>
          <w:color w:val="159A9C"/>
        </w:rPr>
        <w:t>Does CTA guarantee passage?</w:t>
      </w:r>
    </w:p>
    <w:p>
      <w:r>
        <w:t>No. CTA supports preparation and professional reasoning but cannot guarantee passage or determine eligibility.</w:t>
      </w:r>
    </w:p>
    <w:p>
      <w:pPr>
        <w:pStyle w:val="Heading1"/>
      </w:pPr>
      <w:r>
        <w:t>7. David Implementation Instructions</w:t>
      </w:r>
    </w:p>
    <w:p>
      <w:pPr>
        <w:pStyle w:val="ListBullet"/>
      </w:pPr>
      <w:r>
        <w:t>Use the exact public title, price, six-month access period, examination name, and no-CE classification shown in this package.</w:t>
      </w:r>
    </w:p>
    <w:p>
      <w:pPr>
        <w:pStyle w:val="ListBullet"/>
      </w:pPr>
      <w:r>
        <w:t>Keep this product outside CTA CE-only memberships unless an approved bundle specifically includes it.</w:t>
      </w:r>
    </w:p>
    <w:p>
      <w:pPr>
        <w:pStyle w:val="ListBullet"/>
      </w:pPr>
      <w:r>
        <w:t>Use approved CTA branding and preserve the logo proportions and white space.</w:t>
      </w:r>
    </w:p>
    <w:p>
      <w:pPr>
        <w:pStyle w:val="ListBullet"/>
      </w:pPr>
      <w:r>
        <w:t>Do not place workbooks, banks, checkpoints, simulations, keys, or administrative records on a public webpage.</w:t>
      </w:r>
    </w:p>
    <w:p>
      <w:pPr>
        <w:pStyle w:val="ListBullet"/>
      </w:pPr>
      <w:r>
        <w:t>In the LMS, release each candidate bank after the matching workbook; keep its rationale form hidden until submission.</w:t>
      </w:r>
    </w:p>
    <w:p>
      <w:pPr>
        <w:pStyle w:val="ListBullet"/>
      </w:pPr>
      <w:r>
        <w:t>Release Checkpoints 1, 2, and 3 at the approved WB4, WB8, and WB12 gates; hide rationales until submission.</w:t>
      </w:r>
    </w:p>
    <w:p>
      <w:pPr>
        <w:pStyle w:val="ListBullet"/>
      </w:pPr>
      <w:r>
        <w:t>Keep Form A rationales hidden until Form A submission. Require the Form A Remediation Workbook before Form B unlocks.</w:t>
      </w:r>
    </w:p>
    <w:p>
      <w:pPr>
        <w:pStyle w:val="ListBullet"/>
      </w:pPr>
      <w:r>
        <w:t>Keep Form B rationales hidden until complete submission.</w:t>
      </w:r>
    </w:p>
    <w:p>
      <w:pPr>
        <w:pStyle w:val="ListBullet"/>
      </w:pPr>
      <w:r>
        <w:t>Place crosswalks, source controls, official guides, audits, and production assets in restricted administrator folders.</w:t>
      </w:r>
    </w:p>
    <w:p>
      <w:pPr>
        <w:pStyle w:val="ListBullet"/>
      </w:pPr>
      <w:r>
        <w:t>Do not publish or advertise the unrecorded audio-review script.</w:t>
      </w:r>
    </w:p>
    <w:p>
      <w:pPr>
        <w:pStyle w:val="ListBullet"/>
      </w:pPr>
      <w:r>
        <w:t>Run desktop, tablet, mobile, checkout, enrollment, download, section-locking, scoring, access-expiration, and student-role tests before launch.</w:t>
      </w:r>
    </w:p>
    <w:p>
      <w:pPr>
        <w:pStyle w:val="Heading2"/>
      </w:pPr>
      <w:r>
        <w:t>Recommended LMS Folder Structure</w:t>
      </w:r>
    </w:p>
    <w:p>
      <w:r>
        <w:rPr>
          <w:rFonts w:ascii="Courier New" w:hAnsi="Courier New"/>
          <w:sz w:val="18"/>
        </w:rPr>
        <w:t>LPCC_NCMHCE_Exam_Preparation/</w:t>
        <w:br/>
        <w:t xml:space="preserve">  00_Start_Here/</w:t>
        <w:br/>
        <w:t xml:space="preserve">  01_Workbooks/WB01 ... WB12/</w:t>
        <w:br/>
        <w:t xml:space="preserve">  02_Workbook_Practice_Banks/WB01 ... WB12/</w:t>
        <w:br/>
        <w:t xml:space="preserve">  03_Cumulative_Checkpoints/Checkpoint_1 ... Checkpoint_3/</w:t>
        <w:br/>
        <w:t xml:space="preserve">  04_Comprehensive_Simulations/Form_A, Remediation, Form_B/</w:t>
        <w:br/>
        <w:t xml:space="preserve">  05_Resource_Library/</w:t>
        <w:br/>
        <w:t xml:space="preserve">  90_Admin_Restricted/</w:t>
        <w:br/>
        <w:t xml:space="preserve">  99_Archive_Superseded_Do_Not_Publish/</w:t>
      </w:r>
    </w:p>
    <w:p>
      <w:pPr>
        <w:pStyle w:val="Heading1"/>
      </w:pPr>
      <w:r>
        <w:t>8. Release Inventory and File Controls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42B4F"/>
          </w:tcPr>
          <w:p>
            <w:r>
              <w:rPr>
                <w:b/>
                <w:color w:val="FFFFFF"/>
              </w:rPr>
              <w:t>Component</w:t>
            </w:r>
          </w:p>
        </w:tc>
        <w:tc>
          <w:tcPr>
            <w:tcW w:type="dxa" w:w="2880"/>
            <w:shd w:fill="142B4F"/>
          </w:tcPr>
          <w:p>
            <w:r>
              <w:rPr>
                <w:b/>
                <w:color w:val="FFFFFF"/>
              </w:rPr>
              <w:t>Count / Control</w:t>
            </w:r>
          </w:p>
        </w:tc>
        <w:tc>
          <w:tcPr>
            <w:tcW w:type="dxa" w:w="2880"/>
            <w:shd w:fill="142B4F"/>
          </w:tcPr>
          <w:p>
            <w:r>
              <w:rPr>
                <w:b/>
                <w:color w:val="FFFFFF"/>
              </w:rPr>
              <w:t>Disposition</w:t>
            </w:r>
          </w:p>
        </w:tc>
      </w:tr>
      <w:tr>
        <w:tc>
          <w:tcPr>
            <w:tcW w:type="dxa" w:w="2880"/>
          </w:tcPr>
          <w:p>
            <w:r>
              <w:t>Student workbooks</w:t>
            </w:r>
          </w:p>
        </w:tc>
        <w:tc>
          <w:tcPr>
            <w:tcW w:type="dxa" w:w="2880"/>
          </w:tcPr>
          <w:p>
            <w:r>
              <w:t>12</w:t>
            </w:r>
          </w:p>
        </w:tc>
        <w:tc>
          <w:tcPr>
            <w:tcW w:type="dxa" w:w="2880"/>
          </w:tcPr>
          <w:p>
            <w:r>
              <w:t>Learner-facing</w:t>
            </w:r>
          </w:p>
        </w:tc>
      </w:tr>
      <w:tr>
        <w:tc>
          <w:tcPr>
            <w:tcW w:type="dxa" w:w="2880"/>
          </w:tcPr>
          <w:p>
            <w:r>
              <w:t>Workbook candidate banks</w:t>
            </w:r>
          </w:p>
        </w:tc>
        <w:tc>
          <w:tcPr>
            <w:tcW w:type="dxa" w:w="2880"/>
          </w:tcPr>
          <w:p>
            <w:r>
              <w:t>12 x 17 questions = 204</w:t>
            </w:r>
          </w:p>
        </w:tc>
        <w:tc>
          <w:tcPr>
            <w:tcW w:type="dxa" w:w="2880"/>
          </w:tcPr>
          <w:p>
            <w:r>
              <w:t>Learner-facing after workbook completion</w:t>
            </w:r>
          </w:p>
        </w:tc>
      </w:tr>
      <w:tr>
        <w:tc>
          <w:tcPr>
            <w:tcW w:type="dxa" w:w="2880"/>
          </w:tcPr>
          <w:p>
            <w:r>
              <w:t>Workbook rationale forms</w:t>
            </w:r>
          </w:p>
        </w:tc>
        <w:tc>
          <w:tcPr>
            <w:tcW w:type="dxa" w:w="2880"/>
          </w:tcPr>
          <w:p>
            <w:r>
              <w:t>12</w:t>
            </w:r>
          </w:p>
        </w:tc>
        <w:tc>
          <w:tcPr>
            <w:tcW w:type="dxa" w:w="2880"/>
          </w:tcPr>
          <w:p>
            <w:r>
              <w:t>Controlled learner release after bank submission</w:t>
            </w:r>
          </w:p>
        </w:tc>
      </w:tr>
      <w:tr>
        <w:tc>
          <w:tcPr>
            <w:tcW w:type="dxa" w:w="2880"/>
          </w:tcPr>
          <w:p>
            <w:r>
              <w:t>Cumulative checkpoints</w:t>
            </w:r>
          </w:p>
        </w:tc>
        <w:tc>
          <w:tcPr>
            <w:tcW w:type="dxa" w:w="2880"/>
          </w:tcPr>
          <w:p>
            <w:r>
              <w:t>39, 52, and 65 questions</w:t>
            </w:r>
          </w:p>
        </w:tc>
        <w:tc>
          <w:tcPr>
            <w:tcW w:type="dxa" w:w="2880"/>
          </w:tcPr>
          <w:p>
            <w:r>
              <w:t>Controlled milestone assessments</w:t>
            </w:r>
          </w:p>
        </w:tc>
      </w:tr>
      <w:tr>
        <w:tc>
          <w:tcPr>
            <w:tcW w:type="dxa" w:w="2880"/>
          </w:tcPr>
          <w:p>
            <w:r>
              <w:t>Comprehensive simulations</w:t>
            </w:r>
          </w:p>
        </w:tc>
        <w:tc>
          <w:tcPr>
            <w:tcW w:type="dxa" w:w="2880"/>
          </w:tcPr>
          <w:p>
            <w:r>
              <w:t>2 x 143 questions</w:t>
            </w:r>
          </w:p>
        </w:tc>
        <w:tc>
          <w:tcPr>
            <w:tcW w:type="dxa" w:w="2880"/>
          </w:tcPr>
          <w:p>
            <w:r>
              <w:t>Timed controlled forms</w:t>
            </w:r>
          </w:p>
        </w:tc>
      </w:tr>
      <w:tr>
        <w:tc>
          <w:tcPr>
            <w:tcW w:type="dxa" w:w="2880"/>
          </w:tcPr>
          <w:p>
            <w:r>
              <w:t>Simulation rationale forms</w:t>
            </w:r>
          </w:p>
        </w:tc>
        <w:tc>
          <w:tcPr>
            <w:tcW w:type="dxa" w:w="2880"/>
          </w:tcPr>
          <w:p>
            <w:r>
              <w:t>2</w:t>
            </w:r>
          </w:p>
        </w:tc>
        <w:tc>
          <w:tcPr>
            <w:tcW w:type="dxa" w:w="2880"/>
          </w:tcPr>
          <w:p>
            <w:r>
              <w:t>Controlled learner release</w:t>
            </w:r>
          </w:p>
        </w:tc>
      </w:tr>
      <w:tr>
        <w:tc>
          <w:tcPr>
            <w:tcW w:type="dxa" w:w="2880"/>
          </w:tcPr>
          <w:p>
            <w:r>
              <w:t>Form A remediation</w:t>
            </w:r>
          </w:p>
        </w:tc>
        <w:tc>
          <w:tcPr>
            <w:tcW w:type="dxa" w:w="2880"/>
          </w:tcPr>
          <w:p>
            <w:r>
              <w:t>1</w:t>
            </w:r>
          </w:p>
        </w:tc>
        <w:tc>
          <w:tcPr>
            <w:tcW w:type="dxa" w:w="2880"/>
          </w:tcPr>
          <w:p>
            <w:r>
              <w:t>Required gate before Form B</w:t>
            </w:r>
          </w:p>
        </w:tc>
      </w:tr>
      <w:tr>
        <w:tc>
          <w:tcPr>
            <w:tcW w:type="dxa" w:w="2880"/>
          </w:tcPr>
          <w:p>
            <w:r>
              <w:t>Flashcards</w:t>
            </w:r>
          </w:p>
        </w:tc>
        <w:tc>
          <w:tcPr>
            <w:tcW w:type="dxa" w:w="2880"/>
          </w:tcPr>
          <w:p>
            <w:r>
              <w:t>132 cards</w:t>
            </w:r>
          </w:p>
        </w:tc>
        <w:tc>
          <w:tcPr>
            <w:tcW w:type="dxa" w:w="2880"/>
          </w:tcPr>
          <w:p>
            <w:r>
              <w:t>Learner-facing</w:t>
            </w:r>
          </w:p>
        </w:tc>
      </w:tr>
      <w:tr>
        <w:tc>
          <w:tcPr>
            <w:tcW w:type="dxa" w:w="2880"/>
          </w:tcPr>
          <w:p>
            <w:r>
              <w:t>Quick-reference library</w:t>
            </w:r>
          </w:p>
        </w:tc>
        <w:tc>
          <w:tcPr>
            <w:tcW w:type="dxa" w:w="2880"/>
          </w:tcPr>
          <w:p>
            <w:r>
              <w:t>1 collection</w:t>
            </w:r>
          </w:p>
        </w:tc>
        <w:tc>
          <w:tcPr>
            <w:tcW w:type="dxa" w:w="2880"/>
          </w:tcPr>
          <w:p>
            <w:r>
              <w:t>Learner-facing</w:t>
            </w:r>
          </w:p>
        </w:tc>
      </w:tr>
      <w:tr>
        <w:tc>
          <w:tcPr>
            <w:tcW w:type="dxa" w:w="2880"/>
          </w:tcPr>
          <w:p>
            <w:r>
              <w:t>Recorded media</w:t>
            </w:r>
          </w:p>
        </w:tc>
        <w:tc>
          <w:tcPr>
            <w:tcW w:type="dxa" w:w="2880"/>
          </w:tcPr>
          <w:p>
            <w:r>
              <w:t>0 playable files</w:t>
            </w:r>
          </w:p>
        </w:tc>
        <w:tc>
          <w:tcPr>
            <w:tcW w:type="dxa" w:w="2880"/>
          </w:tcPr>
          <w:p>
            <w:r>
              <w:t>Do not advertise</w:t>
            </w:r>
          </w:p>
        </w:tc>
      </w:tr>
      <w:tr>
        <w:tc>
          <w:tcPr>
            <w:tcW w:type="dxa" w:w="2880"/>
          </w:tcPr>
          <w:p>
            <w:r>
              <w:t>Audio review script</w:t>
            </w:r>
          </w:p>
        </w:tc>
        <w:tc>
          <w:tcPr>
            <w:tcW w:type="dxa" w:w="2880"/>
          </w:tcPr>
          <w:p>
            <w:r>
              <w:t>1 recording-ready Word script</w:t>
            </w:r>
          </w:p>
        </w:tc>
        <w:tc>
          <w:tcPr>
            <w:tcW w:type="dxa" w:w="2880"/>
          </w:tcPr>
          <w:p>
            <w:r>
              <w:t>Internal future production only</w:t>
            </w:r>
          </w:p>
        </w:tc>
      </w:tr>
      <w:tr>
        <w:tc>
          <w:tcPr>
            <w:tcW w:type="dxa" w:w="2880"/>
          </w:tcPr>
          <w:p>
            <w:r>
              <w:t>Blocking file-integrity defects</w:t>
            </w:r>
          </w:p>
        </w:tc>
        <w:tc>
          <w:tcPr>
            <w:tcW w:type="dxa" w:w="2880"/>
          </w:tcPr>
          <w:p>
            <w:r>
              <w:t>0 in controlling inventory</w:t>
            </w:r>
          </w:p>
        </w:tc>
        <w:tc>
          <w:tcPr>
            <w:tcW w:type="dxa" w:w="2880"/>
          </w:tcPr>
          <w:p>
            <w:r>
              <w:t>Pass</w:t>
            </w:r>
          </w:p>
        </w:tc>
      </w:tr>
    </w:tbl>
    <w:p>
      <w:pPr>
        <w:pStyle w:val="Heading2"/>
      </w:pPr>
      <w:r>
        <w:t>Restricted Files</w:t>
      </w:r>
    </w:p>
    <w:p>
      <w:pPr>
        <w:pStyle w:val="ListBullet"/>
      </w:pPr>
      <w:r>
        <w:t>Assessment keys before submission.</w:t>
      </w:r>
    </w:p>
    <w:p>
      <w:pPr>
        <w:pStyle w:val="ListBullet"/>
      </w:pPr>
      <w:r>
        <w:t>Blueprint crosswalks, curriculum maps, source-control logs, and audit evidence.</w:t>
      </w:r>
    </w:p>
    <w:p>
      <w:pPr>
        <w:pStyle w:val="ListBullet"/>
      </w:pPr>
      <w:r>
        <w:t>Official source reference copies and internal legal/exam update records.</w:t>
      </w:r>
    </w:p>
    <w:p>
      <w:pPr>
        <w:pStyle w:val="ListBullet"/>
      </w:pPr>
      <w:r>
        <w:t>The unrecorded audio script and any future production notes.</w:t>
      </w:r>
    </w:p>
    <w:p>
      <w:pPr>
        <w:pStyle w:val="ListBullet"/>
      </w:pPr>
      <w:r>
        <w:t>Prepublication reports, duplicates, and superseded files.</w:t>
      </w:r>
    </w:p>
    <w:p>
      <w:pPr>
        <w:pStyle w:val="Heading1"/>
      </w:pPr>
      <w:r>
        <w:t>9. Same-Day Launch Checklist</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42B4F"/>
          </w:tcPr>
          <w:p>
            <w:r>
              <w:rPr>
                <w:b/>
                <w:color w:val="FFFFFF"/>
              </w:rPr>
              <w:t>Done</w:t>
            </w:r>
          </w:p>
        </w:tc>
        <w:tc>
          <w:tcPr>
            <w:tcW w:type="dxa" w:w="2880"/>
            <w:shd w:fill="142B4F"/>
          </w:tcPr>
          <w:p>
            <w:r>
              <w:rPr>
                <w:b/>
                <w:color w:val="FFFFFF"/>
              </w:rPr>
              <w:t>Launch Action</w:t>
            </w:r>
          </w:p>
        </w:tc>
        <w:tc>
          <w:tcPr>
            <w:tcW w:type="dxa" w:w="2880"/>
            <w:shd w:fill="142B4F"/>
          </w:tcPr>
          <w:p>
            <w:r>
              <w:rPr>
                <w:b/>
                <w:color w:val="FFFFFF"/>
              </w:rPr>
              <w:t>Owner</w:t>
            </w:r>
          </w:p>
        </w:tc>
      </w:tr>
      <w:tr>
        <w:tc>
          <w:tcPr>
            <w:tcW w:type="dxa" w:w="2880"/>
          </w:tcPr>
          <w:p>
            <w:r>
              <w:t>☐</w:t>
            </w:r>
          </w:p>
        </w:tc>
        <w:tc>
          <w:tcPr>
            <w:tcW w:type="dxa" w:w="2880"/>
          </w:tcPr>
          <w:p>
            <w:r>
              <w:t>Create the product page and use the exact public title.</w:t>
            </w:r>
          </w:p>
        </w:tc>
        <w:tc>
          <w:tcPr>
            <w:tcW w:type="dxa" w:w="2880"/>
          </w:tcPr>
          <w:p>
            <w:r>
              <w:t>David</w:t>
            </w:r>
          </w:p>
        </w:tc>
      </w:tr>
      <w:tr>
        <w:tc>
          <w:tcPr>
            <w:tcW w:type="dxa" w:w="2880"/>
          </w:tcPr>
          <w:p>
            <w:r>
              <w:t>☐</w:t>
            </w:r>
          </w:p>
        </w:tc>
        <w:tc>
          <w:tcPr>
            <w:tcW w:type="dxa" w:w="2880"/>
          </w:tcPr>
          <w:p>
            <w:r>
              <w:t>Enter $249 launch price and six-month access.</w:t>
            </w:r>
          </w:p>
        </w:tc>
        <w:tc>
          <w:tcPr>
            <w:tcW w:type="dxa" w:w="2880"/>
          </w:tcPr>
          <w:p>
            <w:r>
              <w:t>David</w:t>
            </w:r>
          </w:p>
        </w:tc>
      </w:tr>
      <w:tr>
        <w:tc>
          <w:tcPr>
            <w:tcW w:type="dxa" w:w="2880"/>
          </w:tcPr>
          <w:p>
            <w:r>
              <w:t>☐</w:t>
            </w:r>
          </w:p>
        </w:tc>
        <w:tc>
          <w:tcPr>
            <w:tcW w:type="dxa" w:w="2880"/>
          </w:tcPr>
          <w:p>
            <w:r>
              <w:t>Add the Exam Preparation • No CE Credit badge and notices.</w:t>
            </w:r>
          </w:p>
        </w:tc>
        <w:tc>
          <w:tcPr>
            <w:tcW w:type="dxa" w:w="2880"/>
          </w:tcPr>
          <w:p>
            <w:r>
              <w:t>David</w:t>
            </w:r>
          </w:p>
        </w:tc>
      </w:tr>
      <w:tr>
        <w:tc>
          <w:tcPr>
            <w:tcW w:type="dxa" w:w="2880"/>
          </w:tcPr>
          <w:p>
            <w:r>
              <w:t>☐</w:t>
            </w:r>
          </w:p>
        </w:tc>
        <w:tc>
          <w:tcPr>
            <w:tcW w:type="dxa" w:w="2880"/>
          </w:tcPr>
          <w:p>
            <w:r>
              <w:t>Load the approved description, inclusions, FAQs, SEO title, and meta description.</w:t>
            </w:r>
          </w:p>
        </w:tc>
        <w:tc>
          <w:tcPr>
            <w:tcW w:type="dxa" w:w="2880"/>
          </w:tcPr>
          <w:p>
            <w:r>
              <w:t>David</w:t>
            </w:r>
          </w:p>
        </w:tc>
      </w:tr>
      <w:tr>
        <w:tc>
          <w:tcPr>
            <w:tcW w:type="dxa" w:w="2880"/>
          </w:tcPr>
          <w:p>
            <w:r>
              <w:t>☐</w:t>
            </w:r>
          </w:p>
        </w:tc>
        <w:tc>
          <w:tcPr>
            <w:tcW w:type="dxa" w:w="2880"/>
          </w:tcPr>
          <w:p>
            <w:r>
              <w:t>Use approved CTA branding and accessible alt text.</w:t>
            </w:r>
          </w:p>
        </w:tc>
        <w:tc>
          <w:tcPr>
            <w:tcW w:type="dxa" w:w="2880"/>
          </w:tcPr>
          <w:p>
            <w:r>
              <w:t>David</w:t>
            </w:r>
          </w:p>
        </w:tc>
      </w:tr>
      <w:tr>
        <w:tc>
          <w:tcPr>
            <w:tcW w:type="dxa" w:w="2880"/>
          </w:tcPr>
          <w:p>
            <w:r>
              <w:t>☐</w:t>
            </w:r>
          </w:p>
        </w:tc>
        <w:tc>
          <w:tcPr>
            <w:tcW w:type="dxa" w:w="2880"/>
          </w:tcPr>
          <w:p>
            <w:r>
              <w:t>Configure checkout, enrollment, access expiration, and protected downloads.</w:t>
            </w:r>
          </w:p>
        </w:tc>
        <w:tc>
          <w:tcPr>
            <w:tcW w:type="dxa" w:w="2880"/>
          </w:tcPr>
          <w:p>
            <w:r>
              <w:t>David</w:t>
            </w:r>
          </w:p>
        </w:tc>
      </w:tr>
      <w:tr>
        <w:tc>
          <w:tcPr>
            <w:tcW w:type="dxa" w:w="2880"/>
          </w:tcPr>
          <w:p>
            <w:r>
              <w:t>☐</w:t>
            </w:r>
          </w:p>
        </w:tc>
        <w:tc>
          <w:tcPr>
            <w:tcW w:type="dxa" w:w="2880"/>
          </w:tcPr>
          <w:p>
            <w:r>
              <w:t>Upload only the current files listed in the manifest.</w:t>
            </w:r>
          </w:p>
        </w:tc>
        <w:tc>
          <w:tcPr>
            <w:tcW w:type="dxa" w:w="2880"/>
          </w:tcPr>
          <w:p>
            <w:r>
              <w:t>David</w:t>
            </w:r>
          </w:p>
        </w:tc>
      </w:tr>
      <w:tr>
        <w:tc>
          <w:tcPr>
            <w:tcW w:type="dxa" w:w="2880"/>
          </w:tcPr>
          <w:p>
            <w:r>
              <w:t>☐</w:t>
            </w:r>
          </w:p>
        </w:tc>
        <w:tc>
          <w:tcPr>
            <w:tcW w:type="dxa" w:w="2880"/>
          </w:tcPr>
          <w:p>
            <w:r>
              <w:t>Test bank, checkpoint, Form A remediation, and Form B gates.</w:t>
            </w:r>
          </w:p>
        </w:tc>
        <w:tc>
          <w:tcPr>
            <w:tcW w:type="dxa" w:w="2880"/>
          </w:tcPr>
          <w:p>
            <w:r>
              <w:t>David</w:t>
            </w:r>
          </w:p>
        </w:tc>
      </w:tr>
      <w:tr>
        <w:tc>
          <w:tcPr>
            <w:tcW w:type="dxa" w:w="2880"/>
          </w:tcPr>
          <w:p>
            <w:r>
              <w:t>☐</w:t>
            </w:r>
          </w:p>
        </w:tc>
        <w:tc>
          <w:tcPr>
            <w:tcW w:type="dxa" w:w="2880"/>
          </w:tcPr>
          <w:p>
            <w:r>
              <w:t>Keep all answer and administrative materials restricted until the approved release point.</w:t>
            </w:r>
          </w:p>
        </w:tc>
        <w:tc>
          <w:tcPr>
            <w:tcW w:type="dxa" w:w="2880"/>
          </w:tcPr>
          <w:p>
            <w:r>
              <w:t>David</w:t>
            </w:r>
          </w:p>
        </w:tc>
      </w:tr>
      <w:tr>
        <w:tc>
          <w:tcPr>
            <w:tcW w:type="dxa" w:w="2880"/>
          </w:tcPr>
          <w:p>
            <w:r>
              <w:t>☐</w:t>
            </w:r>
          </w:p>
        </w:tc>
        <w:tc>
          <w:tcPr>
            <w:tcW w:type="dxa" w:w="2880"/>
          </w:tcPr>
          <w:p>
            <w:r>
              <w:t>Confirm the website does not promise recorded audio or video.</w:t>
            </w:r>
          </w:p>
        </w:tc>
        <w:tc>
          <w:tcPr>
            <w:tcW w:type="dxa" w:w="2880"/>
          </w:tcPr>
          <w:p>
            <w:r>
              <w:t>David</w:t>
            </w:r>
          </w:p>
        </w:tc>
      </w:tr>
      <w:tr>
        <w:tc>
          <w:tcPr>
            <w:tcW w:type="dxa" w:w="2880"/>
          </w:tcPr>
          <w:p>
            <w:r>
              <w:t>☐</w:t>
            </w:r>
          </w:p>
        </w:tc>
        <w:tc>
          <w:tcPr>
            <w:tcW w:type="dxa" w:w="2880"/>
          </w:tcPr>
          <w:p>
            <w:r>
              <w:t>Run a student-role preview on desktop and mobile.</w:t>
            </w:r>
          </w:p>
        </w:tc>
        <w:tc>
          <w:tcPr>
            <w:tcW w:type="dxa" w:w="2880"/>
          </w:tcPr>
          <w:p>
            <w:r>
              <w:t>David / CTA</w:t>
            </w:r>
          </w:p>
        </w:tc>
      </w:tr>
      <w:tr>
        <w:tc>
          <w:tcPr>
            <w:tcW w:type="dxa" w:w="2880"/>
          </w:tcPr>
          <w:p>
            <w:r>
              <w:t>☐</w:t>
            </w:r>
          </w:p>
        </w:tc>
        <w:tc>
          <w:tcPr>
            <w:tcW w:type="dxa" w:w="2880"/>
          </w:tcPr>
          <w:p>
            <w:r>
              <w:t>Record final owner approval and launch date.</w:t>
            </w:r>
          </w:p>
        </w:tc>
        <w:tc>
          <w:tcPr>
            <w:tcW w:type="dxa" w:w="2880"/>
          </w:tcPr>
          <w:p>
            <w:r>
              <w:t>CTA</w:t>
            </w:r>
          </w:p>
        </w:tc>
      </w:tr>
    </w:tbl>
    <w:p>
      <w:pPr>
        <w:pStyle w:val="Heading1"/>
      </w:pPr>
      <w:r>
        <w:t>10. Source Basis and Currency Control</w:t>
      </w:r>
    </w:p>
    <w:p>
      <w:r>
        <w:t>Official sources rechecked August 3, 2026:</w:t>
      </w:r>
    </w:p>
    <w:p>
      <w:pPr>
        <w:pStyle w:val="ListBullet"/>
      </w:pPr>
      <w:r>
        <w:t>NBCC/CCE Candidate Handbook for State Licensure - current NCMHCE structure, administration, section review rules, timing, and scoring.</w:t>
      </w:r>
    </w:p>
    <w:p>
      <w:pPr>
        <w:pStyle w:val="ListBullet"/>
      </w:pPr>
      <w:r>
        <w:t>NBCC NCMHCE Examination Specifications effective July 1, 2027 - new case count, six-domain weights, half-exam review controls, and scaled-score reporting.</w:t>
      </w:r>
    </w:p>
    <w:p>
      <w:pPr>
        <w:pStyle w:val="ListBullet"/>
      </w:pPr>
      <w:r>
        <w:t>California Board of Behavioral Sciences 2026 Statutes and Regulations - California LPCC scope, professional conduct, telehealth, records, advertising, and related practice requirements.</w:t>
      </w:r>
    </w:p>
    <w:p>
      <w:pPr>
        <w:pStyle w:val="ListBullet"/>
      </w:pPr>
      <w:r>
        <w:t>California BBS Required Notice to Clients guidance.</w:t>
      </w:r>
    </w:p>
    <w:tbl>
      <w:tblPr>
        <w:tblW w:type="auto" w:w="0"/>
        <w:jc w:val="center"/>
        <w:tblLook w:firstColumn="1" w:firstRow="1" w:lastColumn="0" w:lastRow="0" w:noHBand="0" w:noVBand="1" w:val="04A0"/>
      </w:tblPr>
      <w:tblGrid>
        <w:gridCol w:w="8640"/>
      </w:tblGrid>
      <w:tr>
        <w:tc>
          <w:tcPr>
            <w:tcW w:type="dxa" w:w="8640"/>
            <w:shd w:fill="FFF7DD"/>
            <w:tcBorders>
              <w:top w:val="single" w:sz="10" w:color="D9A928"/>
              <w:left w:val="single" w:sz="10" w:color="D9A928"/>
              <w:bottom w:val="single" w:sz="10" w:color="D9A928"/>
              <w:right w:val="single" w:sz="10" w:color="D9A928"/>
            </w:tcBorders>
          </w:tcPr>
          <w:p>
            <w:r>
              <w:rPr>
                <w:b/>
                <w:color w:val="142B4F"/>
              </w:rPr>
              <w:t>MAINTENANCE TRIGGER</w:t>
            </w:r>
            <w:r>
              <w:br/>
              <w:t>Recheck official NBCC/CCE, Pearson VUE, and California BBS sources before every major republication, after any examination or law change, and before claims about case count, timing, scoring, domain weights, legal duties, or technology requirements.</w:t>
            </w:r>
          </w:p>
        </w:tc>
        <w:trPr>
          <w:tblHeader/>
        </w:trPr>
      </w:tr>
    </w:tbl>
    <w:p/>
    <w:p>
      <w:pPr>
        <w:pStyle w:val="Heading2"/>
      </w:pPr>
      <w:r>
        <w:t>Final Implementation Sign-Off</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42B4F"/>
          </w:tcPr>
          <w:p>
            <w:pPr>
              <w:jc w:val="left"/>
            </w:pPr>
            <w:r>
              <w:rPr>
                <w:b/>
                <w:color w:val="FFFFFF"/>
              </w:rPr>
              <w:t>Field</w:t>
            </w:r>
          </w:p>
        </w:tc>
        <w:tc>
          <w:tcPr>
            <w:tcW w:type="dxa" w:w="4320"/>
            <w:shd w:fill="142B4F"/>
          </w:tcPr>
          <w:p>
            <w:pPr>
              <w:jc w:val="left"/>
            </w:pPr>
            <w:r>
              <w:rPr>
                <w:b/>
                <w:color w:val="FFFFFF"/>
              </w:rPr>
              <w:t>Entry</w:t>
            </w:r>
          </w:p>
        </w:tc>
      </w:tr>
      <w:tr>
        <w:tc>
          <w:tcPr>
            <w:tcW w:type="dxa" w:w="4320"/>
            <w:vAlign w:val="top"/>
          </w:tcPr>
          <w:p>
            <w:r>
              <w:t>Program administrator</w:t>
            </w:r>
          </w:p>
        </w:tc>
        <w:tc>
          <w:tcPr>
            <w:tcW w:type="dxa" w:w="4320"/>
            <w:vAlign w:val="top"/>
          </w:tcPr>
          <w:p>
            <w:r>
              <w:t>________________________________________</w:t>
            </w:r>
          </w:p>
        </w:tc>
      </w:tr>
      <w:tr>
        <w:tc>
          <w:tcPr>
            <w:tcW w:type="dxa" w:w="4320"/>
            <w:vAlign w:val="top"/>
          </w:tcPr>
          <w:p>
            <w:r>
              <w:t>Website/LMS reviewer</w:t>
            </w:r>
          </w:p>
        </w:tc>
        <w:tc>
          <w:tcPr>
            <w:tcW w:type="dxa" w:w="4320"/>
            <w:vAlign w:val="top"/>
          </w:tcPr>
          <w:p>
            <w:r>
              <w:t>________________________________________</w:t>
            </w:r>
          </w:p>
        </w:tc>
      </w:tr>
      <w:tr>
        <w:tc>
          <w:tcPr>
            <w:tcW w:type="dxa" w:w="4320"/>
            <w:vAlign w:val="top"/>
          </w:tcPr>
          <w:p>
            <w:r>
              <w:t>Approval date</w:t>
            </w:r>
          </w:p>
        </w:tc>
        <w:tc>
          <w:tcPr>
            <w:tcW w:type="dxa" w:w="4320"/>
            <w:vAlign w:val="top"/>
          </w:tcPr>
          <w:p>
            <w:r>
              <w:t>________________________________________</w:t>
            </w:r>
          </w:p>
        </w:tc>
      </w:tr>
      <w:tr>
        <w:tc>
          <w:tcPr>
            <w:tcW w:type="dxa" w:w="4320"/>
            <w:vAlign w:val="top"/>
          </w:tcPr>
          <w:p>
            <w:r>
              <w:t>Launch date</w:t>
            </w:r>
          </w:p>
        </w:tc>
        <w:tc>
          <w:tcPr>
            <w:tcW w:type="dxa" w:w="4320"/>
            <w:vAlign w:val="top"/>
          </w:tcPr>
          <w:p>
            <w:r>
              <w:t>________________________________________</w:t>
            </w:r>
          </w:p>
        </w:tc>
      </w:tr>
    </w:tbl>
    <w:sectPr w:rsidR="00FC693F" w:rsidRPr="0006063C" w:rsidSect="00034616">
      <w:headerReference w:type="default" r:id="rId10"/>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Clinical Training and Supervision Academy  |  Exam Preparation Only - No CE Credit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143000" cy="379970"/>
          <wp:docPr id="1" name="Picture 1" descr="Image: item1.xml"/>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143000" cy="379970"/>
                  </a:xfrm>
                  <a:prstGeom prst="rect"/>
                </pic:spPr>
              </pic:pic>
            </a:graphicData>
          </a:graphic>
        </wp:inline>
      </w:drawing>
    </w:r>
    <w:r>
      <w:rPr>
        <w:b/>
        <w:color w:val="142B4F"/>
        <w:sz w:val="16"/>
      </w:rPr>
      <w:t xml:space="preserve">   LPCC NCMHCE DAVID RELEASE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42B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59A9C"/>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42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2B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i/>
      <w:iCs/>
      <w:color w:val="159A9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NCMHCE David Complete LMS and Website Release Package</dc:title>
  <dc:subject>Website copy, product configuration, LMS implementation, and release controls</dc:subject>
  <dc:creator>Clinical Training and Supervision Academy</dc:creator>
  <cp:keywords/>
  <dc:description>Initial release package prepared August 3, 2026.</dc:description>
  <cp:lastModifiedBy>Clinical Training and Supervision Academy</cp:lastModifiedBy>
  <cp:revision>1</cp:revision>
  <dcterms:created xsi:type="dcterms:W3CDTF">2013-12-23T23:15:00Z</dcterms:created>
  <dcterms:modified xsi:type="dcterms:W3CDTF">2013-12-23T23:15:00Z</dcterms:modified>
  <cp:category/>
</cp:coreProperties>
</file>