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280"/>
        <w:jc w:val="center"/>
        <w:keepLines/>
      </w:pPr>
      <w:r>
        <w:rPr>
          <w:rFonts w:ascii="Arial" w:hAnsi="Arial"/>
          <w:b/>
          <w:color w:val="159C9C"/>
          <w:sz w:val="30"/>
        </w:rPr>
        <w:t>CLINICAL TRAINING ACADEMY</w:t>
      </w:r>
    </w:p>
    <w:p>
      <w:pPr>
        <w:spacing w:after="120"/>
        <w:jc w:val="center"/>
        <w:pBdr>
          <w:bottom w:val="single" w:sz="14" w:space="1" w:color="4F81BD"/>
        </w:pBdr>
        <w:keepLines/>
      </w:pPr>
      <w:r>
        <w:rPr>
          <w:rFonts w:ascii="Arial" w:hAnsi="Arial"/>
          <w:b/>
          <w:color w:val="17365D"/>
          <w:sz w:val="52"/>
        </w:rPr>
        <w:t>LPCC California Clinical Exam Preparation Program</w:t>
      </w:r>
    </w:p>
    <w:p>
      <w:pPr>
        <w:spacing w:before="160" w:after="120"/>
        <w:jc w:val="center"/>
        <w:keepLines/>
      </w:pPr>
      <w:r>
        <w:rPr>
          <w:rFonts w:ascii="Arial" w:hAnsi="Arial"/>
          <w:b/>
          <w:i/>
          <w:color w:val="159C9C"/>
          <w:sz w:val="28"/>
        </w:rPr>
        <w:t>Verified Examination Structure and Proposed 12-Workbook Curriculum Map</w:t>
      </w:r>
    </w:p>
    <w:p>
      <w:pPr>
        <w:spacing w:after="640"/>
        <w:jc w:val="center"/>
        <w:keepLines/>
      </w:pPr>
      <w:r>
        <w:rPr>
          <w:rFonts w:ascii="Arial" w:hAnsi="Arial"/>
          <w:color w:val="1F2937"/>
          <w:sz w:val="22"/>
        </w:rPr>
        <w:t>Development Blueprint v1.0  |  Verified July 25, 2026</w:t>
      </w:r>
    </w:p>
    <w:p>
      <w:pPr>
        <w:spacing w:after="680"/>
        <w:jc w:val="center"/>
        <w:keepLines/>
      </w:pPr>
      <w:r>
        <w:rPr>
          <w:rFonts w:ascii="Arial" w:hAnsi="Arial"/>
          <w:i/>
          <w:color w:val="4E5B6B"/>
          <w:sz w:val="23"/>
        </w:rPr>
        <w:t>Current NCMHCE alignment with a controlled transition plan for the examination specifications effective July 1, 2027</w:t>
      </w:r>
    </w:p>
    <w:p>
      <w:pPr>
        <w:spacing w:before="1300" w:after="100"/>
        <w:jc w:val="center"/>
        <w:keepLines/>
      </w:pPr>
      <w:r>
        <w:rPr>
          <w:rFonts w:ascii="Arial" w:hAnsi="Arial"/>
          <w:b/>
          <w:color w:val="17365D"/>
          <w:sz w:val="23"/>
        </w:rPr>
        <w:t>CURRICULUM PLANNING RESOURCE</w:t>
      </w:r>
    </w:p>
    <w:p>
      <w:pPr>
        <w:spacing w:after="160"/>
        <w:jc w:val="center"/>
        <w:keepLines/>
      </w:pPr>
      <w:r>
        <w:rPr>
          <w:rFonts w:ascii="Arial" w:hAnsi="Arial"/>
          <w:color w:val="4E5B6B"/>
          <w:sz w:val="19"/>
        </w:rPr>
        <w:t>This document verifies the current examination and proposes the program architecture. It does not draft any individual workbook.</w:t>
      </w:r>
    </w:p>
    <w:p>
      <w:pPr>
        <w:jc w:val="center"/>
        <w:keepLines/>
      </w:pPr>
      <w:r>
        <w:rPr>
          <w:rFonts w:ascii="Arial" w:hAnsi="Arial"/>
          <w:b/>
          <w:color w:val="159C9C"/>
          <w:sz w:val="19"/>
        </w:rPr>
        <w:t>Editable Word deliverable  |  No PDF included</w:t>
      </w:r>
    </w:p>
    <w:p>
      <w:pPr>
        <w:keepLines/>
      </w:pPr>
      <w:r>
        <w:rPr>
          <w:rFonts w:ascii="Arial" w:hAnsi="Arial"/>
        </w:rPr>
        <w:br w:type="page"/>
      </w:r>
    </w:p>
    <w:p>
      <w:pPr>
        <w:pStyle w:val="Heading1"/>
        <w:keepLines/>
      </w:pPr>
      <w:r>
        <w:rPr>
          <w:rFonts w:ascii="Arial" w:hAnsi="Arial"/>
        </w:rPr>
        <w:t>Document Map</w:t>
      </w:r>
    </w:p>
    <w:p>
      <w:pPr>
        <w:spacing w:after="80" w:line="252" w:lineRule="auto"/>
        <w:ind w:left="0" w:firstLine="0"/>
        <w:keepLines/>
      </w:pPr>
      <w:r>
        <w:rPr>
          <w:rFonts w:ascii="Arial" w:hAnsi="Arial"/>
          <w:b w:val="0"/>
        </w:rPr>
        <w:t xml:space="preserve">1.  </w:t>
      </w:r>
      <w:r>
        <w:rPr>
          <w:rFonts w:ascii="Arial" w:hAnsi="Arial"/>
        </w:rPr>
        <w:t>Executive decision summary</w:t>
      </w:r>
    </w:p>
    <w:p>
      <w:pPr>
        <w:spacing w:after="80" w:line="252" w:lineRule="auto"/>
        <w:ind w:left="0" w:firstLine="0"/>
        <w:keepLines/>
      </w:pPr>
      <w:r>
        <w:rPr>
          <w:rFonts w:ascii="Arial" w:hAnsi="Arial"/>
          <w:b w:val="0"/>
        </w:rPr>
        <w:t xml:space="preserve">2.  </w:t>
      </w:r>
      <w:r>
        <w:rPr>
          <w:rFonts w:ascii="Arial" w:hAnsi="Arial"/>
        </w:rPr>
        <w:t>Verified California LPCC examination pathway and current NCMHCE structure</w:t>
      </w:r>
    </w:p>
    <w:p>
      <w:pPr>
        <w:spacing w:after="80" w:line="252" w:lineRule="auto"/>
        <w:ind w:left="0" w:firstLine="0"/>
        <w:keepLines/>
      </w:pPr>
      <w:r>
        <w:rPr>
          <w:rFonts w:ascii="Arial" w:hAnsi="Arial"/>
          <w:b w:val="0"/>
        </w:rPr>
        <w:t xml:space="preserve">3.  </w:t>
      </w:r>
      <w:r>
        <w:rPr>
          <w:rFonts w:ascii="Arial" w:hAnsi="Arial"/>
        </w:rPr>
        <w:t>Current blueprint and high-priority design implications</w:t>
      </w:r>
    </w:p>
    <w:p>
      <w:pPr>
        <w:spacing w:after="80" w:line="252" w:lineRule="auto"/>
        <w:ind w:left="0" w:firstLine="0"/>
        <w:keepLines/>
      </w:pPr>
      <w:r>
        <w:rPr>
          <w:rFonts w:ascii="Arial" w:hAnsi="Arial"/>
          <w:b w:val="0"/>
        </w:rPr>
        <w:t xml:space="preserve">4.  </w:t>
      </w:r>
      <w:r>
        <w:rPr>
          <w:rFonts w:ascii="Arial" w:hAnsi="Arial"/>
        </w:rPr>
        <w:t>Mandatory July 1, 2027 transition control</w:t>
      </w:r>
    </w:p>
    <w:p>
      <w:pPr>
        <w:spacing w:after="80" w:line="252" w:lineRule="auto"/>
        <w:ind w:left="0" w:firstLine="0"/>
        <w:keepLines/>
      </w:pPr>
      <w:r>
        <w:rPr>
          <w:rFonts w:ascii="Arial" w:hAnsi="Arial"/>
          <w:b w:val="0"/>
        </w:rPr>
        <w:t xml:space="preserve">5.  </w:t>
      </w:r>
      <w:r>
        <w:rPr>
          <w:rFonts w:ascii="Arial" w:hAnsi="Arial"/>
        </w:rPr>
        <w:t>CTA LPCC program architecture and student learning system</w:t>
      </w:r>
    </w:p>
    <w:p>
      <w:pPr>
        <w:spacing w:after="80" w:line="252" w:lineRule="auto"/>
        <w:ind w:left="0" w:firstLine="0"/>
        <w:keepLines/>
      </w:pPr>
      <w:r>
        <w:rPr>
          <w:rFonts w:ascii="Arial" w:hAnsi="Arial"/>
          <w:b w:val="0"/>
        </w:rPr>
        <w:t xml:space="preserve">6.  </w:t>
      </w:r>
      <w:r>
        <w:rPr>
          <w:rFonts w:ascii="Arial" w:hAnsi="Arial"/>
        </w:rPr>
        <w:t>Proposed 12-workbook curriculum map</w:t>
      </w:r>
    </w:p>
    <w:p>
      <w:pPr>
        <w:spacing w:after="80" w:line="252" w:lineRule="auto"/>
        <w:ind w:left="0" w:firstLine="0"/>
        <w:keepLines/>
      </w:pPr>
      <w:r>
        <w:rPr>
          <w:rFonts w:ascii="Arial" w:hAnsi="Arial"/>
          <w:b w:val="0"/>
        </w:rPr>
        <w:t xml:space="preserve">7.  </w:t>
      </w:r>
      <w:r>
        <w:rPr>
          <w:rFonts w:ascii="Arial" w:hAnsi="Arial"/>
        </w:rPr>
        <w:t>Blueprint coverage and profession-specific differentiation</w:t>
      </w:r>
    </w:p>
    <w:p>
      <w:pPr>
        <w:spacing w:after="80" w:line="252" w:lineRule="auto"/>
        <w:ind w:left="0" w:firstLine="0"/>
        <w:keepLines/>
      </w:pPr>
      <w:r>
        <w:rPr>
          <w:rFonts w:ascii="Arial" w:hAnsi="Arial"/>
          <w:b w:val="0"/>
        </w:rPr>
        <w:t xml:space="preserve">8.  </w:t>
      </w:r>
      <w:r>
        <w:rPr>
          <w:rFonts w:ascii="Arial" w:hAnsi="Arial"/>
        </w:rPr>
        <w:t>Question-bank, cumulative-practice, and Form A/Form B standards</w:t>
      </w:r>
    </w:p>
    <w:p>
      <w:pPr>
        <w:spacing w:after="80" w:line="252" w:lineRule="auto"/>
        <w:ind w:left="0" w:firstLine="0"/>
        <w:keepLines/>
      </w:pPr>
      <w:r>
        <w:rPr>
          <w:rFonts w:ascii="Arial" w:hAnsi="Arial"/>
          <w:b w:val="0"/>
        </w:rPr>
        <w:t xml:space="preserve">9.  </w:t>
      </w:r>
      <w:r>
        <w:rPr>
          <w:rFonts w:ascii="Arial" w:hAnsi="Arial"/>
        </w:rPr>
        <w:t>Multimedia, quick-reference, flashcard, audio, and progress-tracking plan</w:t>
      </w:r>
    </w:p>
    <w:p>
      <w:pPr>
        <w:spacing w:after="80" w:line="252" w:lineRule="auto"/>
        <w:ind w:left="0" w:firstLine="0"/>
        <w:keepLines/>
      </w:pPr>
      <w:r>
        <w:rPr>
          <w:rFonts w:ascii="Arial" w:hAnsi="Arial"/>
          <w:b w:val="0"/>
        </w:rPr>
        <w:t xml:space="preserve">10.  </w:t>
      </w:r>
      <w:r>
        <w:rPr>
          <w:rFonts w:ascii="Arial" w:hAnsi="Arial"/>
        </w:rPr>
        <w:t>Development sequence, quality gates, and source-verification record</w:t>
      </w:r>
    </w:p>
    <w:tbl>
      <w:tblPr>
        <w:tblW w:type="auto" w:w="0"/>
        <w:jc w:val="center"/>
        <w:tblLayout w:type="autofit"/>
        <w:tblLook w:firstColumn="1" w:firstRow="1" w:lastColumn="0" w:lastRow="0" w:noHBand="0" w:noVBand="1" w:val="04A0"/>
      </w:tblPr>
      <w:tblGrid>
        <w:gridCol w:w="10224"/>
      </w:tblGrid>
      <w:tr>
        <w:trPr>
          <w:cantSplit/>
        </w:trPr>
        <w:tc>
          <w:tcPr>
            <w:tcW w:type="dxa" w:w="10224"/>
            <w:shd w:fill="E7F2F3"/>
            <w:tcBorders>
              <w:top w:val="single" w:sz="10" w:color="159C9C"/>
              <w:left w:val="single" w:sz="10" w:color="159C9C"/>
              <w:bottom w:val="single" w:sz="10" w:color="159C9C"/>
              <w:right w:val="single" w:sz="10" w:color="159C9C"/>
            </w:tcBorders>
            <w:tcMar>
              <w:top w:w="120" w:type="dxa"/>
              <w:start w:w="150" w:type="dxa"/>
              <w:bottom w:w="120" w:type="dxa"/>
              <w:end w:w="150" w:type="dxa"/>
            </w:tcMar>
          </w:tcPr>
          <w:p>
            <w:pPr>
              <w:spacing w:after="80"/>
            </w:pPr>
            <w:r>
              <w:rPr>
                <w:rFonts w:ascii="Arial" w:hAnsi="Arial"/>
                <w:b/>
                <w:color w:val="17365D"/>
                <w:sz w:val="22"/>
              </w:rPr>
              <w:t>Status of this deliverable</w:t>
            </w:r>
          </w:p>
          <w:p>
            <w:pPr>
              <w:spacing w:after="0" w:line="252" w:lineRule="auto"/>
            </w:pPr>
            <w:r>
              <w:rPr>
                <w:rFonts w:ascii="Arial" w:hAnsi="Arial"/>
                <w:color w:val="1F2937"/>
                <w:sz w:val="20"/>
              </w:rPr>
              <w:t>Approved scope for this stage: research, verification, and curriculum mapping only. No student workbook, question bank, narration script, flashcard set, or simulation item is drafted in this document.</w:t>
            </w:r>
          </w:p>
        </w:tc>
      </w:tr>
    </w:tbl>
    <w:p>
      <w:pPr>
        <w:spacing w:after="0"/>
        <w:keepLines/>
      </w:pPr>
    </w:p>
    <w:p>
      <w:pPr>
        <w:pStyle w:val="Heading2"/>
        <w:keepLines/>
      </w:pPr>
      <w:r>
        <w:rPr>
          <w:rFonts w:ascii="Arial" w:hAnsi="Arial"/>
        </w:rPr>
        <w:t>Source Roles: Who Controls What?</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8"/>
              </w:rPr>
              <w:t>Organization</w:t>
            </w:r>
          </w:p>
        </w:tc>
        <w:tc>
          <w:tcPr>
            <w:tcW w:type="dxa" w:w="8280"/>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8"/>
              </w:rPr>
              <w:t>Program Role</w:t>
            </w:r>
          </w:p>
        </w:tc>
      </w:tr>
      <w:tr>
        <w:trPr>
          <w:cantSplit/>
        </w:trPr>
        <w:tc>
          <w:tcPr>
            <w:tcW w:type="dxa" w:w="223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California BBS</w:t>
            </w:r>
          </w:p>
        </w:tc>
        <w:tc>
          <w:tcPr>
            <w:tcW w:type="dxa" w:w="828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Determines California licensure eligibility, requires the California Law and Ethics examination, authorizes eligible candidates for the NCMHCE, and establishes California deadlines.</w:t>
            </w:r>
          </w:p>
        </w:tc>
      </w:tr>
      <w:tr>
        <w:trPr>
          <w:cantSplit/>
        </w:trPr>
        <w:tc>
          <w:tcPr>
            <w:tcW w:type="dxa" w:w="223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NBCC / CCE</w:t>
            </w:r>
          </w:p>
        </w:tc>
        <w:tc>
          <w:tcPr>
            <w:tcW w:type="dxa" w:w="828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Owns and administers the NCMHCE program and publishes the examination content outline, candidate handbook, case format, and score rules.</w:t>
            </w:r>
          </w:p>
        </w:tc>
      </w:tr>
      <w:tr>
        <w:trPr>
          <w:cantSplit/>
        </w:trPr>
        <w:tc>
          <w:tcPr>
            <w:tcW w:type="dxa" w:w="223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Pearson VUE</w:t>
            </w:r>
          </w:p>
        </w:tc>
        <w:tc>
          <w:tcPr>
            <w:tcW w:type="dxa" w:w="828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Provides computer-based test delivery, scheduling, test-center administration, and OnVUE remote proctoring. Pearson VUE does not publish a separate California LPCC clinical-content blueprint.</w:t>
            </w:r>
          </w:p>
        </w:tc>
      </w:tr>
      <w:tr>
        <w:trPr>
          <w:cantSplit/>
        </w:trPr>
        <w:tc>
          <w:tcPr>
            <w:tcW w:type="dxa" w:w="223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Clinical Training Academy</w:t>
            </w:r>
          </w:p>
        </w:tc>
        <w:tc>
          <w:tcPr>
            <w:tcW w:type="dxa" w:w="828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Creates original exam-preparation instruction and practice aligned to current official sources; CTA does not determine eligibility, passing standards, or licensure.</w:t>
            </w:r>
          </w:p>
        </w:tc>
      </w:tr>
    </w:tbl>
    <w:p>
      <w:pPr>
        <w:spacing w:after="0"/>
        <w:keepLines/>
      </w:pPr>
    </w:p>
    <w:tbl>
      <w:tblPr>
        <w:tblW w:type="auto" w:w="0"/>
        <w:jc w:val="center"/>
        <w:tblLayout w:type="autofit"/>
        <w:tblLook w:firstColumn="1" w:firstRow="1" w:lastColumn="0" w:lastRow="0" w:noHBand="0" w:noVBand="1" w:val="04A0"/>
      </w:tblPr>
      <w:tblGrid>
        <w:gridCol w:w="10224"/>
      </w:tblGrid>
      <w:tr>
        <w:trPr>
          <w:cantSplit/>
        </w:trPr>
        <w:tc>
          <w:tcPr>
            <w:tcW w:type="dxa" w:w="10224"/>
            <w:shd w:fill="EAF0F7"/>
            <w:tcBorders>
              <w:top w:val="single" w:sz="10" w:color="159C9C"/>
              <w:left w:val="single" w:sz="10" w:color="159C9C"/>
              <w:bottom w:val="single" w:sz="10" w:color="159C9C"/>
              <w:right w:val="single" w:sz="10" w:color="159C9C"/>
            </w:tcBorders>
            <w:tcMar>
              <w:top w:w="120" w:type="dxa"/>
              <w:start w:w="150" w:type="dxa"/>
              <w:bottom w:w="120" w:type="dxa"/>
              <w:end w:w="150" w:type="dxa"/>
            </w:tcMar>
          </w:tcPr>
          <w:p>
            <w:pPr>
              <w:spacing w:after="80"/>
            </w:pPr>
            <w:r>
              <w:rPr>
                <w:rFonts w:ascii="Arial" w:hAnsi="Arial"/>
                <w:b/>
                <w:color w:val="17365D"/>
                <w:sz w:val="22"/>
              </w:rPr>
              <w:t>Key verification conclusion</w:t>
            </w:r>
          </w:p>
          <w:p>
            <w:pPr>
              <w:spacing w:after="0" w:line="252" w:lineRule="auto"/>
            </w:pPr>
            <w:r>
              <w:rPr>
                <w:rFonts w:ascii="Arial" w:hAnsi="Arial"/>
                <w:color w:val="1F2937"/>
                <w:sz w:val="20"/>
              </w:rPr>
              <w:t>California does not use a separate BBS-authored LPCC clinical content examination. The California LPCC clinical examination is the national NCMHCE. Therefore, the course must combine the NBCC NCMHCE blueprint with a California LPCC scope-and-practice overlay.</w:t>
            </w:r>
          </w:p>
        </w:tc>
      </w:tr>
    </w:tbl>
    <w:p>
      <w:pPr>
        <w:spacing w:after="0"/>
        <w:keepLines/>
      </w:pPr>
    </w:p>
    <w:p>
      <w:pPr>
        <w:keepLines/>
      </w:pPr>
      <w:r>
        <w:rPr>
          <w:rFonts w:ascii="Arial" w:hAnsi="Arial"/>
        </w:rPr>
        <w:br w:type="page"/>
      </w:r>
    </w:p>
    <w:p>
      <w:pPr>
        <w:pStyle w:val="Heading1"/>
        <w:keepLines/>
      </w:pPr>
      <w:r>
        <w:rPr>
          <w:rFonts w:ascii="Arial" w:hAnsi="Arial"/>
        </w:rPr>
        <w:t>1. Executive Decision Summary</w:t>
      </w:r>
    </w:p>
    <w:p>
      <w:pPr>
        <w:spacing w:before="0" w:after="120" w:line="259" w:lineRule="auto"/>
        <w:keepLines/>
      </w:pPr>
      <w:r>
        <w:rPr>
          <w:rFonts w:ascii="Arial" w:hAnsi="Arial"/>
        </w:rPr>
        <w:t>The recommended CTA LPCC program is a 12-workbook, fully asynchronous preparation system written specifically for APCCs and eligible California LPCC candidates. It should use the completed CTA LMFT and LCSW programs as production and student-experience references while building a distinct clinical-counselor pathway around professional counseling identity, the NCMHCE case-study format, California LPCC scope, counseling theories, assessment, diagnosis, treatment planning, multicultural counseling, evidence-based intervention, crisis response, referral, and collaboration.</w:t>
      </w:r>
    </w:p>
    <w:tbl>
      <w:tblPr>
        <w:tblW w:type="auto" w:w="0"/>
        <w:jc w:val="center"/>
        <w:tblLayout w:type="autofit"/>
        <w:tblLook w:firstColumn="1" w:firstRow="1" w:lastColumn="0" w:lastRow="0" w:noHBand="0" w:noVBand="1" w:val="04A0"/>
      </w:tblPr>
      <w:tblGrid>
        <w:gridCol w:w="10224"/>
      </w:tblGrid>
      <w:tr>
        <w:trPr>
          <w:cantSplit/>
        </w:trPr>
        <w:tc>
          <w:tcPr>
            <w:tcW w:type="dxa" w:w="10224"/>
            <w:shd w:fill="E7F2EA"/>
            <w:tcBorders>
              <w:top w:val="single" w:sz="10" w:color="6B8E70"/>
              <w:left w:val="single" w:sz="10" w:color="6B8E70"/>
              <w:bottom w:val="single" w:sz="10" w:color="6B8E70"/>
              <w:right w:val="single" w:sz="10" w:color="6B8E70"/>
            </w:tcBorders>
            <w:tcMar>
              <w:top w:w="120" w:type="dxa"/>
              <w:start w:w="150" w:type="dxa"/>
              <w:bottom w:w="120" w:type="dxa"/>
              <w:end w:w="150" w:type="dxa"/>
            </w:tcMar>
          </w:tcPr>
          <w:p>
            <w:pPr>
              <w:spacing w:after="80"/>
            </w:pPr>
            <w:r>
              <w:rPr>
                <w:rFonts w:ascii="Arial" w:hAnsi="Arial"/>
                <w:b/>
                <w:color w:val="17365D"/>
                <w:sz w:val="22"/>
              </w:rPr>
              <w:t>Recommended program decision</w:t>
            </w:r>
          </w:p>
          <w:p>
            <w:pPr>
              <w:spacing w:after="0" w:line="252" w:lineRule="auto"/>
            </w:pPr>
            <w:r>
              <w:rPr>
                <w:rFonts w:ascii="Arial" w:hAnsi="Arial"/>
                <w:color w:val="1F2937"/>
                <w:sz w:val="20"/>
              </w:rPr>
              <w:t>Proceed with the 12-workbook map in this document. Build the first release to the current NCMHCE blueprint, but code every chapter, item, and media asset to both the current blueprint and the July 1, 2027 blueprint so the program can be reassembled rather than rewritten.</w:t>
            </w:r>
          </w:p>
        </w:tc>
      </w:tr>
    </w:tbl>
    <w:p>
      <w:pPr>
        <w:spacing w:after="0"/>
        <w:keepLines/>
      </w:pPr>
    </w:p>
    <w:p>
      <w:pPr>
        <w:pStyle w:val="Heading2"/>
        <w:keepLines/>
      </w:pPr>
      <w:r>
        <w:rPr>
          <w:rFonts w:ascii="Arial" w:hAnsi="Arial"/>
        </w:rPr>
        <w:t>Core design commitments</w:t>
      </w:r>
    </w:p>
    <w:p>
      <w:pPr>
        <w:pStyle w:val="ListBullet"/>
        <w:spacing w:after="60" w:line="250" w:lineRule="auto"/>
        <w:keepLines/>
        <w:keepLines/>
      </w:pPr>
      <w:r>
        <w:rPr>
          <w:rFonts w:ascii="Arial" w:hAnsi="Arial"/>
        </w:rPr>
        <w:t>Fully self-paced and asynchronous; no live class, instructor, cohort, or administrator is required for ordinary completion.</w:t>
      </w:r>
    </w:p>
    <w:p>
      <w:pPr>
        <w:pStyle w:val="ListBullet"/>
        <w:spacing w:after="60" w:line="250" w:lineRule="auto"/>
        <w:keepLines/>
        <w:keepLines/>
      </w:pPr>
      <w:r>
        <w:rPr>
          <w:rFonts w:ascii="Arial" w:hAnsi="Arial"/>
        </w:rPr>
        <w:t>All text-based student and administrative resources are delivered as editable, print-optimized Word files unless PowerPoint is specifically requested later.</w:t>
      </w:r>
    </w:p>
    <w:p>
      <w:pPr>
        <w:pStyle w:val="ListBullet"/>
        <w:spacing w:after="60" w:line="250" w:lineRule="auto"/>
        <w:keepLines/>
        <w:keepLines/>
      </w:pPr>
      <w:r>
        <w:rPr>
          <w:rFonts w:ascii="Arial" w:hAnsi="Arial"/>
        </w:rPr>
        <w:t>Online delivery includes the same essential content available in downloadable form; video is never the only path to required instruction.</w:t>
      </w:r>
    </w:p>
    <w:p>
      <w:pPr>
        <w:pStyle w:val="ListBullet"/>
        <w:spacing w:after="60" w:line="250" w:lineRule="auto"/>
        <w:keepLines/>
        <w:keepLines/>
      </w:pPr>
      <w:r>
        <w:rPr>
          <w:rFonts w:ascii="Arial" w:hAnsi="Arial"/>
        </w:rPr>
        <w:t>Every video or audio lesson is built from a single authoritative Word narration script that remains synchronized with the final recording and transcript.</w:t>
      </w:r>
    </w:p>
    <w:p>
      <w:pPr>
        <w:pStyle w:val="ListBullet"/>
        <w:spacing w:after="60" w:line="250" w:lineRule="auto"/>
        <w:keepLines/>
        <w:keepLines/>
      </w:pPr>
      <w:r>
        <w:rPr>
          <w:rFonts w:ascii="Arial" w:hAnsi="Arial"/>
        </w:rPr>
        <w:t>The repeatable student cycle is Learn → Practice → Review → Remediate → Simulate.</w:t>
      </w:r>
    </w:p>
    <w:p>
      <w:pPr>
        <w:pStyle w:val="ListBullet"/>
        <w:spacing w:after="60" w:line="250" w:lineRule="auto"/>
        <w:keepLines/>
        <w:keepLines/>
      </w:pPr>
      <w:r>
        <w:rPr>
          <w:rFonts w:ascii="Arial" w:hAnsi="Arial"/>
        </w:rPr>
        <w:t>The program uses readiness language and evidence, not a self-invented guaranteed passing score.</w:t>
      </w:r>
    </w:p>
    <w:p>
      <w:pPr>
        <w:pStyle w:val="ListBullet"/>
        <w:spacing w:after="60" w:line="250" w:lineRule="auto"/>
        <w:keepLines/>
        <w:keepLines/>
      </w:pPr>
      <w:r>
        <w:rPr>
          <w:rFonts w:ascii="Arial" w:hAnsi="Arial"/>
        </w:rPr>
        <w:t>The course is an examination-preparation program and does not award continuing-education credit.</w:t>
      </w:r>
    </w:p>
    <w:p>
      <w:pPr>
        <w:pStyle w:val="Heading2"/>
        <w:keepLines/>
      </w:pPr>
      <w:r>
        <w:rPr>
          <w:rFonts w:ascii="Arial" w:hAnsi="Arial"/>
        </w:rPr>
        <w:t>Recommended controlled deliverables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448"/>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Resource</w:t>
            </w:r>
          </w:p>
        </w:tc>
        <w:tc>
          <w:tcPr>
            <w:tcW w:type="dxa" w:w="2304"/>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Proposed Count</w:t>
            </w:r>
          </w:p>
        </w:tc>
        <w:tc>
          <w:tcPr>
            <w:tcW w:type="dxa" w:w="5760"/>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Function</w:t>
            </w:r>
          </w:p>
        </w:tc>
      </w:tr>
      <w:tr>
        <w:trPr>
          <w:cantSplit/>
        </w:trPr>
        <w:tc>
          <w:tcPr>
            <w:tcW w:type="dxa" w:w="244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Student workbooks</w:t>
            </w:r>
          </w:p>
        </w:tc>
        <w:tc>
          <w:tcPr>
            <w:tcW w:type="dxa" w:w="23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12</w:t>
            </w:r>
          </w:p>
        </w:tc>
        <w:tc>
          <w:tcPr>
            <w:tcW w:type="dxa" w:w="576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Profession-specific instruction, examples, worksheets, decision rules, and chapter reviews.</w:t>
            </w:r>
          </w:p>
        </w:tc>
      </w:tr>
      <w:tr>
        <w:trPr>
          <w:cantSplit/>
        </w:trPr>
        <w:tc>
          <w:tcPr>
            <w:tcW w:type="dxa" w:w="244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Workbook banks</w:t>
            </w:r>
          </w:p>
        </w:tc>
        <w:tc>
          <w:tcPr>
            <w:tcW w:type="dxa" w:w="23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12 × 17 = 204 questions</w:t>
            </w:r>
          </w:p>
        </w:tc>
        <w:tc>
          <w:tcPr>
            <w:tcW w:type="dxa" w:w="576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One full three-part NCMHCE-style mini case plus five targeted items per workbook; complete option-by-option rationales.</w:t>
            </w:r>
          </w:p>
        </w:tc>
      </w:tr>
      <w:tr>
        <w:trPr>
          <w:cantSplit/>
        </w:trPr>
        <w:tc>
          <w:tcPr>
            <w:tcW w:type="dxa" w:w="244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Quick-reference collection</w:t>
            </w:r>
          </w:p>
        </w:tc>
        <w:tc>
          <w:tcPr>
            <w:tcW w:type="dxa" w:w="23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15 sheets</w:t>
            </w:r>
          </w:p>
        </w:tc>
        <w:tc>
          <w:tcPr>
            <w:tcW w:type="dxa" w:w="576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Twelve workbook sheets plus Current Exam Facts, 2027 Transition, and Form A/Form B Readiness.</w:t>
            </w:r>
          </w:p>
        </w:tc>
      </w:tr>
      <w:tr>
        <w:trPr>
          <w:cantSplit/>
        </w:trPr>
        <w:tc>
          <w:tcPr>
            <w:tcW w:type="dxa" w:w="244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Flashcard collection</w:t>
            </w:r>
          </w:p>
        </w:tc>
        <w:tc>
          <w:tcPr>
            <w:tcW w:type="dxa" w:w="23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132 cards</w:t>
            </w:r>
          </w:p>
        </w:tc>
        <w:tc>
          <w:tcPr>
            <w:tcW w:type="dxa" w:w="576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Twelve core reasoning cards plus ten cards for each workbook.</w:t>
            </w:r>
          </w:p>
        </w:tc>
      </w:tr>
      <w:tr>
        <w:trPr>
          <w:cantSplit/>
        </w:trPr>
        <w:tc>
          <w:tcPr>
            <w:tcW w:type="dxa" w:w="244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Audio review collection</w:t>
            </w:r>
          </w:p>
        </w:tc>
        <w:tc>
          <w:tcPr>
            <w:tcW w:type="dxa" w:w="23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8 tracks</w:t>
            </w:r>
          </w:p>
        </w:tc>
        <w:tc>
          <w:tcPr>
            <w:tcW w:type="dxa" w:w="576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Screen-free, recording-ready coaching and retrieval practice.</w:t>
            </w:r>
          </w:p>
        </w:tc>
      </w:tr>
      <w:tr>
        <w:trPr>
          <w:cantSplit/>
        </w:trPr>
        <w:tc>
          <w:tcPr>
            <w:tcW w:type="dxa" w:w="244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Companion multimedia</w:t>
            </w:r>
          </w:p>
        </w:tc>
        <w:tc>
          <w:tcPr>
            <w:tcW w:type="dxa" w:w="23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12 core lessons + case walkthroughs</w:t>
            </w:r>
          </w:p>
        </w:tc>
        <w:tc>
          <w:tcPr>
            <w:tcW w:type="dxa" w:w="576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Captioned video, audio-only version, and verbatim transcript for each required lesson.</w:t>
            </w:r>
          </w:p>
        </w:tc>
      </w:tr>
      <w:tr>
        <w:trPr>
          <w:cantSplit/>
        </w:trPr>
        <w:tc>
          <w:tcPr>
            <w:tcW w:type="dxa" w:w="244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Progress system</w:t>
            </w:r>
          </w:p>
        </w:tc>
        <w:tc>
          <w:tcPr>
            <w:tcW w:type="dxa" w:w="23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1 integrated toolkit</w:t>
            </w:r>
          </w:p>
        </w:tc>
        <w:tc>
          <w:tcPr>
            <w:tcW w:type="dxa" w:w="576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Baseline, workbook tracker, error log, domain dashboard, remediation plan, and simulation gates.</w:t>
            </w:r>
          </w:p>
        </w:tc>
      </w:tr>
      <w:tr>
        <w:trPr>
          <w:cantSplit/>
        </w:trPr>
        <w:tc>
          <w:tcPr>
            <w:tcW w:type="dxa" w:w="244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Comprehensive Form A</w:t>
            </w:r>
          </w:p>
        </w:tc>
        <w:tc>
          <w:tcPr>
            <w:tcW w:type="dxa" w:w="23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11 cases; recommended 143 items</w:t>
            </w:r>
          </w:p>
        </w:tc>
        <w:tc>
          <w:tcPr>
            <w:tcW w:type="dxa" w:w="576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Current-format diagnostic readiness simulation, 225 timed minutes, scheduled break after Case 5.</w:t>
            </w:r>
          </w:p>
        </w:tc>
      </w:tr>
      <w:tr>
        <w:trPr>
          <w:cantSplit/>
        </w:trPr>
        <w:tc>
          <w:tcPr>
            <w:tcW w:type="dxa" w:w="244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Comprehensive Form B</w:t>
            </w:r>
          </w:p>
        </w:tc>
        <w:tc>
          <w:tcPr>
            <w:tcW w:type="dxa" w:w="23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11 cases; recommended 143 items</w:t>
            </w:r>
          </w:p>
        </w:tc>
        <w:tc>
          <w:tcPr>
            <w:tcW w:type="dxa" w:w="576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Non-overlapping final readiness simulation under the same current-format controls.</w:t>
            </w:r>
          </w:p>
        </w:tc>
      </w:tr>
    </w:tbl>
    <w:p>
      <w:pPr>
        <w:spacing w:after="0"/>
        <w:keepLines/>
      </w:pPr>
    </w:p>
    <w:p>
      <w:pPr>
        <w:pStyle w:val="Heading1"/>
        <w:keepLines/>
      </w:pPr>
      <w:r>
        <w:rPr>
          <w:rFonts w:ascii="Arial" w:hAnsi="Arial"/>
        </w:rPr>
        <w:t>2. Verified California LPCC Examination Pathway</w:t>
      </w:r>
    </w:p>
    <w:p>
      <w:pPr>
        <w:spacing w:before="0" w:after="120" w:line="259" w:lineRule="auto"/>
        <w:keepLines/>
      </w:pPr>
      <w:r>
        <w:rPr>
          <w:rFonts w:ascii="Arial" w:hAnsi="Arial"/>
        </w:rPr>
        <w:t>The California Board of Behavioral Sciences identifies the NCMHCE as one of the two examinations required for LPCC licensure. Before registration, the candidate’s Application for Licensure must be approved and the candidate must pass the LPCC California Law and Ethics Examination. NBCC administers the NCMHCE; Pearson VUE provides test delivery and scheduling.</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448"/>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8"/>
              </w:rPr>
              <w:t>Pathway Element</w:t>
            </w:r>
          </w:p>
        </w:tc>
        <w:tc>
          <w:tcPr>
            <w:tcW w:type="dxa" w:w="8064"/>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8"/>
              </w:rPr>
              <w:t>Verified Requirement / Implication</w:t>
            </w:r>
          </w:p>
        </w:tc>
      </w:tr>
      <w:tr>
        <w:trPr>
          <w:cantSplit/>
        </w:trPr>
        <w:tc>
          <w:tcPr>
            <w:tcW w:type="dxa" w:w="244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Initial eligibility</w:t>
            </w:r>
          </w:p>
        </w:tc>
        <w:tc>
          <w:tcPr>
            <w:tcW w:type="dxa" w:w="806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BBS-approved Application for Licensure + passed LPCC California Law and Ethics Examination.</w:t>
            </w:r>
          </w:p>
        </w:tc>
      </w:tr>
      <w:tr>
        <w:trPr>
          <w:cantSplit/>
        </w:trPr>
        <w:tc>
          <w:tcPr>
            <w:tcW w:type="dxa" w:w="244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California clinical examination</w:t>
            </w:r>
          </w:p>
        </w:tc>
        <w:tc>
          <w:tcPr>
            <w:tcW w:type="dxa" w:w="806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National Clinical Mental Health Counseling Examination (NCMHCE).</w:t>
            </w:r>
          </w:p>
        </w:tc>
      </w:tr>
      <w:tr>
        <w:trPr>
          <w:cantSplit/>
        </w:trPr>
        <w:tc>
          <w:tcPr>
            <w:tcW w:type="dxa" w:w="244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Administration</w:t>
            </w:r>
          </w:p>
        </w:tc>
        <w:tc>
          <w:tcPr>
            <w:tcW w:type="dxa" w:w="806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NBCC / CCE program administration; Pearson VUE test-center or OnVUE delivery.</w:t>
            </w:r>
          </w:p>
        </w:tc>
      </w:tr>
      <w:tr>
        <w:trPr>
          <w:cantSplit/>
        </w:trPr>
        <w:tc>
          <w:tcPr>
            <w:tcW w:type="dxa" w:w="244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California testing deadline</w:t>
            </w:r>
          </w:p>
        </w:tc>
        <w:tc>
          <w:tcPr>
            <w:tcW w:type="dxa" w:w="806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Generally within one year of the triggering BBS event described on the LPCC examination page.</w:t>
            </w:r>
          </w:p>
        </w:tc>
      </w:tr>
      <w:tr>
        <w:trPr>
          <w:cantSplit/>
        </w:trPr>
        <w:tc>
          <w:tcPr>
            <w:tcW w:type="dxa" w:w="244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Retest wait</w:t>
            </w:r>
          </w:p>
        </w:tc>
        <w:tc>
          <w:tcPr>
            <w:tcW w:type="dxa" w:w="806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At least 30 days after a failed attempt.</w:t>
            </w:r>
          </w:p>
        </w:tc>
      </w:tr>
      <w:tr>
        <w:trPr>
          <w:cantSplit/>
        </w:trPr>
        <w:tc>
          <w:tcPr>
            <w:tcW w:type="dxa" w:w="244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Retest deadline</w:t>
            </w:r>
          </w:p>
        </w:tc>
        <w:tc>
          <w:tcPr>
            <w:tcW w:type="dxa" w:w="806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Within one year of a failed attempt to maintain the California licensure application file.</w:t>
            </w:r>
          </w:p>
        </w:tc>
      </w:tr>
      <w:tr>
        <w:trPr>
          <w:cantSplit/>
        </w:trPr>
        <w:tc>
          <w:tcPr>
            <w:tcW w:type="dxa" w:w="244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Course boundary</w:t>
            </w:r>
          </w:p>
        </w:tc>
        <w:tc>
          <w:tcPr>
            <w:tcW w:type="dxa" w:w="806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CTA should teach exam readiness but direct candidates to BBS and NBCC for individual eligibility, scheduling, accommodations, and deadline questions.</w:t>
            </w:r>
          </w:p>
        </w:tc>
      </w:tr>
    </w:tbl>
    <w:p>
      <w:pPr>
        <w:spacing w:after="0"/>
        <w:keepLines/>
      </w:pPr>
    </w:p>
    <w:p>
      <w:pPr>
        <w:pStyle w:val="Heading2"/>
        <w:keepLines/>
      </w:pPr>
      <w:r>
        <w:rPr>
          <w:rFonts w:ascii="Arial" w:hAnsi="Arial"/>
        </w:rPr>
        <w:t>Current NCMHCE format verified for 2026</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448"/>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8"/>
              </w:rPr>
              <w:t>Feature</w:t>
            </w:r>
          </w:p>
        </w:tc>
        <w:tc>
          <w:tcPr>
            <w:tcW w:type="dxa" w:w="8064"/>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8"/>
              </w:rPr>
              <w:t>Current Verified Structure</w:t>
            </w:r>
          </w:p>
        </w:tc>
      </w:tr>
      <w:tr>
        <w:trPr>
          <w:cantSplit/>
        </w:trPr>
        <w:tc>
          <w:tcPr>
            <w:tcW w:type="dxa" w:w="244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Case studies</w:t>
            </w:r>
          </w:p>
        </w:tc>
        <w:tc>
          <w:tcPr>
            <w:tcW w:type="dxa" w:w="806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11</w:t>
            </w:r>
          </w:p>
        </w:tc>
      </w:tr>
      <w:tr>
        <w:trPr>
          <w:cantSplit/>
        </w:trPr>
        <w:tc>
          <w:tcPr>
            <w:tcW w:type="dxa" w:w="244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Narrative progression</w:t>
            </w:r>
          </w:p>
        </w:tc>
        <w:tc>
          <w:tcPr>
            <w:tcW w:type="dxa" w:w="806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Three sections per case: initial intake summary, first counseling session, and second counseling session.</w:t>
            </w:r>
          </w:p>
        </w:tc>
      </w:tr>
      <w:tr>
        <w:trPr>
          <w:cantSplit/>
        </w:trPr>
        <w:tc>
          <w:tcPr>
            <w:tcW w:type="dxa" w:w="244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Questions per case</w:t>
            </w:r>
          </w:p>
        </w:tc>
        <w:tc>
          <w:tcPr>
            <w:tcW w:type="dxa" w:w="806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9–15 four-option multiple-choice questions.</w:t>
            </w:r>
          </w:p>
        </w:tc>
      </w:tr>
      <w:tr>
        <w:trPr>
          <w:cantSplit/>
        </w:trPr>
        <w:tc>
          <w:tcPr>
            <w:tcW w:type="dxa" w:w="244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Total questions</w:t>
            </w:r>
          </w:p>
        </w:tc>
        <w:tc>
          <w:tcPr>
            <w:tcW w:type="dxa" w:w="806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130–150.</w:t>
            </w:r>
          </w:p>
        </w:tc>
      </w:tr>
      <w:tr>
        <w:trPr>
          <w:cantSplit/>
        </w:trPr>
        <w:tc>
          <w:tcPr>
            <w:tcW w:type="dxa" w:w="244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Scored questions</w:t>
            </w:r>
          </w:p>
        </w:tc>
        <w:tc>
          <w:tcPr>
            <w:tcW w:type="dxa" w:w="806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100; one case and some items are unscored for future item statistics.</w:t>
            </w:r>
          </w:p>
        </w:tc>
      </w:tr>
      <w:tr>
        <w:trPr>
          <w:cantSplit/>
        </w:trPr>
        <w:tc>
          <w:tcPr>
            <w:tcW w:type="dxa" w:w="244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Timed examination</w:t>
            </w:r>
          </w:p>
        </w:tc>
        <w:tc>
          <w:tcPr>
            <w:tcW w:type="dxa" w:w="806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225 minutes.</w:t>
            </w:r>
          </w:p>
        </w:tc>
      </w:tr>
      <w:tr>
        <w:trPr>
          <w:cantSplit/>
        </w:trPr>
        <w:tc>
          <w:tcPr>
            <w:tcW w:type="dxa" w:w="244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Total session</w:t>
            </w:r>
          </w:p>
        </w:tc>
        <w:tc>
          <w:tcPr>
            <w:tcW w:type="dxa" w:w="806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255 minutes: 5-minute agreement, 10-minute tutorial, 225-minute examination, and one 15-minute scheduled break after the fifth case.</w:t>
            </w:r>
          </w:p>
        </w:tc>
      </w:tr>
      <w:tr>
        <w:trPr>
          <w:cantSplit/>
        </w:trPr>
        <w:tc>
          <w:tcPr>
            <w:tcW w:type="dxa" w:w="244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Review rules</w:t>
            </w:r>
          </w:p>
        </w:tc>
        <w:tc>
          <w:tcPr>
            <w:tcW w:type="dxa" w:w="806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Candidates may review answers within the current section before advancing. After moving to the next section, prior-section responses cannot be reviewed or changed.</w:t>
            </w:r>
          </w:p>
        </w:tc>
      </w:tr>
      <w:tr>
        <w:trPr>
          <w:cantSplit/>
        </w:trPr>
        <w:tc>
          <w:tcPr>
            <w:tcW w:type="dxa" w:w="244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Guessing</w:t>
            </w:r>
          </w:p>
        </w:tc>
        <w:tc>
          <w:tcPr>
            <w:tcW w:type="dxa" w:w="806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No penalty for guessing; every question should receive an answer before the section is submitted.</w:t>
            </w:r>
          </w:p>
        </w:tc>
      </w:tr>
      <w:tr>
        <w:trPr>
          <w:cantSplit/>
        </w:trPr>
        <w:tc>
          <w:tcPr>
            <w:tcW w:type="dxa" w:w="244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Current passing standard</w:t>
            </w:r>
          </w:p>
        </w:tc>
        <w:tc>
          <w:tcPr>
            <w:tcW w:type="dxa" w:w="806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Criterion-referenced standard setting and statistical equating; the cut score can vary by form. No universal current percentage should be advertised.</w:t>
            </w:r>
          </w:p>
        </w:tc>
      </w:tr>
      <w:tr>
        <w:trPr>
          <w:cantSplit/>
        </w:trPr>
        <w:tc>
          <w:tcPr>
            <w:tcW w:type="dxa" w:w="244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Delivery</w:t>
            </w:r>
          </w:p>
        </w:tc>
        <w:tc>
          <w:tcPr>
            <w:tcW w:type="dxa" w:w="806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In person at a Pearson VUE test center or online through OnVUE, subject to current security and technical requirements.</w:t>
            </w:r>
          </w:p>
        </w:tc>
      </w:tr>
    </w:tbl>
    <w:p>
      <w:pPr>
        <w:spacing w:after="0"/>
        <w:keepLines/>
      </w:pPr>
    </w:p>
    <w:tbl>
      <w:tblPr>
        <w:tblW w:type="auto" w:w="0"/>
        <w:jc w:val="center"/>
        <w:tblLayout w:type="autofit"/>
        <w:tblLook w:firstColumn="1" w:firstRow="1" w:lastColumn="0" w:lastRow="0" w:noHBand="0" w:noVBand="1" w:val="04A0"/>
      </w:tblPr>
      <w:tblGrid>
        <w:gridCol w:w="10224"/>
      </w:tblGrid>
      <w:tr>
        <w:trPr>
          <w:cantSplit/>
        </w:trPr>
        <w:tc>
          <w:tcPr>
            <w:tcW w:type="dxa" w:w="10224"/>
            <w:shd w:fill="F8E8C8"/>
            <w:tcBorders>
              <w:top w:val="single" w:sz="10" w:color="C4943D"/>
              <w:left w:val="single" w:sz="10" w:color="C4943D"/>
              <w:bottom w:val="single" w:sz="10" w:color="C4943D"/>
              <w:right w:val="single" w:sz="10" w:color="C4943D"/>
            </w:tcBorders>
            <w:tcMar>
              <w:top w:w="120" w:type="dxa"/>
              <w:start w:w="150" w:type="dxa"/>
              <w:bottom w:w="120" w:type="dxa"/>
              <w:end w:w="150" w:type="dxa"/>
            </w:tcMar>
          </w:tcPr>
          <w:p>
            <w:pPr>
              <w:spacing w:after="80"/>
            </w:pPr>
            <w:r>
              <w:rPr>
                <w:rFonts w:ascii="Arial" w:hAnsi="Arial"/>
                <w:b/>
                <w:color w:val="17365D"/>
                <w:sz w:val="22"/>
              </w:rPr>
              <w:t>Instructional consequence</w:t>
            </w:r>
          </w:p>
          <w:p>
            <w:pPr>
              <w:spacing w:after="0" w:line="252" w:lineRule="auto"/>
            </w:pPr>
            <w:r>
              <w:rPr>
                <w:rFonts w:ascii="Arial" w:hAnsi="Arial"/>
                <w:color w:val="1F2937"/>
                <w:sz w:val="20"/>
              </w:rPr>
              <w:t>The student must learn to manage a developing case narrative. Earlier answers cannot be repaired after a new section is opened, so the course should train section-level review, evidence tracking, and disciplined closure before advancing.</w:t>
            </w:r>
          </w:p>
        </w:tc>
      </w:tr>
    </w:tbl>
    <w:p>
      <w:pPr>
        <w:spacing w:after="0"/>
        <w:keepLines/>
      </w:pPr>
    </w:p>
    <w:p>
      <w:pPr>
        <w:pStyle w:val="Heading1"/>
        <w:keepLines/>
      </w:pPr>
      <w:r>
        <w:rPr>
          <w:rFonts w:ascii="Arial" w:hAnsi="Arial"/>
        </w:rPr>
        <w:t>3. Current NCMHCE Blueprint and Design Implications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504"/>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w:t>
            </w:r>
          </w:p>
        </w:tc>
        <w:tc>
          <w:tcPr>
            <w:tcW w:type="dxa" w:w="2520"/>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Current Domain</w:t>
            </w:r>
          </w:p>
        </w:tc>
        <w:tc>
          <w:tcPr>
            <w:tcW w:type="dxa" w:w="1008"/>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Weight</w:t>
            </w:r>
          </w:p>
        </w:tc>
        <w:tc>
          <w:tcPr>
            <w:tcW w:type="dxa" w:w="6480"/>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Curriculum Meaning</w:t>
            </w:r>
          </w:p>
        </w:tc>
      </w:tr>
      <w:tr>
        <w:trPr>
          <w:cantSplit/>
        </w:trPr>
        <w:tc>
          <w:tcPr>
            <w:tcW w:type="dxa" w:w="5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1</w:t>
            </w:r>
          </w:p>
        </w:tc>
        <w:tc>
          <w:tcPr>
            <w:tcW w:type="dxa" w:w="252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Professional Practice and Ethics</w:t>
            </w:r>
          </w:p>
        </w:tc>
        <w:tc>
          <w:tcPr>
            <w:tcW w:type="dxa" w:w="100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15%</w:t>
            </w:r>
          </w:p>
        </w:tc>
        <w:tc>
          <w:tcPr>
            <w:tcW w:type="dxa" w:w="648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Competence, consent, confidentiality, records, supervision, referrals, documentation, social media, advocacy, accommodations, and self-care.</w:t>
            </w:r>
          </w:p>
        </w:tc>
      </w:tr>
      <w:tr>
        <w:trPr>
          <w:cantSplit/>
        </w:trPr>
        <w:tc>
          <w:tcPr>
            <w:tcW w:type="dxa" w:w="5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2</w:t>
            </w:r>
          </w:p>
        </w:tc>
        <w:tc>
          <w:tcPr>
            <w:tcW w:type="dxa" w:w="252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Intake, Assessment, and Diagnosis</w:t>
            </w:r>
          </w:p>
        </w:tc>
        <w:tc>
          <w:tcPr>
            <w:tcW w:type="dxa" w:w="100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25%</w:t>
            </w:r>
          </w:p>
        </w:tc>
        <w:tc>
          <w:tcPr>
            <w:tcW w:type="dxa" w:w="648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Biopsychosocial and diagnostic interviewing, MSE, cultural formulation, instruments, trauma, substance use, risk, co-occurring conditions, modality and level of care.</w:t>
            </w:r>
          </w:p>
        </w:tc>
      </w:tr>
      <w:tr>
        <w:trPr>
          <w:cantSplit/>
        </w:trPr>
        <w:tc>
          <w:tcPr>
            <w:tcW w:type="dxa" w:w="5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3</w:t>
            </w:r>
          </w:p>
        </w:tc>
        <w:tc>
          <w:tcPr>
            <w:tcW w:type="dxa" w:w="252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Areas of Clinical Focus</w:t>
            </w:r>
          </w:p>
        </w:tc>
        <w:tc>
          <w:tcPr>
            <w:tcW w:type="dxa" w:w="100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0% at item level</w:t>
            </w:r>
          </w:p>
        </w:tc>
        <w:tc>
          <w:tcPr>
            <w:tcW w:type="dxa" w:w="648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Presenting concerns and diagnoses are embedded across case narratives rather than scored as a separate item-level domain.</w:t>
            </w:r>
          </w:p>
        </w:tc>
      </w:tr>
      <w:tr>
        <w:trPr>
          <w:cantSplit/>
        </w:trPr>
        <w:tc>
          <w:tcPr>
            <w:tcW w:type="dxa" w:w="5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4</w:t>
            </w:r>
          </w:p>
        </w:tc>
        <w:tc>
          <w:tcPr>
            <w:tcW w:type="dxa" w:w="252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Treatment Planning</w:t>
            </w:r>
          </w:p>
        </w:tc>
        <w:tc>
          <w:tcPr>
            <w:tcW w:type="dxa" w:w="100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15%</w:t>
            </w:r>
          </w:p>
        </w:tc>
        <w:tc>
          <w:tcPr>
            <w:tcW w:type="dxa" w:w="648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Collaborative goals, strengths, barriers, referrals, progress review, termination, discharge follow-up, and coordination.</w:t>
            </w:r>
          </w:p>
        </w:tc>
      </w:tr>
      <w:tr>
        <w:trPr>
          <w:cantSplit/>
        </w:trPr>
        <w:tc>
          <w:tcPr>
            <w:tcW w:type="dxa" w:w="5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5</w:t>
            </w:r>
          </w:p>
        </w:tc>
        <w:tc>
          <w:tcPr>
            <w:tcW w:type="dxa" w:w="252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Counseling Skills and Interventions</w:t>
            </w:r>
          </w:p>
        </w:tc>
        <w:tc>
          <w:tcPr>
            <w:tcW w:type="dxa" w:w="100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30%</w:t>
            </w:r>
          </w:p>
        </w:tc>
        <w:tc>
          <w:tcPr>
            <w:tcW w:type="dxa" w:w="648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Theory-based care, alliance, modality fit, crisis work, group processes, cultural adaptation, skills training, psychoeducation, and therapeutic techniques.</w:t>
            </w:r>
          </w:p>
        </w:tc>
      </w:tr>
      <w:tr>
        <w:trPr>
          <w:cantSplit/>
        </w:trPr>
        <w:tc>
          <w:tcPr>
            <w:tcW w:type="dxa" w:w="5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6</w:t>
            </w:r>
          </w:p>
        </w:tc>
        <w:tc>
          <w:tcPr>
            <w:tcW w:type="dxa" w:w="252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Core Counseling Attributes</w:t>
            </w:r>
          </w:p>
        </w:tc>
        <w:tc>
          <w:tcPr>
            <w:tcW w:type="dxa" w:w="100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15%</w:t>
            </w:r>
          </w:p>
        </w:tc>
        <w:tc>
          <w:tcPr>
            <w:tcW w:type="dxa" w:w="648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Self-awareness, genuineness, congruence, empathy, nonjudgment, positive regard, diversity respect, and foundational listening skills.</w:t>
            </w:r>
          </w:p>
        </w:tc>
      </w:tr>
    </w:tbl>
    <w:p>
      <w:pPr>
        <w:spacing w:after="0"/>
        <w:keepLines/>
      </w:pPr>
    </w:p>
    <w:p>
      <w:pPr>
        <w:pStyle w:val="Heading2"/>
        <w:keepLines/>
      </w:pPr>
      <w:r>
        <w:rPr>
          <w:rFonts w:ascii="Arial" w:hAnsi="Arial"/>
        </w:rPr>
        <w:t>What the weight distribution means for CTA</w:t>
      </w:r>
    </w:p>
    <w:p>
      <w:pPr>
        <w:pStyle w:val="ListBullet"/>
        <w:spacing w:after="60" w:line="250" w:lineRule="auto"/>
        <w:keepLines/>
        <w:keepLines/>
      </w:pPr>
      <w:r>
        <w:rPr>
          <w:rFonts w:ascii="Arial" w:hAnsi="Arial"/>
        </w:rPr>
        <w:t>Assessment/diagnosis and counseling interventions together account for 55% of scored items, so they require the greatest practice density and two dedicated diagnosis workbooks.</w:t>
      </w:r>
    </w:p>
    <w:p>
      <w:pPr>
        <w:pStyle w:val="ListBullet"/>
        <w:spacing w:after="60" w:line="250" w:lineRule="auto"/>
        <w:keepLines/>
        <w:keepLines/>
      </w:pPr>
      <w:r>
        <w:rPr>
          <w:rFonts w:ascii="Arial" w:hAnsi="Arial"/>
        </w:rPr>
        <w:t>Ethics, treatment planning, and core counselor attributes each account for 15%; these domains must be integrated throughout the program rather than isolated at the end.</w:t>
      </w:r>
    </w:p>
    <w:p>
      <w:pPr>
        <w:pStyle w:val="ListBullet"/>
        <w:spacing w:after="60" w:line="250" w:lineRule="auto"/>
        <w:keepLines/>
        <w:keepLines/>
      </w:pPr>
      <w:r>
        <w:rPr>
          <w:rFonts w:ascii="Arial" w:hAnsi="Arial"/>
        </w:rPr>
        <w:t>Areas of Clinical Focus should appear as diverse presenting concerns across every case bank and simulation, not as a separate memorization workbook.</w:t>
      </w:r>
    </w:p>
    <w:p>
      <w:pPr>
        <w:pStyle w:val="ListBullet"/>
        <w:spacing w:after="60" w:line="250" w:lineRule="auto"/>
        <w:keepLines/>
        <w:keepLines/>
      </w:pPr>
      <w:r>
        <w:rPr>
          <w:rFonts w:ascii="Arial" w:hAnsi="Arial"/>
        </w:rPr>
        <w:t>The official examination emphasizes application and higher-order reasoning. Workbook content should therefore be built around decisions, sequences, and case development rather than definition-heavy review.</w:t>
      </w:r>
    </w:p>
    <w:p>
      <w:pPr>
        <w:pStyle w:val="ListBullet"/>
        <w:spacing w:after="60" w:line="250" w:lineRule="auto"/>
        <w:keepLines/>
        <w:keepLines/>
      </w:pPr>
      <w:r>
        <w:rPr>
          <w:rFonts w:ascii="Arial" w:hAnsi="Arial"/>
        </w:rPr>
        <w:t>Because counseling modality can include individual, couple, family, and group work, LPCC candidates need modality-selection competence without turning the course into an LMFT program.</w:t>
      </w:r>
    </w:p>
    <w:p>
      <w:pPr>
        <w:pStyle w:val="Heading2"/>
        <w:keepLines/>
      </w:pPr>
      <w:r>
        <w:rPr>
          <w:rFonts w:ascii="Arial" w:hAnsi="Arial"/>
        </w:rPr>
        <w:t>LPCC-specific California scope overlay</w:t>
      </w:r>
    </w:p>
    <w:p>
      <w:pPr>
        <w:spacing w:before="0" w:after="120" w:line="259" w:lineRule="auto"/>
        <w:keepLines/>
      </w:pPr>
      <w:r>
        <w:rPr>
          <w:rFonts w:ascii="Arial" w:hAnsi="Arial"/>
        </w:rPr>
        <w:t>California defines professional clinical counseling as the use of counseling interventions and psychotherapeutic techniques to address cognitive, mental, and emotional issues, including personal growth, disability adjustment, crisis intervention, and psychosocial or environmental problems. The statute emphasizes a professional clinical counseling relationship, pluralistic and theory-based counseling strategies, assessment for counseling goals, and referral when needs exceed the counselor’s education, training, and experience.</w:t>
      </w:r>
    </w:p>
    <w:tbl>
      <w:tblPr>
        <w:tblW w:type="auto" w:w="0"/>
        <w:jc w:val="center"/>
        <w:tblLayout w:type="autofit"/>
        <w:tblLook w:firstColumn="1" w:firstRow="1" w:lastColumn="0" w:lastRow="0" w:noHBand="0" w:noVBand="1" w:val="04A0"/>
      </w:tblPr>
      <w:tblGrid>
        <w:gridCol w:w="10224"/>
      </w:tblGrid>
      <w:tr>
        <w:trPr>
          <w:cantSplit/>
        </w:trPr>
        <w:tc>
          <w:tcPr>
            <w:tcW w:type="dxa" w:w="10224"/>
            <w:shd w:fill="EAF0F7"/>
            <w:tcBorders>
              <w:top w:val="single" w:sz="10" w:color="159C9C"/>
              <w:left w:val="single" w:sz="10" w:color="159C9C"/>
              <w:bottom w:val="single" w:sz="10" w:color="159C9C"/>
              <w:right w:val="single" w:sz="10" w:color="159C9C"/>
            </w:tcBorders>
            <w:tcMar>
              <w:top w:w="120" w:type="dxa"/>
              <w:start w:w="150" w:type="dxa"/>
              <w:bottom w:w="120" w:type="dxa"/>
              <w:end w:w="150" w:type="dxa"/>
            </w:tcMar>
          </w:tcPr>
          <w:p>
            <w:pPr>
              <w:spacing w:after="80"/>
            </w:pPr>
            <w:r>
              <w:rPr>
                <w:rFonts w:ascii="Arial" w:hAnsi="Arial"/>
                <w:b/>
                <w:color w:val="17365D"/>
                <w:sz w:val="22"/>
              </w:rPr>
              <w:t>Scope distinction to teach explicitly</w:t>
            </w:r>
          </w:p>
          <w:p>
            <w:pPr>
              <w:spacing w:after="0" w:line="252" w:lineRule="auto"/>
            </w:pPr>
            <w:r>
              <w:rPr>
                <w:rFonts w:ascii="Arial" w:hAnsi="Arial"/>
                <w:color w:val="1F2937"/>
                <w:sz w:val="20"/>
              </w:rPr>
              <w:t>California LPCC assessment authority is meaningful but not unlimited. The curriculum should teach permitted counseling assessment, excluded testing categories, competence-based referral, and collaboration with psychologists, physicians, and other professionals when specialized evaluation is needed.</w:t>
            </w:r>
          </w:p>
        </w:tc>
      </w:tr>
    </w:tbl>
    <w:p>
      <w:pPr>
        <w:spacing w:after="0"/>
        <w:keepLines/>
      </w:pPr>
    </w:p>
    <w:p>
      <w:pPr>
        <w:pStyle w:val="Heading1"/>
        <w:keepLines/>
      </w:pPr>
      <w:r>
        <w:rPr>
          <w:rFonts w:ascii="Arial" w:hAnsi="Arial"/>
        </w:rPr>
        <w:t>4. Mandatory July 1, 2027 Transition Control</w:t>
      </w:r>
    </w:p>
    <w:p>
      <w:pPr>
        <w:spacing w:before="0" w:after="120" w:line="259" w:lineRule="auto"/>
        <w:keepLines/>
      </w:pPr>
      <w:r>
        <w:rPr>
          <w:rFonts w:ascii="Arial" w:hAnsi="Arial"/>
        </w:rPr>
        <w:t>NBCC has published new NCMHCE Examination Specifications effective July 1, 2027. The new version changes the blueprint, case count, navigation, and score reporting. A course released in 2026 must not ignore this transition.</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04"/>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Control</w:t>
            </w:r>
          </w:p>
        </w:tc>
        <w:tc>
          <w:tcPr>
            <w:tcW w:type="dxa" w:w="4104"/>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Current Exam</w:t>
            </w:r>
          </w:p>
        </w:tc>
        <w:tc>
          <w:tcPr>
            <w:tcW w:type="dxa" w:w="4104"/>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Effective July 1, 2027</w:t>
            </w:r>
          </w:p>
        </w:tc>
      </w:tr>
      <w:tr>
        <w:trPr>
          <w:cantSplit/>
        </w:trPr>
        <w:tc>
          <w:tcPr>
            <w:tcW w:type="dxa" w:w="23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Effective date</w:t>
            </w:r>
          </w:p>
        </w:tc>
        <w:tc>
          <w:tcPr>
            <w:tcW w:type="dxa" w:w="41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Current format in use during 2026</w:t>
            </w:r>
          </w:p>
        </w:tc>
        <w:tc>
          <w:tcPr>
            <w:tcW w:type="dxa" w:w="41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July 1, 2027</w:t>
            </w:r>
          </w:p>
        </w:tc>
      </w:tr>
      <w:tr>
        <w:trPr>
          <w:cantSplit/>
        </w:trPr>
        <w:tc>
          <w:tcPr>
            <w:tcW w:type="dxa" w:w="23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Case studies</w:t>
            </w:r>
          </w:p>
        </w:tc>
        <w:tc>
          <w:tcPr>
            <w:tcW w:type="dxa" w:w="41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11</w:t>
            </w:r>
          </w:p>
        </w:tc>
        <w:tc>
          <w:tcPr>
            <w:tcW w:type="dxa" w:w="41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10</w:t>
            </w:r>
          </w:p>
        </w:tc>
      </w:tr>
      <w:tr>
        <w:trPr>
          <w:cantSplit/>
        </w:trPr>
        <w:tc>
          <w:tcPr>
            <w:tcW w:type="dxa" w:w="23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Total items</w:t>
            </w:r>
          </w:p>
        </w:tc>
        <w:tc>
          <w:tcPr>
            <w:tcW w:type="dxa" w:w="41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130–150</w:t>
            </w:r>
          </w:p>
        </w:tc>
        <w:tc>
          <w:tcPr>
            <w:tcW w:type="dxa" w:w="41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130–150</w:t>
            </w:r>
          </w:p>
        </w:tc>
      </w:tr>
      <w:tr>
        <w:trPr>
          <w:cantSplit/>
        </w:trPr>
        <w:tc>
          <w:tcPr>
            <w:tcW w:type="dxa" w:w="23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Field-test / unscored items</w:t>
            </w:r>
          </w:p>
        </w:tc>
        <w:tc>
          <w:tcPr>
            <w:tcW w:type="dxa" w:w="41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One case and some items unscored</w:t>
            </w:r>
          </w:p>
        </w:tc>
        <w:tc>
          <w:tcPr>
            <w:tcW w:type="dxa" w:w="41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30–50 field-test items randomly distributed</w:t>
            </w:r>
          </w:p>
        </w:tc>
      </w:tr>
      <w:tr>
        <w:trPr>
          <w:cantSplit/>
        </w:trPr>
        <w:tc>
          <w:tcPr>
            <w:tcW w:type="dxa" w:w="23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Timed examination</w:t>
            </w:r>
          </w:p>
        </w:tc>
        <w:tc>
          <w:tcPr>
            <w:tcW w:type="dxa" w:w="41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225 minutes</w:t>
            </w:r>
          </w:p>
        </w:tc>
        <w:tc>
          <w:tcPr>
            <w:tcW w:type="dxa" w:w="41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225 minutes</w:t>
            </w:r>
          </w:p>
        </w:tc>
      </w:tr>
      <w:tr>
        <w:trPr>
          <w:cantSplit/>
        </w:trPr>
        <w:tc>
          <w:tcPr>
            <w:tcW w:type="dxa" w:w="23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Break</w:t>
            </w:r>
          </w:p>
        </w:tc>
        <w:tc>
          <w:tcPr>
            <w:tcW w:type="dxa" w:w="41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15 minutes after Case 5</w:t>
            </w:r>
          </w:p>
        </w:tc>
        <w:tc>
          <w:tcPr>
            <w:tcW w:type="dxa" w:w="41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Optional 15-minute break halfway</w:t>
            </w:r>
          </w:p>
        </w:tc>
      </w:tr>
      <w:tr>
        <w:trPr>
          <w:cantSplit/>
        </w:trPr>
        <w:tc>
          <w:tcPr>
            <w:tcW w:type="dxa" w:w="23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Review/navigation</w:t>
            </w:r>
          </w:p>
        </w:tc>
        <w:tc>
          <w:tcPr>
            <w:tcW w:type="dxa" w:w="41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Review within each case section; prior sections lock</w:t>
            </w:r>
          </w:p>
        </w:tc>
        <w:tc>
          <w:tcPr>
            <w:tcW w:type="dxa" w:w="41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Review all questions in each half before submitting that half</w:t>
            </w:r>
          </w:p>
        </w:tc>
      </w:tr>
      <w:tr>
        <w:trPr>
          <w:cantSplit/>
        </w:trPr>
        <w:tc>
          <w:tcPr>
            <w:tcW w:type="dxa" w:w="23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Score reporting</w:t>
            </w:r>
          </w:p>
        </w:tc>
        <w:tc>
          <w:tcPr>
            <w:tcW w:type="dxa" w:w="41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Raw scored-item performance; form-specific equated cut</w:t>
            </w:r>
          </w:p>
        </w:tc>
        <w:tc>
          <w:tcPr>
            <w:tcW w:type="dxa" w:w="41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Scaled score 100–500; passing point 360</w:t>
            </w:r>
          </w:p>
        </w:tc>
      </w:tr>
      <w:tr>
        <w:trPr>
          <w:cantSplit/>
        </w:trPr>
        <w:tc>
          <w:tcPr>
            <w:tcW w:type="dxa" w:w="23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Blueprint</w:t>
            </w:r>
          </w:p>
        </w:tc>
        <w:tc>
          <w:tcPr>
            <w:tcW w:type="dxa" w:w="41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6 current domains</w:t>
            </w:r>
          </w:p>
        </w:tc>
        <w:tc>
          <w:tcPr>
            <w:tcW w:type="dxa" w:w="41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6 newly defined behavioral domains</w:t>
            </w:r>
          </w:p>
        </w:tc>
      </w:tr>
    </w:tbl>
    <w:p>
      <w:pPr>
        <w:spacing w:after="0"/>
        <w:keepLines/>
      </w:pPr>
    </w:p>
    <w:p>
      <w:pPr>
        <w:pStyle w:val="Heading2"/>
        <w:keepLines/>
      </w:pPr>
      <w:r>
        <w:rPr>
          <w:rFonts w:ascii="Arial" w:hAnsi="Arial"/>
        </w:rPr>
        <w:t>2027 blueprint</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8"/>
              </w:rPr>
              <w:t>#</w:t>
            </w:r>
          </w:p>
        </w:tc>
        <w:tc>
          <w:tcPr>
            <w:tcW w:type="dxa" w:w="8352"/>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8"/>
              </w:rPr>
              <w:t>2027 Domain</w:t>
            </w:r>
          </w:p>
        </w:tc>
        <w:tc>
          <w:tcPr>
            <w:tcW w:type="dxa" w:w="1440"/>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8"/>
              </w:rPr>
              <w:t>Weight</w:t>
            </w:r>
          </w:p>
        </w:tc>
      </w:tr>
      <w:tr>
        <w:trPr>
          <w:cantSplit/>
        </w:trPr>
        <w:tc>
          <w:tcPr>
            <w:tcW w:type="dxa" w:w="72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1</w:t>
            </w:r>
          </w:p>
        </w:tc>
        <w:tc>
          <w:tcPr>
            <w:tcW w:type="dxa" w:w="835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Professional Development &amp; Counselor Self-Awareness</w:t>
            </w:r>
          </w:p>
        </w:tc>
        <w:tc>
          <w:tcPr>
            <w:tcW w:type="dxa" w:w="144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15%</w:t>
            </w:r>
          </w:p>
        </w:tc>
      </w:tr>
      <w:tr>
        <w:trPr>
          <w:cantSplit/>
        </w:trPr>
        <w:tc>
          <w:tcPr>
            <w:tcW w:type="dxa" w:w="72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2</w:t>
            </w:r>
          </w:p>
        </w:tc>
        <w:tc>
          <w:tcPr>
            <w:tcW w:type="dxa" w:w="835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Intake &amp; Assessment</w:t>
            </w:r>
          </w:p>
        </w:tc>
        <w:tc>
          <w:tcPr>
            <w:tcW w:type="dxa" w:w="144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18%</w:t>
            </w:r>
          </w:p>
        </w:tc>
      </w:tr>
      <w:tr>
        <w:trPr>
          <w:cantSplit/>
        </w:trPr>
        <w:tc>
          <w:tcPr>
            <w:tcW w:type="dxa" w:w="72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3</w:t>
            </w:r>
          </w:p>
        </w:tc>
        <w:tc>
          <w:tcPr>
            <w:tcW w:type="dxa" w:w="835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Treatment Planning &amp; Continuity of Care</w:t>
            </w:r>
          </w:p>
        </w:tc>
        <w:tc>
          <w:tcPr>
            <w:tcW w:type="dxa" w:w="144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15%</w:t>
            </w:r>
          </w:p>
        </w:tc>
      </w:tr>
      <w:tr>
        <w:trPr>
          <w:cantSplit/>
        </w:trPr>
        <w:tc>
          <w:tcPr>
            <w:tcW w:type="dxa" w:w="72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4</w:t>
            </w:r>
          </w:p>
        </w:tc>
        <w:tc>
          <w:tcPr>
            <w:tcW w:type="dxa" w:w="835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Provision of Counseling Interventions</w:t>
            </w:r>
          </w:p>
        </w:tc>
        <w:tc>
          <w:tcPr>
            <w:tcW w:type="dxa" w:w="144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20%</w:t>
            </w:r>
          </w:p>
        </w:tc>
      </w:tr>
      <w:tr>
        <w:trPr>
          <w:cantSplit/>
        </w:trPr>
        <w:tc>
          <w:tcPr>
            <w:tcW w:type="dxa" w:w="72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5</w:t>
            </w:r>
          </w:p>
        </w:tc>
        <w:tc>
          <w:tcPr>
            <w:tcW w:type="dxa" w:w="835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Indirect Client Care</w:t>
            </w:r>
          </w:p>
        </w:tc>
        <w:tc>
          <w:tcPr>
            <w:tcW w:type="dxa" w:w="144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12%</w:t>
            </w:r>
          </w:p>
        </w:tc>
      </w:tr>
      <w:tr>
        <w:trPr>
          <w:cantSplit/>
        </w:trPr>
        <w:tc>
          <w:tcPr>
            <w:tcW w:type="dxa" w:w="72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6</w:t>
            </w:r>
          </w:p>
        </w:tc>
        <w:tc>
          <w:tcPr>
            <w:tcW w:type="dxa" w:w="835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Legal &amp; Ethical Compliance</w:t>
            </w:r>
          </w:p>
        </w:tc>
        <w:tc>
          <w:tcPr>
            <w:tcW w:type="dxa" w:w="144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20%</w:t>
            </w:r>
          </w:p>
        </w:tc>
      </w:tr>
    </w:tbl>
    <w:p>
      <w:pPr>
        <w:spacing w:after="0"/>
        <w:keepLines/>
      </w:pPr>
    </w:p>
    <w:p>
      <w:pPr>
        <w:pStyle w:val="Heading2"/>
        <w:keepLines/>
      </w:pPr>
      <w:r>
        <w:rPr>
          <w:rFonts w:ascii="Arial" w:hAnsi="Arial"/>
        </w:rPr>
        <w:t>Recommended release-control strategy</w:t>
      </w:r>
    </w:p>
    <w:p>
      <w:pPr>
        <w:spacing w:after="80" w:line="252" w:lineRule="auto"/>
        <w:ind w:left="0" w:firstLine="0"/>
        <w:keepLines/>
      </w:pPr>
      <w:r>
        <w:rPr>
          <w:rFonts w:ascii="Arial" w:hAnsi="Arial"/>
          <w:b w:val="0"/>
        </w:rPr>
        <w:t xml:space="preserve">1.  </w:t>
      </w:r>
      <w:r>
        <w:rPr>
          <w:rFonts w:ascii="Arial" w:hAnsi="Arial"/>
        </w:rPr>
        <w:t>Develop all curriculum source maps with dual coding: Current NCMHCE task(s), 2027 task(s), California LPCC scope element, and CTA workbook objective.</w:t>
      </w:r>
    </w:p>
    <w:p>
      <w:pPr>
        <w:spacing w:after="80" w:line="252" w:lineRule="auto"/>
        <w:ind w:left="0" w:firstLine="0"/>
        <w:keepLines/>
      </w:pPr>
      <w:r>
        <w:rPr>
          <w:rFonts w:ascii="Arial" w:hAnsi="Arial"/>
          <w:b w:val="0"/>
        </w:rPr>
        <w:t xml:space="preserve">2.  </w:t>
      </w:r>
      <w:r>
        <w:rPr>
          <w:rFonts w:ascii="Arial" w:hAnsi="Arial"/>
        </w:rPr>
        <w:t>Release Version 1.x for candidates testing before July 1, 2027, using current navigation, weights, and Form A/Form B controls.</w:t>
      </w:r>
    </w:p>
    <w:p>
      <w:pPr>
        <w:spacing w:after="80" w:line="252" w:lineRule="auto"/>
        <w:ind w:left="0" w:firstLine="0"/>
        <w:keepLines/>
      </w:pPr>
      <w:r>
        <w:rPr>
          <w:rFonts w:ascii="Arial" w:hAnsi="Arial"/>
          <w:b w:val="0"/>
        </w:rPr>
        <w:t xml:space="preserve">3.  </w:t>
      </w:r>
      <w:r>
        <w:rPr>
          <w:rFonts w:ascii="Arial" w:hAnsi="Arial"/>
        </w:rPr>
        <w:t>Build a Version 2.0 conversion package before the effective date: revised exam-strategy lessons, reweighted practice, ten-case simulations, new half-exam review logic, indirect-client-care expansion, AI/legal compliance updates, and revised score-report explanation.</w:t>
      </w:r>
    </w:p>
    <w:p>
      <w:pPr>
        <w:spacing w:after="80" w:line="252" w:lineRule="auto"/>
        <w:ind w:left="0" w:firstLine="0"/>
        <w:keepLines/>
      </w:pPr>
      <w:r>
        <w:rPr>
          <w:rFonts w:ascii="Arial" w:hAnsi="Arial"/>
          <w:b w:val="0"/>
        </w:rPr>
        <w:t xml:space="preserve">4.  </w:t>
      </w:r>
      <w:r>
        <w:rPr>
          <w:rFonts w:ascii="Arial" w:hAnsi="Arial"/>
        </w:rPr>
        <w:t>Do not claim a CTA raw score converts to the official 2027 scaled score. CTA should report readiness evidence and domain performance while explaining the official 360 scaled passing point.</w:t>
      </w:r>
    </w:p>
    <w:p>
      <w:pPr>
        <w:spacing w:after="80" w:line="252" w:lineRule="auto"/>
        <w:ind w:left="0" w:firstLine="0"/>
        <w:keepLines/>
      </w:pPr>
      <w:r>
        <w:rPr>
          <w:rFonts w:ascii="Arial" w:hAnsi="Arial"/>
          <w:b w:val="0"/>
        </w:rPr>
        <w:t xml:space="preserve">5.  </w:t>
      </w:r>
      <w:r>
        <w:rPr>
          <w:rFonts w:ascii="Arial" w:hAnsi="Arial"/>
        </w:rPr>
        <w:t>Reverify NBCC and BBS sources before publication, quarterly during the transition, and immediately if NBCC publishes a revised candidate handbook or transition notice.</w:t>
      </w:r>
    </w:p>
    <w:tbl>
      <w:tblPr>
        <w:tblW w:type="auto" w:w="0"/>
        <w:jc w:val="center"/>
        <w:tblLayout w:type="autofit"/>
        <w:tblLook w:firstColumn="1" w:firstRow="1" w:lastColumn="0" w:lastRow="0" w:noHBand="0" w:noVBand="1" w:val="04A0"/>
      </w:tblPr>
      <w:tblGrid>
        <w:gridCol w:w="10224"/>
      </w:tblGrid>
      <w:tr>
        <w:trPr>
          <w:cantSplit/>
        </w:trPr>
        <w:tc>
          <w:tcPr>
            <w:tcW w:type="dxa" w:w="10224"/>
            <w:shd w:fill="E7F2EA"/>
            <w:tcBorders>
              <w:top w:val="single" w:sz="10" w:color="6B8E70"/>
              <w:left w:val="single" w:sz="10" w:color="6B8E70"/>
              <w:bottom w:val="single" w:sz="10" w:color="6B8E70"/>
              <w:right w:val="single" w:sz="10" w:color="6B8E70"/>
            </w:tcBorders>
            <w:tcMar>
              <w:top w:w="120" w:type="dxa"/>
              <w:start w:w="150" w:type="dxa"/>
              <w:bottom w:w="120" w:type="dxa"/>
              <w:end w:w="150" w:type="dxa"/>
            </w:tcMar>
          </w:tcPr>
          <w:p>
            <w:pPr>
              <w:spacing w:after="80"/>
            </w:pPr>
            <w:r>
              <w:rPr>
                <w:rFonts w:ascii="Arial" w:hAnsi="Arial"/>
                <w:b/>
                <w:color w:val="17365D"/>
                <w:sz w:val="22"/>
              </w:rPr>
              <w:t>Forward-compatibility result</w:t>
            </w:r>
          </w:p>
          <w:p>
            <w:pPr>
              <w:spacing w:after="0" w:line="252" w:lineRule="auto"/>
            </w:pPr>
            <w:r>
              <w:rPr>
                <w:rFonts w:ascii="Arial" w:hAnsi="Arial"/>
                <w:color w:val="1F2937"/>
                <w:sz w:val="20"/>
              </w:rPr>
              <w:t>The proposed 12 workbooks remain valid under both blueprints. The main 2027 work is reweighting, adding indirect-client-care and compliance depth, revising exam mechanics, and rebuilding the comprehensive forms—not replacing the entire curriculum.</w:t>
            </w:r>
          </w:p>
        </w:tc>
      </w:tr>
    </w:tbl>
    <w:p>
      <w:pPr>
        <w:spacing w:after="0"/>
        <w:keepLines/>
      </w:pPr>
    </w:p>
    <w:p>
      <w:pPr>
        <w:pStyle w:val="Heading1"/>
        <w:keepLines/>
      </w:pPr>
      <w:r>
        <w:rPr>
          <w:rFonts w:ascii="Arial" w:hAnsi="Arial"/>
        </w:rPr>
        <w:t>5. CTA LPCC Program Architecture</w:t>
      </w:r>
    </w:p>
    <w:p>
      <w:pPr>
        <w:spacing w:before="0" w:after="120" w:line="259" w:lineRule="auto"/>
        <w:keepLines/>
      </w:pPr>
      <w:r>
        <w:rPr>
          <w:rFonts w:ascii="Arial" w:hAnsi="Arial"/>
        </w:rPr>
        <w:t>The LPCC program should mirror the clarity, sequencing, and production controls of the CTA LMFT and LCSW programs without reusing their profession-specific conceptual lenses. The LPCC lens is professional counseling: counselor-client relationship, wellness and development, pluralistic theory-based practice, assessment for counseling goals, clinical mental health diagnosis and treatment, multicultural responsiveness, and competence-based referral.</w:t>
      </w:r>
    </w:p>
    <w:p>
      <w:pPr>
        <w:pStyle w:val="Heading2"/>
        <w:keepLines/>
      </w:pPr>
      <w:r>
        <w:rPr>
          <w:rFonts w:ascii="Arial" w:hAnsi="Arial"/>
        </w:rPr>
        <w:t>Repeatable student learning cycle</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728"/>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8"/>
              </w:rPr>
              <w:t>Stage</w:t>
            </w:r>
          </w:p>
        </w:tc>
        <w:tc>
          <w:tcPr>
            <w:tcW w:type="dxa" w:w="8784"/>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8"/>
              </w:rPr>
              <w:t>Completion Evidence</w:t>
            </w:r>
          </w:p>
        </w:tc>
      </w:tr>
      <w:tr>
        <w:trPr>
          <w:cantSplit/>
        </w:trPr>
        <w:tc>
          <w:tcPr>
            <w:tcW w:type="dxa" w:w="172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1. Learn</w:t>
            </w:r>
          </w:p>
        </w:tc>
        <w:tc>
          <w:tcPr>
            <w:tcW w:type="dxa" w:w="878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Complete the workbook and companion media. Explain the decision rules and counselor rationale in the student’s own words.</w:t>
            </w:r>
          </w:p>
        </w:tc>
      </w:tr>
      <w:tr>
        <w:trPr>
          <w:cantSplit/>
        </w:trPr>
        <w:tc>
          <w:tcPr>
            <w:tcW w:type="dxa" w:w="172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2. Practice</w:t>
            </w:r>
          </w:p>
        </w:tc>
        <w:tc>
          <w:tcPr>
            <w:tcW w:type="dxa" w:w="878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Complete the 17-question workbook bank before viewing answers or rationales.</w:t>
            </w:r>
          </w:p>
        </w:tc>
      </w:tr>
      <w:tr>
        <w:trPr>
          <w:cantSplit/>
        </w:trPr>
        <w:tc>
          <w:tcPr>
            <w:tcW w:type="dxa" w:w="172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3. Review</w:t>
            </w:r>
          </w:p>
        </w:tc>
        <w:tc>
          <w:tcPr>
            <w:tcW w:type="dxa" w:w="878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Study every option rationale. Identify why the best answer fits the task, case section, timing, role, and facts.</w:t>
            </w:r>
          </w:p>
        </w:tc>
      </w:tr>
      <w:tr>
        <w:trPr>
          <w:cantSplit/>
        </w:trPr>
        <w:tc>
          <w:tcPr>
            <w:tcW w:type="dxa" w:w="172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4. Remediate</w:t>
            </w:r>
          </w:p>
        </w:tc>
        <w:tc>
          <w:tcPr>
            <w:tcW w:type="dxa" w:w="878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Classify misses and low-confidence correct answers; return to the exact workbook section, quick-reference rule, or audio track.</w:t>
            </w:r>
          </w:p>
        </w:tc>
      </w:tr>
      <w:tr>
        <w:trPr>
          <w:cantSplit/>
        </w:trPr>
        <w:tc>
          <w:tcPr>
            <w:tcW w:type="dxa" w:w="172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5. Simulate</w:t>
            </w:r>
          </w:p>
        </w:tc>
        <w:tc>
          <w:tcPr>
            <w:tcW w:type="dxa" w:w="878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Use cumulative case practice, then protected Form A, targeted remediation, and protected Form B.</w:t>
            </w:r>
          </w:p>
        </w:tc>
      </w:tr>
    </w:tbl>
    <w:p>
      <w:pPr>
        <w:spacing w:after="0"/>
        <w:keepLines/>
      </w:pPr>
    </w:p>
    <w:p>
      <w:pPr>
        <w:pStyle w:val="Heading2"/>
        <w:keepLines/>
      </w:pPr>
      <w:r>
        <w:rPr>
          <w:rFonts w:ascii="Arial" w:hAnsi="Arial"/>
        </w:rPr>
        <w:t>Standard student workbook anatomy</w:t>
      </w:r>
    </w:p>
    <w:p>
      <w:pPr>
        <w:pStyle w:val="ListBullet"/>
        <w:spacing w:after="60" w:line="250" w:lineRule="auto"/>
        <w:keepLines/>
        <w:keepLines/>
      </w:pPr>
      <w:r>
        <w:rPr>
          <w:rFonts w:ascii="Arial" w:hAnsi="Arial"/>
        </w:rPr>
        <w:t>CTA-branded cover, publication notice, target audience, current verification date, and blueprint crosswalk.</w:t>
      </w:r>
    </w:p>
    <w:p>
      <w:pPr>
        <w:pStyle w:val="ListBullet"/>
        <w:spacing w:after="60" w:line="250" w:lineRule="auto"/>
        <w:keepLines/>
        <w:keepLines/>
      </w:pPr>
      <w:r>
        <w:rPr>
          <w:rFonts w:ascii="Arial" w:hAnsi="Arial"/>
        </w:rPr>
        <w:t>Workbook purpose, measurable learning objectives, key terms, and a visual chapter roadmap.</w:t>
      </w:r>
    </w:p>
    <w:p>
      <w:pPr>
        <w:pStyle w:val="ListBullet"/>
        <w:spacing w:after="60" w:line="250" w:lineRule="auto"/>
        <w:keepLines/>
        <w:keepLines/>
      </w:pPr>
      <w:r>
        <w:rPr>
          <w:rFonts w:ascii="Arial" w:hAnsi="Arial"/>
        </w:rPr>
        <w:t>Profession-specific instruction organized around counselor decisions rather than encyclopedic review.</w:t>
      </w:r>
    </w:p>
    <w:p>
      <w:pPr>
        <w:pStyle w:val="ListBullet"/>
        <w:spacing w:after="60" w:line="250" w:lineRule="auto"/>
        <w:keepLines/>
        <w:keepLines/>
      </w:pPr>
      <w:r>
        <w:rPr>
          <w:rFonts w:ascii="Arial" w:hAnsi="Arial"/>
        </w:rPr>
        <w:t>Worked NCMHCE-style case examples showing intake, subsequent sessions, evolving information, and changing priorities.</w:t>
      </w:r>
    </w:p>
    <w:p>
      <w:pPr>
        <w:pStyle w:val="ListBullet"/>
        <w:spacing w:after="60" w:line="250" w:lineRule="auto"/>
        <w:keepLines/>
        <w:keepLines/>
      </w:pPr>
      <w:r>
        <w:rPr>
          <w:rFonts w:ascii="Arial" w:hAnsi="Arial"/>
        </w:rPr>
        <w:t>Decision rules, common distractor patterns, clinical sequencing prompts, and “why not yet?” explanations.</w:t>
      </w:r>
    </w:p>
    <w:p>
      <w:pPr>
        <w:pStyle w:val="ListBullet"/>
        <w:spacing w:after="60" w:line="250" w:lineRule="auto"/>
        <w:keepLines/>
        <w:keepLines/>
      </w:pPr>
      <w:r>
        <w:rPr>
          <w:rFonts w:ascii="Arial" w:hAnsi="Arial"/>
        </w:rPr>
        <w:t>Editable worksheets for assessment, diagnosis, conceptualization, treatment planning, culture/context, risk, referral, and documentation.</w:t>
      </w:r>
    </w:p>
    <w:p>
      <w:pPr>
        <w:pStyle w:val="ListBullet"/>
        <w:spacing w:after="60" w:line="250" w:lineRule="auto"/>
        <w:keepLines/>
        <w:keepLines/>
      </w:pPr>
      <w:r>
        <w:rPr>
          <w:rFonts w:ascii="Arial" w:hAnsi="Arial"/>
        </w:rPr>
        <w:t>Short retrieval checks and application exercises that do not duplicate the separate 17-question bank.</w:t>
      </w:r>
    </w:p>
    <w:p>
      <w:pPr>
        <w:pStyle w:val="ListBullet"/>
        <w:spacing w:after="60" w:line="250" w:lineRule="auto"/>
        <w:keepLines/>
        <w:keepLines/>
      </w:pPr>
      <w:r>
        <w:rPr>
          <w:rFonts w:ascii="Arial" w:hAnsi="Arial"/>
        </w:rPr>
        <w:t>Chapter summaries, readiness check, remediation directions, and current official source list.</w:t>
      </w:r>
    </w:p>
    <w:p>
      <w:pPr>
        <w:pStyle w:val="Heading2"/>
        <w:keepLines/>
      </w:pPr>
      <w:r>
        <w:rPr>
          <w:rFonts w:ascii="Arial" w:hAnsi="Arial"/>
        </w:rPr>
        <w:t>Asynchronous delivery standard</w:t>
      </w:r>
    </w:p>
    <w:p>
      <w:pPr>
        <w:pStyle w:val="ListBullet"/>
        <w:spacing w:after="60" w:line="250" w:lineRule="auto"/>
        <w:keepLines/>
        <w:keepLines/>
      </w:pPr>
      <w:r>
        <w:rPr>
          <w:rFonts w:ascii="Arial" w:hAnsi="Arial"/>
        </w:rPr>
        <w:t>Every required instruction is available as readable online content and an editable downloadable Word document.</w:t>
      </w:r>
    </w:p>
    <w:p>
      <w:pPr>
        <w:pStyle w:val="ListBullet"/>
        <w:spacing w:after="60" w:line="250" w:lineRule="auto"/>
        <w:keepLines/>
        <w:keepLines/>
      </w:pPr>
      <w:r>
        <w:rPr>
          <w:rFonts w:ascii="Arial" w:hAnsi="Arial"/>
        </w:rPr>
        <w:t>Required videos include captions, audio-only access, and a synchronized transcript; the transcript is sufficient when video access is limited.</w:t>
      </w:r>
    </w:p>
    <w:p>
      <w:pPr>
        <w:pStyle w:val="ListBullet"/>
        <w:spacing w:after="60" w:line="250" w:lineRule="auto"/>
        <w:keepLines/>
        <w:keepLines/>
      </w:pPr>
      <w:r>
        <w:rPr>
          <w:rFonts w:ascii="Arial" w:hAnsi="Arial"/>
        </w:rPr>
        <w:t>Question answers and rationales release only after the bank attempt is submitted or the learner intentionally opens the separate rationale file.</w:t>
      </w:r>
    </w:p>
    <w:p>
      <w:pPr>
        <w:pStyle w:val="ListBullet"/>
        <w:spacing w:after="60" w:line="250" w:lineRule="auto"/>
        <w:keepLines/>
        <w:keepLines/>
      </w:pPr>
      <w:r>
        <w:rPr>
          <w:rFonts w:ascii="Arial" w:hAnsi="Arial"/>
        </w:rPr>
        <w:t>Form B remains locked until Form A and the required remediation plan are completed.</w:t>
      </w:r>
    </w:p>
    <w:p>
      <w:pPr>
        <w:pStyle w:val="ListBullet"/>
        <w:spacing w:after="60" w:line="250" w:lineRule="auto"/>
        <w:keepLines/>
        <w:keepLines/>
      </w:pPr>
      <w:r>
        <w:rPr>
          <w:rFonts w:ascii="Arial" w:hAnsi="Arial"/>
        </w:rPr>
        <w:t>Printable users receive clear section-gating instructions to reproduce the current case-section lock as closely as practical on paper.</w:t>
      </w:r>
    </w:p>
    <w:p>
      <w:pPr>
        <w:pStyle w:val="ListBullet"/>
        <w:spacing w:after="60" w:line="250" w:lineRule="auto"/>
        <w:keepLines/>
        <w:keepLines/>
      </w:pPr>
      <w:r>
        <w:rPr>
          <w:rFonts w:ascii="Arial" w:hAnsi="Arial"/>
        </w:rPr>
        <w:t>The learner can complete the entire program without a teacher, live session, or manual administrator decision.</w:t>
      </w:r>
    </w:p>
    <w:p>
      <w:pPr>
        <w:keepLines/>
      </w:pPr>
      <w:r>
        <w:rPr>
          <w:rFonts w:ascii="Arial" w:hAnsi="Arial"/>
        </w:rPr>
        <w:br w:type="page"/>
      </w:r>
    </w:p>
    <w:p>
      <w:pPr>
        <w:pStyle w:val="Heading1"/>
        <w:keepLines/>
      </w:pPr>
      <w:r>
        <w:rPr>
          <w:rFonts w:ascii="Arial" w:hAnsi="Arial"/>
        </w:rPr>
        <w:t>6. Proposed 12-Workbook Curriculum Map</w:t>
      </w:r>
    </w:p>
    <w:p>
      <w:pPr>
        <w:spacing w:before="0" w:after="120" w:line="259" w:lineRule="auto"/>
        <w:keepLines/>
      </w:pPr>
      <w:r>
        <w:rPr>
          <w:rFonts w:ascii="Arial" w:hAnsi="Arial"/>
        </w:rPr>
        <w:t>The sequence moves from exam mechanics and professional identity into assessment, risk, diagnosis, planning, theory, intervention, multicultural practice, modalities and collaboration, and finally California professional practice. Assessment, ethics, counselor attributes, and cultural responsiveness recur throughout the sequence.</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792"/>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8"/>
              </w:rPr>
              <w:t>WB</w:t>
            </w:r>
          </w:p>
        </w:tc>
        <w:tc>
          <w:tcPr>
            <w:tcW w:type="dxa" w:w="9720"/>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8"/>
              </w:rPr>
              <w:t>Proposed Title</w:t>
            </w:r>
          </w:p>
        </w:tc>
      </w:tr>
      <w:tr>
        <w:trPr>
          <w:cantSplit/>
        </w:trPr>
        <w:tc>
          <w:tcPr>
            <w:tcW w:type="dxa" w:w="79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1</w:t>
            </w:r>
          </w:p>
        </w:tc>
        <w:tc>
          <w:tcPr>
            <w:tcW w:type="dxa" w:w="972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NCMHCE Case-Study Strategy and Applied Clinical Counselor Reasoning</w:t>
            </w:r>
          </w:p>
        </w:tc>
      </w:tr>
      <w:tr>
        <w:trPr>
          <w:cantSplit/>
        </w:trPr>
        <w:tc>
          <w:tcPr>
            <w:tcW w:type="dxa" w:w="79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2</w:t>
            </w:r>
          </w:p>
        </w:tc>
        <w:tc>
          <w:tcPr>
            <w:tcW w:type="dxa" w:w="972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LPCC Professional Identity, California Scope, Competence, and Counselor Self-Awareness</w:t>
            </w:r>
          </w:p>
        </w:tc>
      </w:tr>
      <w:tr>
        <w:trPr>
          <w:cantSplit/>
        </w:trPr>
        <w:tc>
          <w:tcPr>
            <w:tcW w:type="dxa" w:w="79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3</w:t>
            </w:r>
          </w:p>
        </w:tc>
        <w:tc>
          <w:tcPr>
            <w:tcW w:type="dxa" w:w="972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Intake, Informed Consent, Clinical Interviewing, MSE, and Biopsychosocial-Cultural Assessment</w:t>
            </w:r>
          </w:p>
        </w:tc>
      </w:tr>
      <w:tr>
        <w:trPr>
          <w:cantSplit/>
        </w:trPr>
        <w:tc>
          <w:tcPr>
            <w:tcW w:type="dxa" w:w="79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4</w:t>
            </w:r>
          </w:p>
        </w:tc>
        <w:tc>
          <w:tcPr>
            <w:tcW w:type="dxa" w:w="972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Crisis, Trauma, Abuse, Violence, and Level-of-Care Decisions</w:t>
            </w:r>
          </w:p>
        </w:tc>
      </w:tr>
      <w:tr>
        <w:trPr>
          <w:cantSplit/>
        </w:trPr>
        <w:tc>
          <w:tcPr>
            <w:tcW w:type="dxa" w:w="79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5</w:t>
            </w:r>
          </w:p>
        </w:tc>
        <w:tc>
          <w:tcPr>
            <w:tcW w:type="dxa" w:w="972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Diagnosis and Differential Diagnosis I: Mood, Anxiety, Trauma, OCD, and Psychotic Disorders</w:t>
            </w:r>
          </w:p>
        </w:tc>
      </w:tr>
      <w:tr>
        <w:trPr>
          <w:cantSplit/>
        </w:trPr>
        <w:tc>
          <w:tcPr>
            <w:tcW w:type="dxa" w:w="79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6</w:t>
            </w:r>
          </w:p>
        </w:tc>
        <w:tc>
          <w:tcPr>
            <w:tcW w:type="dxa" w:w="972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Diagnosis and Differential Diagnosis II: Substance Use, Personality, Neurodevelopmental, Eating, Sleep, Somatic, Medical, and Co-Occurring Conditions</w:t>
            </w:r>
          </w:p>
        </w:tc>
      </w:tr>
      <w:tr>
        <w:trPr>
          <w:cantSplit/>
        </w:trPr>
        <w:tc>
          <w:tcPr>
            <w:tcW w:type="dxa" w:w="79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7</w:t>
            </w:r>
          </w:p>
        </w:tc>
        <w:tc>
          <w:tcPr>
            <w:tcW w:type="dxa" w:w="972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Case Conceptualization, Treatment Planning, Measurement, Progress, and Termination</w:t>
            </w:r>
          </w:p>
        </w:tc>
      </w:tr>
      <w:tr>
        <w:trPr>
          <w:cantSplit/>
        </w:trPr>
        <w:tc>
          <w:tcPr>
            <w:tcW w:type="dxa" w:w="79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8</w:t>
            </w:r>
          </w:p>
        </w:tc>
        <w:tc>
          <w:tcPr>
            <w:tcW w:type="dxa" w:w="972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Counseling Theories, Therapeutic Alliance, and Core Counseling Skills</w:t>
            </w:r>
          </w:p>
        </w:tc>
      </w:tr>
      <w:tr>
        <w:trPr>
          <w:cantSplit/>
        </w:trPr>
        <w:tc>
          <w:tcPr>
            <w:tcW w:type="dxa" w:w="79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9</w:t>
            </w:r>
          </w:p>
        </w:tc>
        <w:tc>
          <w:tcPr>
            <w:tcW w:type="dxa" w:w="972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Evidence-Based and Evidence-Informed Interventions Across Common Presenting Concerns</w:t>
            </w:r>
          </w:p>
        </w:tc>
      </w:tr>
      <w:tr>
        <w:trPr>
          <w:cantSplit/>
        </w:trPr>
        <w:tc>
          <w:tcPr>
            <w:tcW w:type="dxa" w:w="79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10</w:t>
            </w:r>
          </w:p>
        </w:tc>
        <w:tc>
          <w:tcPr>
            <w:tcW w:type="dxa" w:w="972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Multicultural, Developmental, Career, Spiritual, Disability, and Context-Responsive Counseling</w:t>
            </w:r>
          </w:p>
        </w:tc>
      </w:tr>
      <w:tr>
        <w:trPr>
          <w:cantSplit/>
        </w:trPr>
        <w:tc>
          <w:tcPr>
            <w:tcW w:type="dxa" w:w="79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11</w:t>
            </w:r>
          </w:p>
        </w:tc>
        <w:tc>
          <w:tcPr>
            <w:tcW w:type="dxa" w:w="972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Individual, Group, Couple/Family, Referral, Continuity, and Interdisciplinary Collaboration</w:t>
            </w:r>
          </w:p>
        </w:tc>
      </w:tr>
      <w:tr>
        <w:trPr>
          <w:cantSplit/>
        </w:trPr>
        <w:tc>
          <w:tcPr>
            <w:tcW w:type="dxa" w:w="79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12</w:t>
            </w:r>
          </w:p>
        </w:tc>
        <w:tc>
          <w:tcPr>
            <w:tcW w:type="dxa" w:w="972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California Legal, Ethical, Documentation, Technology, and Professional Practice</w:t>
            </w:r>
          </w:p>
        </w:tc>
      </w:tr>
    </w:tbl>
    <w:p>
      <w:pPr>
        <w:spacing w:after="0"/>
        <w:keepLines/>
      </w:pPr>
    </w:p>
    <w:tbl>
      <w:tblPr>
        <w:tblW w:type="auto" w:w="0"/>
        <w:jc w:val="center"/>
        <w:tblLayout w:type="autofit"/>
        <w:tblLook w:firstColumn="1" w:firstRow="1" w:lastColumn="0" w:lastRow="0" w:noHBand="0" w:noVBand="1" w:val="04A0"/>
      </w:tblPr>
      <w:tblGrid>
        <w:gridCol w:w="10224"/>
      </w:tblGrid>
      <w:tr>
        <w:trPr>
          <w:cantSplit/>
        </w:trPr>
        <w:tc>
          <w:tcPr>
            <w:tcW w:type="dxa" w:w="10224"/>
            <w:shd w:fill="F8E8C8"/>
            <w:tcBorders>
              <w:top w:val="single" w:sz="10" w:color="C4943D"/>
              <w:left w:val="single" w:sz="10" w:color="C4943D"/>
              <w:bottom w:val="single" w:sz="10" w:color="C4943D"/>
              <w:right w:val="single" w:sz="10" w:color="C4943D"/>
            </w:tcBorders>
            <w:tcMar>
              <w:top w:w="120" w:type="dxa"/>
              <w:start w:w="150" w:type="dxa"/>
              <w:bottom w:w="120" w:type="dxa"/>
              <w:end w:w="150" w:type="dxa"/>
            </w:tcMar>
          </w:tcPr>
          <w:p>
            <w:pPr>
              <w:spacing w:after="80"/>
            </w:pPr>
            <w:r>
              <w:rPr>
                <w:rFonts w:ascii="Arial" w:hAnsi="Arial"/>
                <w:b/>
                <w:color w:val="17365D"/>
                <w:sz w:val="22"/>
              </w:rPr>
              <w:t>Important production boundary</w:t>
            </w:r>
          </w:p>
          <w:p>
            <w:pPr>
              <w:spacing w:after="0" w:line="252" w:lineRule="auto"/>
            </w:pPr>
            <w:r>
              <w:rPr>
                <w:rFonts w:ascii="Arial" w:hAnsi="Arial"/>
                <w:color w:val="1F2937"/>
                <w:sz w:val="20"/>
              </w:rPr>
              <w:t>Each workbook receives one focused 17-question bank. Cumulative case sets and full-length Form A/Form B simulations are separate products assembled to the official blueprint; they should not carry workbook labels or reveal content-domain cues.</w:t>
            </w:r>
          </w:p>
        </w:tc>
      </w:tr>
    </w:tbl>
    <w:p>
      <w:pPr>
        <w:spacing w:after="0"/>
        <w:keepLines/>
      </w:pPr>
    </w:p>
    <w:p>
      <w:pPr>
        <w:keepLines/>
      </w:pPr>
      <w:r>
        <w:rPr>
          <w:rFonts w:ascii="Arial" w:hAnsi="Arial"/>
        </w:rPr>
        <w:br w:type="page"/>
      </w:r>
    </w:p>
    <w:tbl>
      <w:tblPr>
        <w:tblW w:type="auto" w:w="0"/>
        <w:jc w:val="center"/>
        <w:tblLayout w:type="fixed"/>
        <w:tblLook w:firstColumn="1" w:firstRow="1" w:lastColumn="0" w:lastRow="0" w:noHBand="0" w:noVBand="1" w:val="04A0"/>
      </w:tblPr>
      <w:tblGrid>
        <w:gridCol w:w="5112"/>
        <w:gridCol w:w="5112"/>
      </w:tblGrid>
      <w:tr>
        <w:tc>
          <w:tcPr>
            <w:tcW w:type="dxa" w:w="1008"/>
            <w:shd w:fill="159C9C"/>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jc w:val="center"/>
            </w:pPr>
            <w:r>
              <w:rPr>
                <w:rFonts w:ascii="Arial" w:hAnsi="Arial"/>
                <w:b/>
                <w:color w:val="FFFFFF"/>
                <w:sz w:val="36"/>
              </w:rPr>
              <w:t>1</w:t>
            </w:r>
          </w:p>
        </w:tc>
        <w:tc>
          <w:tcPr>
            <w:tcW w:type="dxa" w:w="9504"/>
            <w:shd w:fill="17365D"/>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pPr>
            <w:r>
              <w:rPr>
                <w:rFonts w:ascii="Arial" w:hAnsi="Arial"/>
                <w:b/>
                <w:color w:val="FFFFFF"/>
                <w:sz w:val="27"/>
              </w:rPr>
              <w:t>NCMHCE Case-Study Strategy and Applied Clinical Counselor Reasoning</w:t>
            </w:r>
          </w:p>
        </w:tc>
      </w:tr>
    </w:tbl>
    <w:p>
      <w:pPr>
        <w:spacing w:after="0"/>
        <w:keepLines/>
      </w:pPr>
    </w:p>
    <w:p>
      <w:pPr>
        <w:spacing w:before="20" w:after="100" w:line="259" w:lineRule="auto"/>
        <w:keepLines/>
      </w:pPr>
      <w:r>
        <w:rPr>
          <w:rFonts w:ascii="Arial" w:hAnsi="Arial"/>
          <w:i/>
          <w:color w:val="4E5B6B"/>
        </w:rPr>
        <w:t>Build the exam-specific reasoning system before the learner studies content in depth.</w:t>
      </w:r>
    </w:p>
    <w:tbl>
      <w:tblPr>
        <w:tblW w:type="auto" w:w="0"/>
        <w:jc w:val="center"/>
        <w:tblLayout w:type="fixed"/>
        <w:tblLook w:firstColumn="1" w:firstRow="1" w:lastColumn="0" w:lastRow="0" w:noHBand="0" w:noVBand="1" w:val="04A0"/>
      </w:tblPr>
      <w:tblGrid>
        <w:gridCol w:w="5112"/>
        <w:gridCol w:w="5112"/>
      </w:tblGrid>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Core coverage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Current test mechanics; three-part case development; qualifier words; section closure; evidence tracking; priority and sequence; “assess before intervene” limits; safety/legal exceptions; distractor elimination; pacing by case; confidence coding; and rationale-based remediation.</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Current blueprint alignment</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Cross-domain. Uses the current 11-case, 130–150-item, 225-minute format and current section-level review lock.</w:t>
            </w:r>
          </w:p>
        </w:tc>
      </w:tr>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2027 bridge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Adds the ten-case structure, half-exam review model, field-test distribution, scaled-score explanation, and revised weights without changing the core clinical reasoning hierarchy.</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Companion asset emphasis</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Exam Facts quick reference; case timeline worksheet; pacing calculator; one three-part strategy case; Audio Track 1; video walkthrough of section submission and evidence updates.</w:t>
            </w:r>
          </w:p>
        </w:tc>
      </w:tr>
    </w:tbl>
    <w:p>
      <w:pPr>
        <w:spacing w:after="40"/>
        <w:keepLines/>
      </w:pPr>
    </w:p>
    <w:tbl>
      <w:tblPr>
        <w:tblW w:type="auto" w:w="0"/>
        <w:jc w:val="center"/>
        <w:tblLayout w:type="fixed"/>
        <w:tblLook w:firstColumn="1" w:firstRow="1" w:lastColumn="0" w:lastRow="0" w:noHBand="0" w:noVBand="1" w:val="04A0"/>
      </w:tblPr>
      <w:tblGrid>
        <w:gridCol w:w="5112"/>
        <w:gridCol w:w="5112"/>
      </w:tblGrid>
      <w:tr>
        <w:tc>
          <w:tcPr>
            <w:tcW w:type="dxa" w:w="1008"/>
            <w:shd w:fill="159C9C"/>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jc w:val="center"/>
            </w:pPr>
            <w:r>
              <w:rPr>
                <w:rFonts w:ascii="Arial" w:hAnsi="Arial"/>
                <w:b/>
                <w:color w:val="FFFFFF"/>
                <w:sz w:val="36"/>
              </w:rPr>
              <w:t>2</w:t>
            </w:r>
          </w:p>
        </w:tc>
        <w:tc>
          <w:tcPr>
            <w:tcW w:type="dxa" w:w="9504"/>
            <w:shd w:fill="17365D"/>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pPr>
            <w:r>
              <w:rPr>
                <w:rFonts w:ascii="Arial" w:hAnsi="Arial"/>
                <w:b/>
                <w:color w:val="FFFFFF"/>
                <w:sz w:val="27"/>
              </w:rPr>
              <w:t>LPCC Professional Identity, California Scope, Competence, and Counselor Self-Awareness</w:t>
            </w:r>
          </w:p>
        </w:tc>
      </w:tr>
    </w:tbl>
    <w:p>
      <w:pPr>
        <w:spacing w:after="0"/>
        <w:keepLines/>
      </w:pPr>
    </w:p>
    <w:p>
      <w:pPr>
        <w:spacing w:before="20" w:after="100" w:line="259" w:lineRule="auto"/>
        <w:keepLines/>
      </w:pPr>
      <w:r>
        <w:rPr>
          <w:rFonts w:ascii="Arial" w:hAnsi="Arial"/>
          <w:i/>
          <w:color w:val="4E5B6B"/>
        </w:rPr>
        <w:t>Anchor the course in the profession of clinical mental health counseling and California LPCC practice.</w:t>
      </w:r>
    </w:p>
    <w:tbl>
      <w:tblPr>
        <w:tblW w:type="auto" w:w="0"/>
        <w:jc w:val="center"/>
        <w:tblLayout w:type="fixed"/>
        <w:tblLook w:firstColumn="1" w:firstRow="1" w:lastColumn="0" w:lastRow="0" w:noHBand="0" w:noVBand="1" w:val="04A0"/>
      </w:tblPr>
      <w:tblGrid>
        <w:gridCol w:w="5112"/>
        <w:gridCol w:w="5112"/>
      </w:tblGrid>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Core coverage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California BPC §4999.20; APCC versus LPCC role; counseling identity; permitted assessment and excluded testing; competence and referral; professional orientation; therapeutic relationship; counselor-client fit; boundaries; transference/countertransference; supervision and consultation; advocacy; research literacy; burnout, compassion fatigue, vicarious trauma, self-reflection, and self-regulation.</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Current blueprint alignment</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Primary: Professional Practice and Ethics; Core Counseling Attributes. Secondary: Intake/Assessment and referral tasks.</w:t>
            </w:r>
          </w:p>
        </w:tc>
      </w:tr>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2027 bridge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Primary: Professional Development &amp; Counselor Self-Awareness; Legal &amp; Ethical Compliance. Also prepares counselor suitability, assessment competence, advocacy, AI training awareness, and professional limitations.</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Companion asset emphasis</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LPCC Scope and Referral quick reference; scope decision tree; competence/referral worksheet; counselor self-awareness inventory; Audio Track 2.</w:t>
            </w:r>
          </w:p>
        </w:tc>
      </w:tr>
    </w:tbl>
    <w:p>
      <w:pPr>
        <w:spacing w:after="40"/>
        <w:keepLines/>
      </w:pPr>
    </w:p>
    <w:p>
      <w:pPr>
        <w:keepLines/>
      </w:pPr>
      <w:r>
        <w:rPr>
          <w:rFonts w:ascii="Arial" w:hAnsi="Arial"/>
        </w:rPr>
        <w:br w:type="page"/>
      </w:r>
    </w:p>
    <w:tbl>
      <w:tblPr>
        <w:tblW w:type="auto" w:w="0"/>
        <w:jc w:val="center"/>
        <w:tblLayout w:type="fixed"/>
        <w:tblLook w:firstColumn="1" w:firstRow="1" w:lastColumn="0" w:lastRow="0" w:noHBand="0" w:noVBand="1" w:val="04A0"/>
      </w:tblPr>
      <w:tblGrid>
        <w:gridCol w:w="5112"/>
        <w:gridCol w:w="5112"/>
      </w:tblGrid>
      <w:tr>
        <w:tc>
          <w:tcPr>
            <w:tcW w:type="dxa" w:w="1008"/>
            <w:shd w:fill="159C9C"/>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jc w:val="center"/>
            </w:pPr>
            <w:r>
              <w:rPr>
                <w:rFonts w:ascii="Arial" w:hAnsi="Arial"/>
                <w:b/>
                <w:color w:val="FFFFFF"/>
                <w:sz w:val="36"/>
              </w:rPr>
              <w:t>3</w:t>
            </w:r>
          </w:p>
        </w:tc>
        <w:tc>
          <w:tcPr>
            <w:tcW w:type="dxa" w:w="9504"/>
            <w:shd w:fill="17365D"/>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pPr>
            <w:r>
              <w:rPr>
                <w:rFonts w:ascii="Arial" w:hAnsi="Arial"/>
                <w:b/>
                <w:color w:val="FFFFFF"/>
                <w:sz w:val="27"/>
              </w:rPr>
              <w:t>Intake, Informed Consent, Clinical Interviewing, MSE, and Biopsychosocial-Cultural Assessment</w:t>
            </w:r>
          </w:p>
        </w:tc>
      </w:tr>
    </w:tbl>
    <w:p>
      <w:pPr>
        <w:spacing w:after="0"/>
        <w:keepLines/>
      </w:pPr>
    </w:p>
    <w:p>
      <w:pPr>
        <w:spacing w:before="20" w:after="100" w:line="259" w:lineRule="auto"/>
        <w:keepLines/>
      </w:pPr>
      <w:r>
        <w:rPr>
          <w:rFonts w:ascii="Arial" w:hAnsi="Arial"/>
          <w:i/>
          <w:color w:val="4E5B6B"/>
        </w:rPr>
        <w:t>Teach comprehensive initial assessment while preserving alliance, culture, and case purpose.</w:t>
      </w:r>
    </w:p>
    <w:tbl>
      <w:tblPr>
        <w:tblW w:type="auto" w:w="0"/>
        <w:jc w:val="center"/>
        <w:tblLayout w:type="fixed"/>
        <w:tblLook w:firstColumn="1" w:firstRow="1" w:lastColumn="0" w:lastRow="0" w:noHBand="0" w:noVBand="1" w:val="04A0"/>
      </w:tblPr>
      <w:tblGrid>
        <w:gridCol w:w="5112"/>
        <w:gridCol w:w="5112"/>
      </w:tblGrid>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Core coverage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Informed consent; client/counselor roles; initial and diagnostic interviews; biopsychosocial history; cultural formulation; development and functioning; MSE domains; trauma and substance screening; collateral information; consent and capacity; formal/informal observation; test selection, use, limits, interpretation, and cross-cultural fairness; baseline and outcome measures; telehealth intake; barriers to access.</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Current blueprint alignment</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Primary: Intake, Assessment, and Diagnosis. Secondary: Professional Practice and Ethics; Core Counseling Attributes.</w:t>
            </w:r>
          </w:p>
        </w:tc>
      </w:tr>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2027 bridge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Primary: Intake &amp; Assessment. Secondary: Legal &amp; Ethical Compliance and Provision of Counseling Interventions through alliance and engagement.</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Companion asset emphasis</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MSE quick reference; intake map; cultural formulation prompts; instrument-selection worksheet; three-part intake case; Audio Track 3.</w:t>
            </w:r>
          </w:p>
        </w:tc>
      </w:tr>
    </w:tbl>
    <w:p>
      <w:pPr>
        <w:spacing w:after="40"/>
        <w:keepLines/>
      </w:pPr>
    </w:p>
    <w:tbl>
      <w:tblPr>
        <w:tblW w:type="auto" w:w="0"/>
        <w:jc w:val="center"/>
        <w:tblLayout w:type="fixed"/>
        <w:tblLook w:firstColumn="1" w:firstRow="1" w:lastColumn="0" w:lastRow="0" w:noHBand="0" w:noVBand="1" w:val="04A0"/>
      </w:tblPr>
      <w:tblGrid>
        <w:gridCol w:w="5112"/>
        <w:gridCol w:w="5112"/>
      </w:tblGrid>
      <w:tr>
        <w:tc>
          <w:tcPr>
            <w:tcW w:type="dxa" w:w="1008"/>
            <w:shd w:fill="159C9C"/>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jc w:val="center"/>
            </w:pPr>
            <w:r>
              <w:rPr>
                <w:rFonts w:ascii="Arial" w:hAnsi="Arial"/>
                <w:b/>
                <w:color w:val="FFFFFF"/>
                <w:sz w:val="36"/>
              </w:rPr>
              <w:t>4</w:t>
            </w:r>
          </w:p>
        </w:tc>
        <w:tc>
          <w:tcPr>
            <w:tcW w:type="dxa" w:w="9504"/>
            <w:shd w:fill="17365D"/>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pPr>
            <w:r>
              <w:rPr>
                <w:rFonts w:ascii="Arial" w:hAnsi="Arial"/>
                <w:b/>
                <w:color w:val="FFFFFF"/>
                <w:sz w:val="27"/>
              </w:rPr>
              <w:t>Crisis, Trauma, Abuse, Violence, and Level-of-Care Decisions</w:t>
            </w:r>
          </w:p>
        </w:tc>
      </w:tr>
    </w:tbl>
    <w:p>
      <w:pPr>
        <w:spacing w:after="0"/>
        <w:keepLines/>
      </w:pPr>
    </w:p>
    <w:p>
      <w:pPr>
        <w:spacing w:before="20" w:after="100" w:line="259" w:lineRule="auto"/>
        <w:keepLines/>
      </w:pPr>
      <w:r>
        <w:rPr>
          <w:rFonts w:ascii="Arial" w:hAnsi="Arial"/>
          <w:i/>
          <w:color w:val="4E5B6B"/>
        </w:rPr>
        <w:t>Develop safe, direct, proportionate responses to urgent and high-risk facts.</w:t>
      </w:r>
    </w:p>
    <w:tbl>
      <w:tblPr>
        <w:tblW w:type="auto" w:w="0"/>
        <w:jc w:val="center"/>
        <w:tblLayout w:type="fixed"/>
        <w:tblLook w:firstColumn="1" w:firstRow="1" w:lastColumn="0" w:lastRow="0" w:noHBand="0" w:noVBand="1" w:val="04A0"/>
      </w:tblPr>
      <w:tblGrid>
        <w:gridCol w:w="5112"/>
        <w:gridCol w:w="5112"/>
      </w:tblGrid>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Core coverage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Suicide, homicide, self-injury, grave disability, interpersonal violence, child abuse, elder/dependent adult abuse, trafficking and exploitation indicators, trauma screening, acute psychosis or mania, intoxication/withdrawal, medical urgency, de-escalation, crisis stabilization, safety planning, emergency resources, involuntary evaluation concepts, documentation, consultation, protective factors, and outpatient/inpatient/residential level-of-care decisions.</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Current blueprint alignment</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Primary: Intake, Assessment, and Diagnosis; Counseling Skills and Interventions. Secondary: Professional Practice and Ethics; Treatment Planning.</w:t>
            </w:r>
          </w:p>
        </w:tc>
      </w:tr>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2027 bridge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Primary: Intake &amp; Assessment; Provision of Counseling Interventions; Legal &amp; Ethical Compliance. Secondary: Treatment Planning &amp; Continuity of Care.</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Companion asset emphasis</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Risk and level-of-care quick reference; direct-question scripts; safety-plan worksheet; mandated-duty decision map; crisis case lab; Audio Track 4.</w:t>
            </w:r>
          </w:p>
        </w:tc>
      </w:tr>
    </w:tbl>
    <w:p>
      <w:pPr>
        <w:spacing w:after="40"/>
        <w:keepLines/>
      </w:pPr>
    </w:p>
    <w:p>
      <w:pPr>
        <w:keepLines/>
      </w:pPr>
      <w:r>
        <w:rPr>
          <w:rFonts w:ascii="Arial" w:hAnsi="Arial"/>
        </w:rPr>
        <w:br w:type="page"/>
      </w:r>
    </w:p>
    <w:tbl>
      <w:tblPr>
        <w:tblW w:type="auto" w:w="0"/>
        <w:jc w:val="center"/>
        <w:tblLayout w:type="fixed"/>
        <w:tblLook w:firstColumn="1" w:firstRow="1" w:lastColumn="0" w:lastRow="0" w:noHBand="0" w:noVBand="1" w:val="04A0"/>
      </w:tblPr>
      <w:tblGrid>
        <w:gridCol w:w="5112"/>
        <w:gridCol w:w="5112"/>
      </w:tblGrid>
      <w:tr>
        <w:tc>
          <w:tcPr>
            <w:tcW w:type="dxa" w:w="1008"/>
            <w:shd w:fill="159C9C"/>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jc w:val="center"/>
            </w:pPr>
            <w:r>
              <w:rPr>
                <w:rFonts w:ascii="Arial" w:hAnsi="Arial"/>
                <w:b/>
                <w:color w:val="FFFFFF"/>
                <w:sz w:val="36"/>
              </w:rPr>
              <w:t>5</w:t>
            </w:r>
          </w:p>
        </w:tc>
        <w:tc>
          <w:tcPr>
            <w:tcW w:type="dxa" w:w="9504"/>
            <w:shd w:fill="17365D"/>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pPr>
            <w:r>
              <w:rPr>
                <w:rFonts w:ascii="Arial" w:hAnsi="Arial"/>
                <w:b/>
                <w:color w:val="FFFFFF"/>
                <w:sz w:val="27"/>
              </w:rPr>
              <w:t>Diagnosis and Differential Diagnosis I: Mood, Anxiety, Trauma, OCD, and Psychotic Disorders</w:t>
            </w:r>
          </w:p>
        </w:tc>
      </w:tr>
    </w:tbl>
    <w:p>
      <w:pPr>
        <w:spacing w:after="0"/>
        <w:keepLines/>
      </w:pPr>
    </w:p>
    <w:p>
      <w:pPr>
        <w:spacing w:before="20" w:after="100" w:line="259" w:lineRule="auto"/>
        <w:keepLines/>
      </w:pPr>
      <w:r>
        <w:rPr>
          <w:rFonts w:ascii="Arial" w:hAnsi="Arial"/>
          <w:i/>
          <w:color w:val="4E5B6B"/>
        </w:rPr>
        <w:t>Build high-frequency diagnostic discrimination without premature closure.</w:t>
      </w:r>
    </w:p>
    <w:tbl>
      <w:tblPr>
        <w:tblW w:type="auto" w:w="0"/>
        <w:jc w:val="center"/>
        <w:tblLayout w:type="fixed"/>
        <w:tblLook w:firstColumn="1" w:firstRow="1" w:lastColumn="0" w:lastRow="0" w:noHBand="0" w:noVBand="1" w:val="04A0"/>
      </w:tblPr>
      <w:tblGrid>
        <w:gridCol w:w="5112"/>
        <w:gridCol w:w="5112"/>
      </w:tblGrid>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Core coverage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DSM-5-TR and ICD coding orientation; symptom clusters; duration, severity, impairment, exclusions, specifiers, course, and functional impact; depressive, bipolar, anxiety, obsessive-compulsive, trauma/stressor-related, and schizophrenia-spectrum/psychotic disorders; grief and adjustment; medication/medical differentials; MSE implications; risk; culture-bound meaning; provisional and rule-out reasoning.</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Current blueprint alignment</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Primary: Intake, Assessment, and Diagnosis. Areas of Clinical Focus embedded. Secondary: Treatment Planning.</w:t>
            </w:r>
          </w:p>
        </w:tc>
      </w:tr>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2027 bridge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Primary: Intake &amp; Assessment. Diagnostic tools and common presenting concerns remain explicit supporting knowledge even though “diagnosis” is no longer a domain title.</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Companion asset emphasis</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Differential Diagnosis I quick reference; symptom-duration matrix; rule-out worksheet; diagnostic case progression; Audio Track 3 diagnostic segment.</w:t>
            </w:r>
          </w:p>
        </w:tc>
      </w:tr>
    </w:tbl>
    <w:p>
      <w:pPr>
        <w:spacing w:after="40"/>
        <w:keepLines/>
      </w:pPr>
    </w:p>
    <w:tbl>
      <w:tblPr>
        <w:tblW w:type="auto" w:w="0"/>
        <w:jc w:val="center"/>
        <w:tblLayout w:type="fixed"/>
        <w:tblLook w:firstColumn="1" w:firstRow="1" w:lastColumn="0" w:lastRow="0" w:noHBand="0" w:noVBand="1" w:val="04A0"/>
      </w:tblPr>
      <w:tblGrid>
        <w:gridCol w:w="5112"/>
        <w:gridCol w:w="5112"/>
      </w:tblGrid>
      <w:tr>
        <w:tc>
          <w:tcPr>
            <w:tcW w:type="dxa" w:w="1008"/>
            <w:shd w:fill="159C9C"/>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jc w:val="center"/>
            </w:pPr>
            <w:r>
              <w:rPr>
                <w:rFonts w:ascii="Arial" w:hAnsi="Arial"/>
                <w:b/>
                <w:color w:val="FFFFFF"/>
                <w:sz w:val="36"/>
              </w:rPr>
              <w:t>6</w:t>
            </w:r>
          </w:p>
        </w:tc>
        <w:tc>
          <w:tcPr>
            <w:tcW w:type="dxa" w:w="9504"/>
            <w:shd w:fill="17365D"/>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pPr>
            <w:r>
              <w:rPr>
                <w:rFonts w:ascii="Arial" w:hAnsi="Arial"/>
                <w:b/>
                <w:color w:val="FFFFFF"/>
                <w:sz w:val="27"/>
              </w:rPr>
              <w:t>Diagnosis and Differential Diagnosis II: Substance Use, Personality, Neurodevelopmental, Eating, Sleep, Somatic, Medical, and Co-Occurring Conditions</w:t>
            </w:r>
          </w:p>
        </w:tc>
      </w:tr>
    </w:tbl>
    <w:p>
      <w:pPr>
        <w:spacing w:after="0"/>
        <w:keepLines/>
      </w:pPr>
    </w:p>
    <w:p>
      <w:pPr>
        <w:spacing w:before="20" w:after="100" w:line="259" w:lineRule="auto"/>
        <w:keepLines/>
      </w:pPr>
      <w:r>
        <w:rPr>
          <w:rFonts w:ascii="Arial" w:hAnsi="Arial"/>
          <w:i/>
          <w:color w:val="4E5B6B"/>
        </w:rPr>
        <w:t>Extend diagnosis across complex, co-occurring, developmental, behavioral, and medical presentations.</w:t>
      </w:r>
    </w:p>
    <w:tbl>
      <w:tblPr>
        <w:tblW w:type="auto" w:w="0"/>
        <w:jc w:val="center"/>
        <w:tblLayout w:type="fixed"/>
        <w:tblLook w:firstColumn="1" w:firstRow="1" w:lastColumn="0" w:lastRow="0" w:noHBand="0" w:noVBand="1" w:val="04A0"/>
      </w:tblPr>
      <w:tblGrid>
        <w:gridCol w:w="5112"/>
        <w:gridCol w:w="5112"/>
      </w:tblGrid>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Core coverage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Substance-related and addictive disorders; personality patterns; neurodevelopmental and neurocognitive concerns; feeding/eating, sleep-wake, somatic symptom, dissociative, sexual-functioning, and related conditions; medical/medication effects; co-occurring disorders; developmental and geriatric factors; process addictions; screening instruments; counselor assessment limits; referral for specialized psychological, neuropsychological, intelligence, medical, or substance-use evaluation.</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Current blueprint alignment</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Primary: Intake, Assessment, and Diagnosis. Areas of Clinical Focus embedded. Secondary: Professional Practice and Ethics through competence and referral.</w:t>
            </w:r>
          </w:p>
        </w:tc>
      </w:tr>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2027 bridge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Primary: Intake &amp; Assessment; Indirect Client Care; Professional Development &amp; Counselor Self-Awareness through competence limits.</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Companion asset emphasis</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Differential Diagnosis II quick reference; co-occurring-condition grid; medical/referral red flags; scope-of-assessment worksheet; complex diagnostic case.</w:t>
            </w:r>
          </w:p>
        </w:tc>
      </w:tr>
    </w:tbl>
    <w:p>
      <w:pPr>
        <w:spacing w:after="40"/>
        <w:keepLines/>
      </w:pPr>
    </w:p>
    <w:p>
      <w:pPr>
        <w:keepLines/>
      </w:pPr>
      <w:r>
        <w:rPr>
          <w:rFonts w:ascii="Arial" w:hAnsi="Arial"/>
        </w:rPr>
        <w:br w:type="page"/>
      </w:r>
    </w:p>
    <w:tbl>
      <w:tblPr>
        <w:tblW w:type="auto" w:w="0"/>
        <w:jc w:val="center"/>
        <w:tblLayout w:type="fixed"/>
        <w:tblLook w:firstColumn="1" w:firstRow="1" w:lastColumn="0" w:lastRow="0" w:noHBand="0" w:noVBand="1" w:val="04A0"/>
      </w:tblPr>
      <w:tblGrid>
        <w:gridCol w:w="5112"/>
        <w:gridCol w:w="5112"/>
      </w:tblGrid>
      <w:tr>
        <w:tc>
          <w:tcPr>
            <w:tcW w:type="dxa" w:w="1008"/>
            <w:shd w:fill="159C9C"/>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jc w:val="center"/>
            </w:pPr>
            <w:r>
              <w:rPr>
                <w:rFonts w:ascii="Arial" w:hAnsi="Arial"/>
                <w:b/>
                <w:color w:val="FFFFFF"/>
                <w:sz w:val="36"/>
              </w:rPr>
              <w:t>7</w:t>
            </w:r>
          </w:p>
        </w:tc>
        <w:tc>
          <w:tcPr>
            <w:tcW w:type="dxa" w:w="9504"/>
            <w:shd w:fill="17365D"/>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pPr>
            <w:r>
              <w:rPr>
                <w:rFonts w:ascii="Arial" w:hAnsi="Arial"/>
                <w:b/>
                <w:color w:val="FFFFFF"/>
                <w:sz w:val="27"/>
              </w:rPr>
              <w:t>Case Conceptualization, Treatment Planning, Measurement, Progress, and Termination</w:t>
            </w:r>
          </w:p>
        </w:tc>
      </w:tr>
    </w:tbl>
    <w:p>
      <w:pPr>
        <w:spacing w:after="0"/>
        <w:keepLines/>
      </w:pPr>
    </w:p>
    <w:p>
      <w:pPr>
        <w:spacing w:before="20" w:after="100" w:line="259" w:lineRule="auto"/>
        <w:keepLines/>
      </w:pPr>
      <w:r>
        <w:rPr>
          <w:rFonts w:ascii="Arial" w:hAnsi="Arial"/>
          <w:i/>
          <w:color w:val="4E5B6B"/>
        </w:rPr>
        <w:t>Convert assessment and diagnosis into a collaborative, measurable, revisable course of care.</w:t>
      </w:r>
    </w:p>
    <w:tbl>
      <w:tblPr>
        <w:tblW w:type="auto" w:w="0"/>
        <w:jc w:val="center"/>
        <w:tblLayout w:type="fixed"/>
        <w:tblLook w:firstColumn="1" w:firstRow="1" w:lastColumn="0" w:lastRow="0" w:noHBand="0" w:noVBand="1" w:val="04A0"/>
      </w:tblPr>
      <w:tblGrid>
        <w:gridCol w:w="5112"/>
        <w:gridCol w:w="5112"/>
      </w:tblGrid>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Core coverage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Case conceptualization; problem and strength statements; client preferences; culturally responsive SMART goals; short- and long-term objectives; intervention rationale; modality and level of care; barriers and resources; outcome measures; documentation; review and revision; treatment response; nonresponse; maintenance; relapse prevention; termination; group transitions; discharge; aftercare; follow-up; continuity and referral.</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Current blueprint alignment</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Primary: Treatment Planning. Secondary: Intake/Assessment and Counseling Skills/Interventions.</w:t>
            </w:r>
          </w:p>
        </w:tc>
      </w:tr>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2027 bridge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Primary: Treatment Planning &amp; Continuity of Care. Secondary: Indirect Client Care and Provision of Counseling Interventions.</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Companion asset emphasis</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Treatment plan and progress quick reference; conceptualization worksheet; goal/objective builder; outcome dashboard; termination/aftercare checklist; Audio Track 5.</w:t>
            </w:r>
          </w:p>
        </w:tc>
      </w:tr>
    </w:tbl>
    <w:p>
      <w:pPr>
        <w:spacing w:after="40"/>
        <w:keepLines/>
      </w:pPr>
    </w:p>
    <w:tbl>
      <w:tblPr>
        <w:tblW w:type="auto" w:w="0"/>
        <w:jc w:val="center"/>
        <w:tblLayout w:type="fixed"/>
        <w:tblLook w:firstColumn="1" w:firstRow="1" w:lastColumn="0" w:lastRow="0" w:noHBand="0" w:noVBand="1" w:val="04A0"/>
      </w:tblPr>
      <w:tblGrid>
        <w:gridCol w:w="5112"/>
        <w:gridCol w:w="5112"/>
      </w:tblGrid>
      <w:tr>
        <w:tc>
          <w:tcPr>
            <w:tcW w:type="dxa" w:w="1008"/>
            <w:shd w:fill="159C9C"/>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jc w:val="center"/>
            </w:pPr>
            <w:r>
              <w:rPr>
                <w:rFonts w:ascii="Arial" w:hAnsi="Arial"/>
                <w:b/>
                <w:color w:val="FFFFFF"/>
                <w:sz w:val="36"/>
              </w:rPr>
              <w:t>8</w:t>
            </w:r>
          </w:p>
        </w:tc>
        <w:tc>
          <w:tcPr>
            <w:tcW w:type="dxa" w:w="9504"/>
            <w:shd w:fill="17365D"/>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pPr>
            <w:r>
              <w:rPr>
                <w:rFonts w:ascii="Arial" w:hAnsi="Arial"/>
                <w:b/>
                <w:color w:val="FFFFFF"/>
                <w:sz w:val="27"/>
              </w:rPr>
              <w:t>Counseling Theories, Therapeutic Alliance, and Core Counseling Skills</w:t>
            </w:r>
          </w:p>
        </w:tc>
      </w:tr>
    </w:tbl>
    <w:p>
      <w:pPr>
        <w:spacing w:after="0"/>
        <w:keepLines/>
      </w:pPr>
    </w:p>
    <w:p>
      <w:pPr>
        <w:spacing w:before="20" w:after="100" w:line="259" w:lineRule="auto"/>
        <w:keepLines/>
      </w:pPr>
      <w:r>
        <w:rPr>
          <w:rFonts w:ascii="Arial" w:hAnsi="Arial"/>
          <w:i/>
          <w:color w:val="4E5B6B"/>
        </w:rPr>
        <w:t>Teach the counselor to connect theoretical formulation, relationship conditions, and moment-to-moment clinical skill.</w:t>
      </w:r>
    </w:p>
    <w:tbl>
      <w:tblPr>
        <w:tblW w:type="auto" w:w="0"/>
        <w:jc w:val="center"/>
        <w:tblLayout w:type="fixed"/>
        <w:tblLook w:firstColumn="1" w:firstRow="1" w:lastColumn="0" w:lastRow="0" w:noHBand="0" w:noVBand="1" w:val="04A0"/>
      </w:tblPr>
      <w:tblGrid>
        <w:gridCol w:w="5112"/>
        <w:gridCol w:w="5112"/>
      </w:tblGrid>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Core coverage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Person-centered/humanistic, psychodynamic, Adlerian, existential, Gestalt, behavioral, CBT/REBT, reality/choice, solution-focused, narrative, multicultural orientation, and systems-informed perspectives; alliance; empathy; attunement; attending; reflection; summarizing; immediacy; reframing; confrontation; self-disclosure; silence; transference and defenses; feedback; conflict tolerance; rupture recognition and repair; theory-consistent case formulation.</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Current blueprint alignment</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Primary: Counseling Skills and Interventions; Core Counseling Attributes. Secondary: Professional Practice and Ethics.</w:t>
            </w:r>
          </w:p>
        </w:tc>
      </w:tr>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2027 bridge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Primary: Provision of Counseling Interventions. Secondary: Professional Development &amp; Counselor Self-Awareness.</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Companion asset emphasis</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Theory-to-formulation quick reference; core-skills decision map; alliance/rupture worksheet; theory comparison cards; Audio Track 6.</w:t>
            </w:r>
          </w:p>
        </w:tc>
      </w:tr>
    </w:tbl>
    <w:p>
      <w:pPr>
        <w:spacing w:after="40"/>
        <w:keepLines/>
      </w:pPr>
    </w:p>
    <w:p>
      <w:pPr>
        <w:keepLines/>
      </w:pPr>
      <w:r>
        <w:rPr>
          <w:rFonts w:ascii="Arial" w:hAnsi="Arial"/>
        </w:rPr>
        <w:br w:type="page"/>
      </w:r>
    </w:p>
    <w:tbl>
      <w:tblPr>
        <w:tblW w:type="auto" w:w="0"/>
        <w:jc w:val="center"/>
        <w:tblLayout w:type="fixed"/>
        <w:tblLook w:firstColumn="1" w:firstRow="1" w:lastColumn="0" w:lastRow="0" w:noHBand="0" w:noVBand="1" w:val="04A0"/>
      </w:tblPr>
      <w:tblGrid>
        <w:gridCol w:w="5112"/>
        <w:gridCol w:w="5112"/>
      </w:tblGrid>
      <w:tr>
        <w:tc>
          <w:tcPr>
            <w:tcW w:type="dxa" w:w="1008"/>
            <w:shd w:fill="159C9C"/>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jc w:val="center"/>
            </w:pPr>
            <w:r>
              <w:rPr>
                <w:rFonts w:ascii="Arial" w:hAnsi="Arial"/>
                <w:b/>
                <w:color w:val="FFFFFF"/>
                <w:sz w:val="36"/>
              </w:rPr>
              <w:t>9</w:t>
            </w:r>
          </w:p>
        </w:tc>
        <w:tc>
          <w:tcPr>
            <w:tcW w:type="dxa" w:w="9504"/>
            <w:shd w:fill="17365D"/>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pPr>
            <w:r>
              <w:rPr>
                <w:rFonts w:ascii="Arial" w:hAnsi="Arial"/>
                <w:b/>
                <w:color w:val="FFFFFF"/>
                <w:sz w:val="27"/>
              </w:rPr>
              <w:t>Evidence-Based and Evidence-Informed Interventions Across Common Presenting Concerns</w:t>
            </w:r>
          </w:p>
        </w:tc>
      </w:tr>
    </w:tbl>
    <w:p>
      <w:pPr>
        <w:spacing w:after="0"/>
        <w:keepLines/>
      </w:pPr>
    </w:p>
    <w:p>
      <w:pPr>
        <w:spacing w:before="20" w:after="100" w:line="259" w:lineRule="auto"/>
        <w:keepLines/>
      </w:pPr>
      <w:r>
        <w:rPr>
          <w:rFonts w:ascii="Arial" w:hAnsi="Arial"/>
          <w:i/>
          <w:color w:val="4E5B6B"/>
        </w:rPr>
        <w:t>Train intervention selection by mechanism, evidence, client fit, readiness, culture, and risk—not by therapist preference.</w:t>
      </w:r>
    </w:p>
    <w:tbl>
      <w:tblPr>
        <w:tblW w:type="auto" w:w="0"/>
        <w:jc w:val="center"/>
        <w:tblLayout w:type="fixed"/>
        <w:tblLook w:firstColumn="1" w:firstRow="1" w:lastColumn="0" w:lastRow="0" w:noHBand="0" w:noVBand="1" w:val="04A0"/>
      </w:tblPr>
      <w:tblGrid>
        <w:gridCol w:w="5112"/>
        <w:gridCol w:w="5112"/>
      </w:tblGrid>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Core coverage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CBT, behavioral activation, exposure/ERP, DBT skills, ACT, motivational interviewing, mindfulness-based approaches, CPT, TF-CBT, trauma stabilization, emotion regulation, sleep interventions, grief support, substance-use interventions, relapse prevention, stress management, psychoeducation, support-system development, homework, measurement-based adjustment, contraindications, sequencing, adaptation, and referral when specialized competence is required.</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Current blueprint alignment</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Primary: Counseling Skills and Interventions. Areas of Clinical Focus embedded. Secondary: Treatment Planning and Intake/Assessment.</w:t>
            </w:r>
          </w:p>
        </w:tc>
      </w:tr>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2027 bridge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Primary: Provision of Counseling Interventions. Secondary: Treatment Planning &amp; Continuity of Care and Professional Development through evidence-supported practice.</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Companion asset emphasis</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Intervention-fit quick reference; mechanism/readiness grid; contraindication and sequencing worksheet; EBP case lab; Audio Track 6.</w:t>
            </w:r>
          </w:p>
        </w:tc>
      </w:tr>
    </w:tbl>
    <w:p>
      <w:pPr>
        <w:spacing w:after="40"/>
        <w:keepLines/>
      </w:pPr>
    </w:p>
    <w:tbl>
      <w:tblPr>
        <w:tblW w:type="auto" w:w="0"/>
        <w:jc w:val="center"/>
        <w:tblLayout w:type="fixed"/>
        <w:tblLook w:firstColumn="1" w:firstRow="1" w:lastColumn="0" w:lastRow="0" w:noHBand="0" w:noVBand="1" w:val="04A0"/>
      </w:tblPr>
      <w:tblGrid>
        <w:gridCol w:w="5112"/>
        <w:gridCol w:w="5112"/>
      </w:tblGrid>
      <w:tr>
        <w:tc>
          <w:tcPr>
            <w:tcW w:type="dxa" w:w="1008"/>
            <w:shd w:fill="159C9C"/>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jc w:val="center"/>
            </w:pPr>
            <w:r>
              <w:rPr>
                <w:rFonts w:ascii="Arial" w:hAnsi="Arial"/>
                <w:b/>
                <w:color w:val="FFFFFF"/>
                <w:sz w:val="36"/>
              </w:rPr>
              <w:t>10</w:t>
            </w:r>
          </w:p>
        </w:tc>
        <w:tc>
          <w:tcPr>
            <w:tcW w:type="dxa" w:w="9504"/>
            <w:shd w:fill="17365D"/>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pPr>
            <w:r>
              <w:rPr>
                <w:rFonts w:ascii="Arial" w:hAnsi="Arial"/>
                <w:b/>
                <w:color w:val="FFFFFF"/>
                <w:sz w:val="27"/>
              </w:rPr>
              <w:t>Multicultural, Developmental, Career, Spiritual, Disability, and Context-Responsive Counseling</w:t>
            </w:r>
          </w:p>
        </w:tc>
      </w:tr>
    </w:tbl>
    <w:p>
      <w:pPr>
        <w:spacing w:after="0"/>
        <w:keepLines/>
      </w:pPr>
    </w:p>
    <w:p>
      <w:pPr>
        <w:spacing w:before="20" w:after="100" w:line="259" w:lineRule="auto"/>
        <w:keepLines/>
      </w:pPr>
      <w:r>
        <w:rPr>
          <w:rFonts w:ascii="Arial" w:hAnsi="Arial"/>
          <w:i/>
          <w:color w:val="4E5B6B"/>
        </w:rPr>
        <w:t>Make culture, identity, development, access, power, and context part of every clinical decision rather than an afterthought.</w:t>
      </w:r>
    </w:p>
    <w:tbl>
      <w:tblPr>
        <w:tblW w:type="auto" w:w="0"/>
        <w:jc w:val="center"/>
        <w:tblLayout w:type="fixed"/>
        <w:tblLook w:firstColumn="1" w:firstRow="1" w:lastColumn="0" w:lastRow="0" w:noHBand="0" w:noVBand="1" w:val="04A0"/>
      </w:tblPr>
      <w:tblGrid>
        <w:gridCol w:w="5112"/>
        <w:gridCol w:w="5112"/>
      </w:tblGrid>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Core coverage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Cultural humility and broaching; racism, discrimination, oppression, and social determinants; gender and sexual identity; disability and accommodations; language and interpretation; immigration and acculturation; socioeconomic barriers; religion and spirituality; family/community context; lifespan development; children, adolescents, adults, and older adults; career and lifestyle development; grief, caregiving, retirement, chronic illness, and life transitions; culturally responsive assessment and intervention adaptation.</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Current blueprint alignment</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Primary: Intake/Assessment, Counseling Skills/Interventions, and Core Counseling Attributes. Areas of Clinical Focus embedded.</w:t>
            </w:r>
          </w:p>
        </w:tc>
      </w:tr>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2027 bridge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Cross-domain: Counselor Self-Awareness, Intake &amp; Assessment, Provision of Interventions, Indirect Client Care, and Legal/Ethical Compliance.</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Companion asset emphasis</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Culture-development-context quick reference; adaptation worksheet; identity/context formulation; access-barrier plan; career/life-role case; Audio Track 7.</w:t>
            </w:r>
          </w:p>
        </w:tc>
      </w:tr>
    </w:tbl>
    <w:p>
      <w:pPr>
        <w:spacing w:after="40"/>
        <w:keepLines/>
      </w:pPr>
    </w:p>
    <w:p>
      <w:pPr>
        <w:keepLines/>
      </w:pPr>
      <w:r>
        <w:rPr>
          <w:rFonts w:ascii="Arial" w:hAnsi="Arial"/>
        </w:rPr>
        <w:br w:type="page"/>
      </w:r>
    </w:p>
    <w:tbl>
      <w:tblPr>
        <w:tblW w:type="auto" w:w="0"/>
        <w:jc w:val="center"/>
        <w:tblLayout w:type="fixed"/>
        <w:tblLook w:firstColumn="1" w:firstRow="1" w:lastColumn="0" w:lastRow="0" w:noHBand="0" w:noVBand="1" w:val="04A0"/>
      </w:tblPr>
      <w:tblGrid>
        <w:gridCol w:w="5112"/>
        <w:gridCol w:w="5112"/>
      </w:tblGrid>
      <w:tr>
        <w:tc>
          <w:tcPr>
            <w:tcW w:type="dxa" w:w="1008"/>
            <w:shd w:fill="159C9C"/>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jc w:val="center"/>
            </w:pPr>
            <w:r>
              <w:rPr>
                <w:rFonts w:ascii="Arial" w:hAnsi="Arial"/>
                <w:b/>
                <w:color w:val="FFFFFF"/>
                <w:sz w:val="36"/>
              </w:rPr>
              <w:t>11</w:t>
            </w:r>
          </w:p>
        </w:tc>
        <w:tc>
          <w:tcPr>
            <w:tcW w:type="dxa" w:w="9504"/>
            <w:shd w:fill="17365D"/>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pPr>
            <w:r>
              <w:rPr>
                <w:rFonts w:ascii="Arial" w:hAnsi="Arial"/>
                <w:b/>
                <w:color w:val="FFFFFF"/>
                <w:sz w:val="27"/>
              </w:rPr>
              <w:t>Individual, Group, Couple/Family, Referral, Continuity, and Interdisciplinary Collaboration</w:t>
            </w:r>
          </w:p>
        </w:tc>
      </w:tr>
    </w:tbl>
    <w:p>
      <w:pPr>
        <w:spacing w:after="0"/>
        <w:keepLines/>
      </w:pPr>
    </w:p>
    <w:p>
      <w:pPr>
        <w:spacing w:before="20" w:after="100" w:line="259" w:lineRule="auto"/>
        <w:keepLines/>
      </w:pPr>
      <w:r>
        <w:rPr>
          <w:rFonts w:ascii="Arial" w:hAnsi="Arial"/>
          <w:i/>
          <w:color w:val="4E5B6B"/>
        </w:rPr>
        <w:t>Prepare counselors to choose and coordinate the right modality, provider, and support system while maintaining role clarity and confidentiality.</w:t>
      </w:r>
    </w:p>
    <w:tbl>
      <w:tblPr>
        <w:tblW w:type="auto" w:w="0"/>
        <w:jc w:val="center"/>
        <w:tblLayout w:type="fixed"/>
        <w:tblLook w:firstColumn="1" w:firstRow="1" w:lastColumn="0" w:lastRow="0" w:noHBand="0" w:noVBand="1" w:val="04A0"/>
      </w:tblPr>
      <w:tblGrid>
        <w:gridCol w:w="5112"/>
        <w:gridCol w:w="5112"/>
      </w:tblGrid>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Core coverage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Individual, group, couple, and family modality selection; group screening, stages, norms, therapeutic factors, linking, blocking, feedback, conflict, harmful behavior, and termination; couple/family interactional and systemic concepts within competence; collateral contacts; warm handoffs; medical and psychiatric coordination; schools, community agencies, substance-use services, higher levels of care, and social supports; consultation; documentation and report writing; medication self-report; discharge and continuity.</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Current blueprint alignment</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Primary: Counseling Skills and Interventions; Treatment Planning; Professional Practice and Ethics. Secondary: Intake/Assessment.</w:t>
            </w:r>
          </w:p>
        </w:tc>
      </w:tr>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2027 bridge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Primary: Indirect Client Care; Treatment Planning &amp; Continuity of Care; Provision of Counseling Interventions.</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Companion asset emphasis</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Modality/referral/collaboration quick reference; group-stage map; warm-handoff worksheet; minimum-necessary-information planner; interdisciplinary case; Audio Track 7.</w:t>
            </w:r>
          </w:p>
        </w:tc>
      </w:tr>
    </w:tbl>
    <w:p>
      <w:pPr>
        <w:spacing w:after="40"/>
        <w:keepLines/>
      </w:pPr>
    </w:p>
    <w:tbl>
      <w:tblPr>
        <w:tblW w:type="auto" w:w="0"/>
        <w:jc w:val="center"/>
        <w:tblLayout w:type="fixed"/>
        <w:tblLook w:firstColumn="1" w:firstRow="1" w:lastColumn="0" w:lastRow="0" w:noHBand="0" w:noVBand="1" w:val="04A0"/>
      </w:tblPr>
      <w:tblGrid>
        <w:gridCol w:w="5112"/>
        <w:gridCol w:w="5112"/>
      </w:tblGrid>
      <w:tr>
        <w:tc>
          <w:tcPr>
            <w:tcW w:type="dxa" w:w="1008"/>
            <w:shd w:fill="159C9C"/>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jc w:val="center"/>
            </w:pPr>
            <w:r>
              <w:rPr>
                <w:rFonts w:ascii="Arial" w:hAnsi="Arial"/>
                <w:b/>
                <w:color w:val="FFFFFF"/>
                <w:sz w:val="36"/>
              </w:rPr>
              <w:t>12</w:t>
            </w:r>
          </w:p>
        </w:tc>
        <w:tc>
          <w:tcPr>
            <w:tcW w:type="dxa" w:w="9504"/>
            <w:shd w:fill="17365D"/>
            <w:tcMar>
              <w:top w:w="110" w:type="dxa"/>
              <w:start w:w="120" w:type="dxa"/>
              <w:bottom w:w="110" w:type="dxa"/>
              <w:end w:w="120" w:type="dxa"/>
            </w:tcMar>
            <w:tcBorders>
              <w:top w:val="single" w:sz="0" w:color="FFFFFF"/>
              <w:left w:val="single" w:sz="0" w:color="FFFFFF"/>
              <w:bottom w:val="single" w:sz="0" w:color="FFFFFF"/>
              <w:right w:val="single" w:sz="0" w:color="FFFFFF"/>
            </w:tcBorders>
          </w:tcPr>
          <w:p>
            <w:pPr>
              <w:spacing w:after="0"/>
            </w:pPr>
            <w:r>
              <w:rPr>
                <w:rFonts w:ascii="Arial" w:hAnsi="Arial"/>
                <w:b/>
                <w:color w:val="FFFFFF"/>
                <w:sz w:val="27"/>
              </w:rPr>
              <w:t>California Legal, Ethical, Documentation, Technology, and Professional Practice</w:t>
            </w:r>
          </w:p>
        </w:tc>
      </w:tr>
    </w:tbl>
    <w:p>
      <w:pPr>
        <w:spacing w:after="0"/>
        <w:keepLines/>
      </w:pPr>
    </w:p>
    <w:p>
      <w:pPr>
        <w:spacing w:before="20" w:after="100" w:line="259" w:lineRule="auto"/>
        <w:keepLines/>
      </w:pPr>
      <w:r>
        <w:rPr>
          <w:rFonts w:ascii="Arial" w:hAnsi="Arial"/>
          <w:i/>
          <w:color w:val="4E5B6B"/>
        </w:rPr>
        <w:t>Apply California and professional-practice duties to clinical decisions without confusing the NCMHCE with the separate California Law and Ethics examination.</w:t>
      </w:r>
    </w:p>
    <w:tbl>
      <w:tblPr>
        <w:tblW w:type="auto" w:w="0"/>
        <w:jc w:val="center"/>
        <w:tblLayout w:type="fixed"/>
        <w:tblLook w:firstColumn="1" w:firstRow="1" w:lastColumn="0" w:lastRow="0" w:noHBand="0" w:noVBand="1" w:val="04A0"/>
      </w:tblPr>
      <w:tblGrid>
        <w:gridCol w:w="5112"/>
        <w:gridCol w:w="5112"/>
      </w:tblGrid>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Core coverage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Sources of authority; informed consent; confidentiality and privilege; records and access; third-party requests; subpoenas and court involvement; mandated reporting; telehealth location and jurisdiction; electronic communication; social media; AI and automated documentation; privacy/security; fees, billing, and insurance; competence; supervision; boundaries and multiple relationships; impairment; abandonment and continuity; accommodations; documentation integrity; consultation; advocacy; emergency procedures; professional liability and risk management.</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Current blueprint alignment</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Primary: Professional Practice and Ethics. Secondary: Counseling Skills/Interventions, Treatment Planning, and Intake/Assessment.</w:t>
            </w:r>
          </w:p>
        </w:tc>
      </w:tr>
      <w:tr>
        <w:trPr>
          <w:cantSplit/>
        </w:trPr>
        <w:tc>
          <w:tcPr>
            <w:tcW w:type="dxa" w:w="2232"/>
            <w:shd w:fill="EAF0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2027 bridge</w:t>
            </w:r>
          </w:p>
        </w:tc>
        <w:tc>
          <w:tcPr>
            <w:tcW w:type="dxa" w:w="8280"/>
            <w:shd w:fill="FFFFFF"/>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Primary: Legal &amp; Ethical Compliance; Indirect Client Care. Secondary: Professional Development &amp; Counselor Self-Awareness and continuity tasks.</w:t>
            </w:r>
          </w:p>
        </w:tc>
      </w:tr>
      <w:tr>
        <w:trPr>
          <w:cantSplit/>
        </w:trPr>
        <w:tc>
          <w:tcPr>
            <w:tcW w:type="dxa" w:w="2232"/>
            <w:shd w:fill="E7F2F3"/>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pPr>
            <w:r>
              <w:rPr>
                <w:rFonts w:ascii="Arial" w:hAnsi="Arial"/>
                <w:b/>
                <w:color w:val="17365D"/>
                <w:sz w:val="18"/>
              </w:rPr>
              <w:t>Companion asset emphasis</w:t>
            </w:r>
          </w:p>
        </w:tc>
        <w:tc>
          <w:tcPr>
            <w:tcW w:type="dxa" w:w="8280"/>
            <w:shd w:fill="F2F4F7"/>
            <w:tcMar>
              <w:top w:w="90" w:type="dxa"/>
              <w:start w:w="100" w:type="dxa"/>
              <w:bottom w:w="90" w:type="dxa"/>
              <w:end w:w="100" w:type="dxa"/>
            </w:tcMar>
            <w:tcBorders>
              <w:top w:val="single" w:sz="4" w:color="AAB2BD"/>
              <w:left w:val="single" w:sz="4" w:color="AAB2BD"/>
              <w:bottom w:val="single" w:sz="4" w:color="AAB2BD"/>
              <w:right w:val="single" w:sz="4" w:color="AAB2BD"/>
            </w:tcBorders>
          </w:tcPr>
          <w:p>
            <w:pPr>
              <w:spacing w:after="0" w:line="240" w:lineRule="auto"/>
            </w:pPr>
            <w:r>
              <w:rPr>
                <w:rFonts w:ascii="Arial" w:hAnsi="Arial"/>
                <w:color w:val="1F2937"/>
                <w:sz w:val="18"/>
              </w:rPr>
              <w:t>California duties and documentation quick reference; authority hierarchy; disclosure/record worksheet; telehealth/technology checklist; integrated professional-practice case; Audio Track 7.</w:t>
            </w:r>
          </w:p>
        </w:tc>
      </w:tr>
    </w:tbl>
    <w:p>
      <w:pPr>
        <w:spacing w:after="40"/>
        <w:keepLines/>
      </w:pPr>
    </w:p>
    <w:p>
      <w:pPr>
        <w:pStyle w:val="Heading1"/>
        <w:keepLines/>
      </w:pPr>
      <w:r>
        <w:rPr>
          <w:rFonts w:ascii="Arial" w:hAnsi="Arial"/>
        </w:rPr>
        <w:t>7. Blueprint Coverage and Profession-Specific Differentiation</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456"/>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Current Domain</w:t>
            </w:r>
          </w:p>
        </w:tc>
        <w:tc>
          <w:tcPr>
            <w:tcW w:type="dxa" w:w="3024"/>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Primary Workbooks</w:t>
            </w:r>
          </w:p>
        </w:tc>
        <w:tc>
          <w:tcPr>
            <w:tcW w:type="dxa" w:w="4032"/>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Secondary / Integrated Coverage</w:t>
            </w:r>
          </w:p>
        </w:tc>
      </w:tr>
      <w:tr>
        <w:trPr>
          <w:cantSplit/>
        </w:trPr>
        <w:tc>
          <w:tcPr>
            <w:tcW w:type="dxa" w:w="345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Professional Practice and Ethics — 15%</w:t>
            </w:r>
          </w:p>
        </w:tc>
        <w:tc>
          <w:tcPr>
            <w:tcW w:type="dxa" w:w="302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WB2, WB12</w:t>
            </w:r>
          </w:p>
        </w:tc>
        <w:tc>
          <w:tcPr>
            <w:tcW w:type="dxa" w:w="403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WB1, WB3, WB4, WB6, WB8, WB11</w:t>
            </w:r>
          </w:p>
        </w:tc>
      </w:tr>
      <w:tr>
        <w:trPr>
          <w:cantSplit/>
        </w:trPr>
        <w:tc>
          <w:tcPr>
            <w:tcW w:type="dxa" w:w="3456"/>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Intake, Assessment, and Diagnosis — 25%</w:t>
            </w:r>
          </w:p>
        </w:tc>
        <w:tc>
          <w:tcPr>
            <w:tcW w:type="dxa" w:w="302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WB3, WB4, WB5, WB6</w:t>
            </w:r>
          </w:p>
        </w:tc>
        <w:tc>
          <w:tcPr>
            <w:tcW w:type="dxa" w:w="403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WB1, WB7, WB10, WB11</w:t>
            </w:r>
          </w:p>
        </w:tc>
      </w:tr>
      <w:tr>
        <w:trPr>
          <w:cantSplit/>
        </w:trPr>
        <w:tc>
          <w:tcPr>
            <w:tcW w:type="dxa" w:w="345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Areas of Clinical Focus — embedded</w:t>
            </w:r>
          </w:p>
        </w:tc>
        <w:tc>
          <w:tcPr>
            <w:tcW w:type="dxa" w:w="302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WB4, WB5, WB6, WB9, WB10</w:t>
            </w:r>
          </w:p>
        </w:tc>
        <w:tc>
          <w:tcPr>
            <w:tcW w:type="dxa" w:w="403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All case banks and both simulations</w:t>
            </w:r>
          </w:p>
        </w:tc>
      </w:tr>
      <w:tr>
        <w:trPr>
          <w:cantSplit/>
        </w:trPr>
        <w:tc>
          <w:tcPr>
            <w:tcW w:type="dxa" w:w="3456"/>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Treatment Planning — 15%</w:t>
            </w:r>
          </w:p>
        </w:tc>
        <w:tc>
          <w:tcPr>
            <w:tcW w:type="dxa" w:w="302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WB7</w:t>
            </w:r>
          </w:p>
        </w:tc>
        <w:tc>
          <w:tcPr>
            <w:tcW w:type="dxa" w:w="403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WB4, WB5, WB6, WB9, WB11, WB12</w:t>
            </w:r>
          </w:p>
        </w:tc>
      </w:tr>
      <w:tr>
        <w:trPr>
          <w:cantSplit/>
        </w:trPr>
        <w:tc>
          <w:tcPr>
            <w:tcW w:type="dxa" w:w="345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Counseling Skills and Interventions — 30%</w:t>
            </w:r>
          </w:p>
        </w:tc>
        <w:tc>
          <w:tcPr>
            <w:tcW w:type="dxa" w:w="302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WB8, WB9, WB11</w:t>
            </w:r>
          </w:p>
        </w:tc>
        <w:tc>
          <w:tcPr>
            <w:tcW w:type="dxa" w:w="403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WB3, WB4, WB7, WB10, WB12</w:t>
            </w:r>
          </w:p>
        </w:tc>
      </w:tr>
      <w:tr>
        <w:trPr>
          <w:cantSplit/>
        </w:trPr>
        <w:tc>
          <w:tcPr>
            <w:tcW w:type="dxa" w:w="3456"/>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Core Counseling Attributes — 15%</w:t>
            </w:r>
          </w:p>
        </w:tc>
        <w:tc>
          <w:tcPr>
            <w:tcW w:type="dxa" w:w="302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WB2, WB8, WB10</w:t>
            </w:r>
          </w:p>
        </w:tc>
        <w:tc>
          <w:tcPr>
            <w:tcW w:type="dxa" w:w="403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WB1, WB3, WB4, WB9, WB11, WB12</w:t>
            </w:r>
          </w:p>
        </w:tc>
      </w:tr>
    </w:tbl>
    <w:p>
      <w:pPr>
        <w:spacing w:after="0"/>
        <w:keepLines/>
      </w:pPr>
    </w:p>
    <w:p>
      <w:pPr>
        <w:pStyle w:val="Heading2"/>
        <w:keepLines/>
      </w:pPr>
      <w:r>
        <w:rPr>
          <w:rFonts w:ascii="Arial" w:hAnsi="Arial"/>
        </w:rPr>
        <w:t>2027 conversion map</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744"/>
            <w:shd w:fill="159C9C"/>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2027 Domain</w:t>
            </w:r>
          </w:p>
        </w:tc>
        <w:tc>
          <w:tcPr>
            <w:tcW w:type="dxa" w:w="2880"/>
            <w:shd w:fill="159C9C"/>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Primary Workbooks</w:t>
            </w:r>
          </w:p>
        </w:tc>
        <w:tc>
          <w:tcPr>
            <w:tcW w:type="dxa" w:w="3888"/>
            <w:shd w:fill="159C9C"/>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Secondary / Integrated Coverage</w:t>
            </w:r>
          </w:p>
        </w:tc>
      </w:tr>
      <w:tr>
        <w:trPr>
          <w:cantSplit/>
        </w:trPr>
        <w:tc>
          <w:tcPr>
            <w:tcW w:type="dxa" w:w="374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Professional Development &amp; Counselor Self-Awareness — 15%</w:t>
            </w:r>
          </w:p>
        </w:tc>
        <w:tc>
          <w:tcPr>
            <w:tcW w:type="dxa" w:w="288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WB2, WB8</w:t>
            </w:r>
          </w:p>
        </w:tc>
        <w:tc>
          <w:tcPr>
            <w:tcW w:type="dxa" w:w="388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WB9, WB10, WB12</w:t>
            </w:r>
          </w:p>
        </w:tc>
      </w:tr>
      <w:tr>
        <w:trPr>
          <w:cantSplit/>
        </w:trPr>
        <w:tc>
          <w:tcPr>
            <w:tcW w:type="dxa" w:w="374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Intake &amp; Assessment — 18%</w:t>
            </w:r>
          </w:p>
        </w:tc>
        <w:tc>
          <w:tcPr>
            <w:tcW w:type="dxa" w:w="288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WB3, WB4, WB5, WB6</w:t>
            </w:r>
          </w:p>
        </w:tc>
        <w:tc>
          <w:tcPr>
            <w:tcW w:type="dxa" w:w="388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WB1, WB10, WB11</w:t>
            </w:r>
          </w:p>
        </w:tc>
      </w:tr>
      <w:tr>
        <w:trPr>
          <w:cantSplit/>
        </w:trPr>
        <w:tc>
          <w:tcPr>
            <w:tcW w:type="dxa" w:w="374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Treatment Planning &amp; Continuity of Care — 15%</w:t>
            </w:r>
          </w:p>
        </w:tc>
        <w:tc>
          <w:tcPr>
            <w:tcW w:type="dxa" w:w="288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WB7, WB11</w:t>
            </w:r>
          </w:p>
        </w:tc>
        <w:tc>
          <w:tcPr>
            <w:tcW w:type="dxa" w:w="388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WB4, WB9, WB12</w:t>
            </w:r>
          </w:p>
        </w:tc>
      </w:tr>
      <w:tr>
        <w:trPr>
          <w:cantSplit/>
        </w:trPr>
        <w:tc>
          <w:tcPr>
            <w:tcW w:type="dxa" w:w="374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Provision of Counseling Interventions — 20%</w:t>
            </w:r>
          </w:p>
        </w:tc>
        <w:tc>
          <w:tcPr>
            <w:tcW w:type="dxa" w:w="288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WB8, WB9</w:t>
            </w:r>
          </w:p>
        </w:tc>
        <w:tc>
          <w:tcPr>
            <w:tcW w:type="dxa" w:w="388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WB3, WB4, WB10, WB11</w:t>
            </w:r>
          </w:p>
        </w:tc>
      </w:tr>
      <w:tr>
        <w:trPr>
          <w:cantSplit/>
        </w:trPr>
        <w:tc>
          <w:tcPr>
            <w:tcW w:type="dxa" w:w="374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Indirect Client Care — 12%</w:t>
            </w:r>
          </w:p>
        </w:tc>
        <w:tc>
          <w:tcPr>
            <w:tcW w:type="dxa" w:w="288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WB11, WB12</w:t>
            </w:r>
          </w:p>
        </w:tc>
        <w:tc>
          <w:tcPr>
            <w:tcW w:type="dxa" w:w="388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WB6, WB7, WB10</w:t>
            </w:r>
          </w:p>
        </w:tc>
      </w:tr>
      <w:tr>
        <w:trPr>
          <w:cantSplit/>
        </w:trPr>
        <w:tc>
          <w:tcPr>
            <w:tcW w:type="dxa" w:w="374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Legal &amp; Ethical Compliance — 20%</w:t>
            </w:r>
          </w:p>
        </w:tc>
        <w:tc>
          <w:tcPr>
            <w:tcW w:type="dxa" w:w="288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WB12</w:t>
            </w:r>
          </w:p>
        </w:tc>
        <w:tc>
          <w:tcPr>
            <w:tcW w:type="dxa" w:w="388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WB2, WB3, WB4, WB11</w:t>
            </w:r>
          </w:p>
        </w:tc>
      </w:tr>
    </w:tbl>
    <w:p>
      <w:pPr>
        <w:spacing w:after="0"/>
        <w:keepLines/>
      </w:pPr>
    </w:p>
    <w:p>
      <w:pPr>
        <w:pStyle w:val="Heading2"/>
        <w:keepLines/>
      </w:pPr>
      <w:r>
        <w:rPr>
          <w:rFonts w:ascii="Arial" w:hAnsi="Arial"/>
        </w:rPr>
        <w:t>How LPCC content remains distinct from LMFT and LCSW</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448"/>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8"/>
              </w:rPr>
              <w:t>Differentiator</w:t>
            </w:r>
          </w:p>
        </w:tc>
        <w:tc>
          <w:tcPr>
            <w:tcW w:type="dxa" w:w="8064"/>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8"/>
              </w:rPr>
              <w:t>LPCC Program Standard</w:t>
            </w:r>
          </w:p>
        </w:tc>
      </w:tr>
      <w:tr>
        <w:trPr>
          <w:cantSplit/>
        </w:trPr>
        <w:tc>
          <w:tcPr>
            <w:tcW w:type="dxa" w:w="244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LPCC core lens</w:t>
            </w:r>
          </w:p>
        </w:tc>
        <w:tc>
          <w:tcPr>
            <w:tcW w:type="dxa" w:w="806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Professional counseling relationship; wellness and development; pluralistic, theory-based counseling; counseling assessment; clinical mental health diagnosis and treatment; multicultural counseling; competence-based referral.</w:t>
            </w:r>
          </w:p>
        </w:tc>
      </w:tr>
      <w:tr>
        <w:trPr>
          <w:cantSplit/>
        </w:trPr>
        <w:tc>
          <w:tcPr>
            <w:tcW w:type="dxa" w:w="244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Not an LMFT clone</w:t>
            </w:r>
          </w:p>
        </w:tc>
        <w:tc>
          <w:tcPr>
            <w:tcW w:type="dxa" w:w="806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Couple/family and systems content is taught as one modality and clinical context, not as the organizing identity of the entire program.</w:t>
            </w:r>
          </w:p>
        </w:tc>
      </w:tr>
      <w:tr>
        <w:trPr>
          <w:cantSplit/>
        </w:trPr>
        <w:tc>
          <w:tcPr>
            <w:tcW w:type="dxa" w:w="244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Not an LCSW clone</w:t>
            </w:r>
          </w:p>
        </w:tc>
        <w:tc>
          <w:tcPr>
            <w:tcW w:type="dxa" w:w="806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Resources, advocacy, and systems barriers are included, but the organizing frame is counseling theory, counselor attributes, therapeutic process, assessment, and clinical intervention rather than social-work person-in-environment practice.</w:t>
            </w:r>
          </w:p>
        </w:tc>
      </w:tr>
      <w:tr>
        <w:trPr>
          <w:cantSplit/>
        </w:trPr>
        <w:tc>
          <w:tcPr>
            <w:tcW w:type="dxa" w:w="244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California-specific distinction</w:t>
            </w:r>
          </w:p>
        </w:tc>
        <w:tc>
          <w:tcPr>
            <w:tcW w:type="dxa" w:w="806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The program explicitly teaches BPC §4999.20 scope, assessment exclusions, referral obligations, APCC/LPCC role, and California professional-practice overlays.</w:t>
            </w:r>
          </w:p>
        </w:tc>
      </w:tr>
      <w:tr>
        <w:trPr>
          <w:cantSplit/>
        </w:trPr>
        <w:tc>
          <w:tcPr>
            <w:tcW w:type="dxa" w:w="244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Exam-specific distinction</w:t>
            </w:r>
          </w:p>
        </w:tc>
        <w:tc>
          <w:tcPr>
            <w:tcW w:type="dxa" w:w="806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Every workbook bank and cumulative assessment uses evolving three-section NCMHCE cases and section-dependent reasoning.</w:t>
            </w:r>
          </w:p>
        </w:tc>
      </w:tr>
    </w:tbl>
    <w:p>
      <w:pPr>
        <w:spacing w:after="0"/>
        <w:keepLines/>
      </w:pPr>
    </w:p>
    <w:p>
      <w:pPr>
        <w:pStyle w:val="Heading1"/>
        <w:keepLines/>
      </w:pPr>
      <w:r>
        <w:rPr>
          <w:rFonts w:ascii="Arial" w:hAnsi="Arial"/>
        </w:rPr>
        <w:t>8. Practice Question Bank and Simulation Standards</w:t>
      </w:r>
    </w:p>
    <w:p>
      <w:pPr>
        <w:pStyle w:val="Heading2"/>
        <w:keepLines/>
      </w:pPr>
      <w:r>
        <w:rPr>
          <w:rFonts w:ascii="Arial" w:hAnsi="Arial"/>
        </w:rPr>
        <w:t>Workbook bank standard: 17 questions</w:t>
      </w:r>
    </w:p>
    <w:p>
      <w:pPr>
        <w:spacing w:before="0" w:after="120" w:line="259" w:lineRule="auto"/>
        <w:keepLines/>
      </w:pPr>
      <w:r>
        <w:rPr>
          <w:rFonts w:ascii="Arial" w:hAnsi="Arial"/>
        </w:rPr>
        <w:t>CTA’s 17-question production standard should be retained, but adapted to the NCMHCE case-study format. Each workbook bank should contain one original three-part mini case with 12 questions and five targeted questions. The full set preserves the established 5 Easy / 7 Moderate / 5 Difficult distribution.</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656"/>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Control</w:t>
            </w:r>
          </w:p>
        </w:tc>
        <w:tc>
          <w:tcPr>
            <w:tcW w:type="dxa" w:w="2592"/>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Standard</w:t>
            </w:r>
          </w:p>
        </w:tc>
        <w:tc>
          <w:tcPr>
            <w:tcW w:type="dxa" w:w="6264"/>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Purpose</w:t>
            </w:r>
          </w:p>
        </w:tc>
      </w:tr>
      <w:tr>
        <w:trPr>
          <w:cantSplit/>
        </w:trPr>
        <w:tc>
          <w:tcPr>
            <w:tcW w:type="dxa" w:w="165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Mini case</w:t>
            </w:r>
          </w:p>
        </w:tc>
        <w:tc>
          <w:tcPr>
            <w:tcW w:type="dxa" w:w="259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12</w:t>
            </w:r>
          </w:p>
        </w:tc>
        <w:tc>
          <w:tcPr>
            <w:tcW w:type="dxa" w:w="626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One intake narrative and two subsequent counseling sessions. Questions are released by section in the online version.</w:t>
            </w:r>
          </w:p>
        </w:tc>
      </w:tr>
      <w:tr>
        <w:trPr>
          <w:cantSplit/>
        </w:trPr>
        <w:tc>
          <w:tcPr>
            <w:tcW w:type="dxa" w:w="1656"/>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Targeted items</w:t>
            </w:r>
          </w:p>
        </w:tc>
        <w:tc>
          <w:tcPr>
            <w:tcW w:type="dxa" w:w="259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5</w:t>
            </w:r>
          </w:p>
        </w:tc>
        <w:tc>
          <w:tcPr>
            <w:tcW w:type="dxa" w:w="626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Focused checks of distinctions, rules, theory-to-intervention fit, diagnostic reasoning, or California scope.</w:t>
            </w:r>
          </w:p>
        </w:tc>
      </w:tr>
      <w:tr>
        <w:trPr>
          <w:cantSplit/>
        </w:trPr>
        <w:tc>
          <w:tcPr>
            <w:tcW w:type="dxa" w:w="165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Difficulty</w:t>
            </w:r>
          </w:p>
        </w:tc>
        <w:tc>
          <w:tcPr>
            <w:tcW w:type="dxa" w:w="259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5 Easy / 7 Moderate / 5 Difficult</w:t>
            </w:r>
          </w:p>
        </w:tc>
        <w:tc>
          <w:tcPr>
            <w:tcW w:type="dxa" w:w="626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Difficulty is separate from question type.</w:t>
            </w:r>
          </w:p>
        </w:tc>
      </w:tr>
      <w:tr>
        <w:trPr>
          <w:cantSplit/>
        </w:trPr>
        <w:tc>
          <w:tcPr>
            <w:tcW w:type="dxa" w:w="1656"/>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Options</w:t>
            </w:r>
          </w:p>
        </w:tc>
        <w:tc>
          <w:tcPr>
            <w:tcW w:type="dxa" w:w="259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Four per item</w:t>
            </w:r>
          </w:p>
        </w:tc>
        <w:tc>
          <w:tcPr>
            <w:tcW w:type="dxa" w:w="626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One best answer; balanced answer positions.</w:t>
            </w:r>
          </w:p>
        </w:tc>
      </w:tr>
      <w:tr>
        <w:trPr>
          <w:cantSplit/>
        </w:trPr>
        <w:tc>
          <w:tcPr>
            <w:tcW w:type="dxa" w:w="165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Rationales</w:t>
            </w:r>
          </w:p>
        </w:tc>
        <w:tc>
          <w:tcPr>
            <w:tcW w:type="dxa" w:w="259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Every option</w:t>
            </w:r>
          </w:p>
        </w:tc>
        <w:tc>
          <w:tcPr>
            <w:tcW w:type="dxa" w:w="626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Explain correctness, distractor weakness, timing, case section, role, missing facts, and CTA exam strategy.</w:t>
            </w:r>
          </w:p>
        </w:tc>
      </w:tr>
      <w:tr>
        <w:trPr>
          <w:cantSplit/>
        </w:trPr>
        <w:tc>
          <w:tcPr>
            <w:tcW w:type="dxa" w:w="1656"/>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Coding</w:t>
            </w:r>
          </w:p>
        </w:tc>
        <w:tc>
          <w:tcPr>
            <w:tcW w:type="dxa" w:w="259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Every item</w:t>
            </w:r>
          </w:p>
        </w:tc>
        <w:tc>
          <w:tcPr>
            <w:tcW w:type="dxa" w:w="626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Workbook, chapter, current domain/task, 2027 domain/task, California scope element, cognitive type, difficulty, decision word, source date, exposure log.</w:t>
            </w:r>
          </w:p>
        </w:tc>
      </w:tr>
      <w:tr>
        <w:trPr>
          <w:cantSplit/>
        </w:trPr>
        <w:tc>
          <w:tcPr>
            <w:tcW w:type="dxa" w:w="165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Student files</w:t>
            </w:r>
          </w:p>
        </w:tc>
        <w:tc>
          <w:tcPr>
            <w:tcW w:type="dxa" w:w="259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Question form + rationale form</w:t>
            </w:r>
          </w:p>
        </w:tc>
        <w:tc>
          <w:tcPr>
            <w:tcW w:type="dxa" w:w="626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Two distinct editable Word resources, not duplicate formats. The rationale form remains controlled until attempt completion.</w:t>
            </w:r>
          </w:p>
        </w:tc>
      </w:tr>
    </w:tbl>
    <w:p>
      <w:pPr>
        <w:spacing w:after="0"/>
        <w:keepLines/>
      </w:pPr>
    </w:p>
    <w:p>
      <w:pPr>
        <w:pStyle w:val="Heading2"/>
        <w:keepLines/>
      </w:pPr>
      <w:r>
        <w:rPr>
          <w:rFonts w:ascii="Arial" w:hAnsi="Arial"/>
        </w:rPr>
        <w:t>Cumulative case practice</w:t>
      </w:r>
    </w:p>
    <w:p>
      <w:pPr>
        <w:spacing w:before="0" w:after="120" w:line="259" w:lineRule="auto"/>
        <w:keepLines/>
      </w:pPr>
      <w:r>
        <w:rPr>
          <w:rFonts w:ascii="Arial" w:hAnsi="Arial"/>
        </w:rPr>
        <w:t>Recommended cumulative assessments are blueprint-controlled and stripped of workbook labels. They are learning checkpoints, not full simulations.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592"/>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8"/>
              </w:rPr>
              <w:t>Assessment</w:t>
            </w:r>
          </w:p>
        </w:tc>
        <w:tc>
          <w:tcPr>
            <w:tcW w:type="dxa" w:w="3024"/>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8"/>
              </w:rPr>
              <w:t>Recommended Design</w:t>
            </w:r>
          </w:p>
        </w:tc>
        <w:tc>
          <w:tcPr>
            <w:tcW w:type="dxa" w:w="4896"/>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8"/>
              </w:rPr>
              <w:t>Primary Use</w:t>
            </w:r>
          </w:p>
        </w:tc>
      </w:tr>
      <w:tr>
        <w:trPr>
          <w:cantSplit/>
        </w:trPr>
        <w:tc>
          <w:tcPr>
            <w:tcW w:type="dxa" w:w="259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Checkpoint 1 — after WB4</w:t>
            </w:r>
          </w:p>
        </w:tc>
        <w:tc>
          <w:tcPr>
            <w:tcW w:type="dxa" w:w="302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3 cases; approximately 36–39 questions</w:t>
            </w:r>
          </w:p>
        </w:tc>
        <w:tc>
          <w:tcPr>
            <w:tcW w:type="dxa" w:w="489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Case navigation, scope, intake/MSE, culture, crisis, safety, and level of care.</w:t>
            </w:r>
          </w:p>
        </w:tc>
      </w:tr>
      <w:tr>
        <w:trPr>
          <w:cantSplit/>
        </w:trPr>
        <w:tc>
          <w:tcPr>
            <w:tcW w:type="dxa" w:w="259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Checkpoint 2 — after WB8</w:t>
            </w:r>
          </w:p>
        </w:tc>
        <w:tc>
          <w:tcPr>
            <w:tcW w:type="dxa" w:w="302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4 cases; approximately 48–52 questions</w:t>
            </w:r>
          </w:p>
        </w:tc>
        <w:tc>
          <w:tcPr>
            <w:tcW w:type="dxa" w:w="4896"/>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Adds diagnosis, differential, planning, theory, alliance, and core skills.</w:t>
            </w:r>
          </w:p>
        </w:tc>
      </w:tr>
      <w:tr>
        <w:trPr>
          <w:cantSplit/>
        </w:trPr>
        <w:tc>
          <w:tcPr>
            <w:tcW w:type="dxa" w:w="259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Cumulative Case Lab — after WB12</w:t>
            </w:r>
          </w:p>
        </w:tc>
        <w:tc>
          <w:tcPr>
            <w:tcW w:type="dxa" w:w="302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5 cases; approximately 60–65 questions</w:t>
            </w:r>
          </w:p>
        </w:tc>
        <w:tc>
          <w:tcPr>
            <w:tcW w:type="dxa" w:w="489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Cross-domain integration before Form A; rationales release after submission.</w:t>
            </w:r>
          </w:p>
        </w:tc>
      </w:tr>
    </w:tbl>
    <w:p>
      <w:pPr>
        <w:spacing w:after="0"/>
        <w:keepLines/>
      </w:pPr>
    </w:p>
    <w:p>
      <w:pPr>
        <w:pStyle w:val="Heading2"/>
        <w:keepLines/>
      </w:pPr>
      <w:r>
        <w:rPr>
          <w:rFonts w:ascii="Arial" w:hAnsi="Arial"/>
        </w:rPr>
        <w:t>Comprehensive Form A and Form B — current format</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592"/>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Simulation Control</w:t>
            </w:r>
          </w:p>
        </w:tc>
        <w:tc>
          <w:tcPr>
            <w:tcW w:type="dxa" w:w="7920"/>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CTA Standard</w:t>
            </w:r>
          </w:p>
        </w:tc>
      </w:tr>
      <w:tr>
        <w:trPr>
          <w:cantSplit/>
        </w:trPr>
        <w:tc>
          <w:tcPr>
            <w:tcW w:type="dxa" w:w="259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Cases</w:t>
            </w:r>
          </w:p>
        </w:tc>
        <w:tc>
          <w:tcPr>
            <w:tcW w:type="dxa" w:w="792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11 original, non-overlapping cases per form</w:t>
            </w:r>
          </w:p>
        </w:tc>
      </w:tr>
      <w:tr>
        <w:trPr>
          <w:cantSplit/>
        </w:trPr>
        <w:tc>
          <w:tcPr>
            <w:tcW w:type="dxa" w:w="259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Recommended fixed item count</w:t>
            </w:r>
          </w:p>
        </w:tc>
        <w:tc>
          <w:tcPr>
            <w:tcW w:type="dxa" w:w="792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143 items per form, averaging 13 questions per case and remaining within the official 130–150 range.</w:t>
            </w:r>
          </w:p>
        </w:tc>
      </w:tr>
      <w:tr>
        <w:trPr>
          <w:cantSplit/>
        </w:trPr>
        <w:tc>
          <w:tcPr>
            <w:tcW w:type="dxa" w:w="259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Internal scored-style coding</w:t>
            </w:r>
          </w:p>
        </w:tc>
        <w:tc>
          <w:tcPr>
            <w:tcW w:type="dxa" w:w="792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100 scored-style items distributed exactly to current weights: 15 Professional Practice/Ethics; 25 Intake/Assessment/Diagnosis; 15 Treatment Planning; 30 Counseling Skills/Interventions; 15 Core Counseling Attributes.</w:t>
            </w:r>
          </w:p>
        </w:tc>
      </w:tr>
      <w:tr>
        <w:trPr>
          <w:cantSplit/>
        </w:trPr>
        <w:tc>
          <w:tcPr>
            <w:tcW w:type="dxa" w:w="259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Field-test-style coding</w:t>
            </w:r>
          </w:p>
        </w:tc>
        <w:tc>
          <w:tcPr>
            <w:tcW w:type="dxa" w:w="792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43 items hidden from students. One complete case is coded as unscored-style; additional field-test-style items are dispersed. Students see no scored/unscored labels.</w:t>
            </w:r>
          </w:p>
        </w:tc>
      </w:tr>
      <w:tr>
        <w:trPr>
          <w:cantSplit/>
        </w:trPr>
        <w:tc>
          <w:tcPr>
            <w:tcW w:type="dxa" w:w="259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Areas of Clinical Focus</w:t>
            </w:r>
          </w:p>
        </w:tc>
        <w:tc>
          <w:tcPr>
            <w:tcW w:type="dxa" w:w="792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Embedded across diverse diagnoses and presenting concerns; not treated as an item-level percentage.</w:t>
            </w:r>
          </w:p>
        </w:tc>
      </w:tr>
      <w:tr>
        <w:trPr>
          <w:cantSplit/>
        </w:trPr>
        <w:tc>
          <w:tcPr>
            <w:tcW w:type="dxa" w:w="259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Timing</w:t>
            </w:r>
          </w:p>
        </w:tc>
        <w:tc>
          <w:tcPr>
            <w:tcW w:type="dxa" w:w="792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225 minutes, with a 15-minute scheduled break after Case 5. Optional 5-minute agreement and 10-minute tutorial may be added to create a full 255-minute rehearsal.</w:t>
            </w:r>
          </w:p>
        </w:tc>
      </w:tr>
      <w:tr>
        <w:trPr>
          <w:cantSplit/>
        </w:trPr>
        <w:tc>
          <w:tcPr>
            <w:tcW w:type="dxa" w:w="259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Navigation</w:t>
            </w:r>
          </w:p>
        </w:tc>
        <w:tc>
          <w:tcPr>
            <w:tcW w:type="dxa" w:w="792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Online version releases one case section at a time and prevents return after submission. Printable version uses sealed/folded section packets or explicit no-return instructions.</w:t>
            </w:r>
          </w:p>
        </w:tc>
      </w:tr>
      <w:tr>
        <w:trPr>
          <w:cantSplit/>
        </w:trPr>
        <w:tc>
          <w:tcPr>
            <w:tcW w:type="dxa" w:w="259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Feedback</w:t>
            </w:r>
          </w:p>
        </w:tc>
        <w:tc>
          <w:tcPr>
            <w:tcW w:type="dxa" w:w="792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Separate answer key, option-by-option rationales, strategy analysis, domain report, case report, pacing report, confidence analysis, and targeted remediation map.</w:t>
            </w:r>
          </w:p>
        </w:tc>
      </w:tr>
      <w:tr>
        <w:trPr>
          <w:cantSplit/>
        </w:trPr>
        <w:tc>
          <w:tcPr>
            <w:tcW w:type="dxa" w:w="2592"/>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Control</w:t>
            </w:r>
          </w:p>
        </w:tc>
        <w:tc>
          <w:tcPr>
            <w:tcW w:type="dxa" w:w="792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Form A diagnoses remaining gaps. Form B remains protected until Form A review and required remediation are complete.</w:t>
            </w:r>
          </w:p>
        </w:tc>
      </w:tr>
      <w:tr>
        <w:trPr>
          <w:cantSplit/>
        </w:trPr>
        <w:tc>
          <w:tcPr>
            <w:tcW w:type="dxa" w:w="2592"/>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Score language</w:t>
            </w:r>
          </w:p>
        </w:tc>
        <w:tc>
          <w:tcPr>
            <w:tcW w:type="dxa" w:w="792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CTA reports raw performance and readiness evidence; it does not establish the official current passing cut or guarantee passage.</w:t>
            </w:r>
          </w:p>
        </w:tc>
      </w:tr>
    </w:tbl>
    <w:p>
      <w:pPr>
        <w:spacing w:after="0"/>
        <w:keepLines/>
      </w:pPr>
    </w:p>
    <w:p>
      <w:pPr>
        <w:pStyle w:val="Heading2"/>
        <w:keepLines/>
      </w:pPr>
      <w:r>
        <w:rPr>
          <w:rFonts w:ascii="Arial" w:hAnsi="Arial"/>
        </w:rPr>
        <w:t>Required 2027 Form A/Form B conversion</w:t>
      </w:r>
    </w:p>
    <w:p>
      <w:pPr>
        <w:pStyle w:val="ListBullet"/>
        <w:spacing w:after="60" w:line="250" w:lineRule="auto"/>
        <w:keepLines/>
        <w:keepLines/>
      </w:pPr>
      <w:r>
        <w:rPr>
          <w:rFonts w:ascii="Arial" w:hAnsi="Arial"/>
        </w:rPr>
        <w:t>Rebuild each form to ten case studies while retaining 130–150 total questions and 225 timed minutes.</w:t>
      </w:r>
    </w:p>
    <w:p>
      <w:pPr>
        <w:pStyle w:val="ListBullet"/>
        <w:spacing w:after="60" w:line="250" w:lineRule="auto"/>
        <w:keepLines/>
        <w:keepLines/>
      </w:pPr>
      <w:r>
        <w:rPr>
          <w:rFonts w:ascii="Arial" w:hAnsi="Arial"/>
        </w:rPr>
        <w:t>Distribute 30–50 field-test-style items randomly rather than coding one whole unscored case as the primary model.</w:t>
      </w:r>
    </w:p>
    <w:p>
      <w:pPr>
        <w:pStyle w:val="ListBullet"/>
        <w:spacing w:after="60" w:line="250" w:lineRule="auto"/>
        <w:keepLines/>
        <w:keepLines/>
      </w:pPr>
      <w:r>
        <w:rPr>
          <w:rFonts w:ascii="Arial" w:hAnsi="Arial"/>
        </w:rPr>
        <w:t>Use the 2027 weights: 15 / 18 / 15 / 20 / 12 / 20.</w:t>
      </w:r>
    </w:p>
    <w:p>
      <w:pPr>
        <w:pStyle w:val="ListBullet"/>
        <w:spacing w:after="60" w:line="250" w:lineRule="auto"/>
        <w:keepLines/>
        <w:keepLines/>
      </w:pPr>
      <w:r>
        <w:rPr>
          <w:rFonts w:ascii="Arial" w:hAnsi="Arial"/>
        </w:rPr>
        <w:t>Change online navigation to two reviewable halves with an optional 15-minute midpoint break.</w:t>
      </w:r>
    </w:p>
    <w:p>
      <w:pPr>
        <w:pStyle w:val="ListBullet"/>
        <w:spacing w:after="60" w:line="250" w:lineRule="auto"/>
        <w:keepLines/>
        <w:keepLines/>
      </w:pPr>
      <w:r>
        <w:rPr>
          <w:rFonts w:ascii="Arial" w:hAnsi="Arial"/>
        </w:rPr>
        <w:t>Explain the official scaled-score range and 360 passing point, but do not create an unsupported CTA raw-to-scaled conversion.</w:t>
      </w:r>
    </w:p>
    <w:p>
      <w:pPr>
        <w:keepLines/>
      </w:pPr>
      <w:r>
        <w:rPr>
          <w:rFonts w:ascii="Arial" w:hAnsi="Arial"/>
        </w:rPr>
        <w:br w:type="page"/>
      </w:r>
    </w:p>
    <w:p>
      <w:pPr>
        <w:pStyle w:val="Heading1"/>
        <w:keepLines/>
      </w:pPr>
      <w:r>
        <w:rPr>
          <w:rFonts w:ascii="Arial" w:hAnsi="Arial"/>
        </w:rPr>
        <w:t>9. Multimedia and Enhancement Resource Plan</w:t>
      </w:r>
    </w:p>
    <w:p>
      <w:pPr>
        <w:pStyle w:val="Heading2"/>
        <w:keepLines/>
      </w:pPr>
      <w:r>
        <w:rPr>
          <w:rFonts w:ascii="Arial" w:hAnsi="Arial"/>
        </w:rPr>
        <w:t>Companion multimedia</w:t>
      </w:r>
    </w:p>
    <w:p>
      <w:pPr>
        <w:pStyle w:val="ListBullet"/>
        <w:spacing w:after="60" w:line="250" w:lineRule="auto"/>
        <w:keepLines/>
        <w:keepLines/>
      </w:pPr>
      <w:r>
        <w:rPr>
          <w:rFonts w:ascii="Arial" w:hAnsi="Arial"/>
        </w:rPr>
        <w:t>One concise core lesson for each workbook, approximately 15–25 minutes, focused on decisions and exam application rather than reading the workbook aloud.</w:t>
      </w:r>
    </w:p>
    <w:p>
      <w:pPr>
        <w:pStyle w:val="ListBullet"/>
        <w:spacing w:after="60" w:line="250" w:lineRule="auto"/>
        <w:keepLines/>
        <w:keepLines/>
      </w:pPr>
      <w:r>
        <w:rPr>
          <w:rFonts w:ascii="Arial" w:hAnsi="Arial"/>
        </w:rPr>
        <w:t>Six additional case walkthroughs showing how new facts change assessment, diagnosis, planning, intervention, ethics, and referral decisions across three case sections.</w:t>
      </w:r>
    </w:p>
    <w:p>
      <w:pPr>
        <w:pStyle w:val="ListBullet"/>
        <w:spacing w:after="60" w:line="250" w:lineRule="auto"/>
        <w:keepLines/>
        <w:keepLines/>
      </w:pPr>
      <w:r>
        <w:rPr>
          <w:rFonts w:ascii="Arial" w:hAnsi="Arial"/>
        </w:rPr>
        <w:t>Every video includes captions, an audio-only version, and a verbatim editable Word transcript.</w:t>
      </w:r>
    </w:p>
    <w:p>
      <w:pPr>
        <w:pStyle w:val="ListBullet"/>
        <w:spacing w:after="60" w:line="250" w:lineRule="auto"/>
        <w:keepLines/>
        <w:keepLines/>
      </w:pPr>
      <w:r>
        <w:rPr>
          <w:rFonts w:ascii="Arial" w:hAnsi="Arial"/>
        </w:rPr>
        <w:t>The transcript and recording are generated from one authoritative narration script so the media and downloadable materials remain synchronized.</w:t>
      </w:r>
    </w:p>
    <w:p>
      <w:pPr>
        <w:pStyle w:val="ListBullet"/>
        <w:spacing w:after="60" w:line="250" w:lineRule="auto"/>
        <w:keepLines/>
        <w:keepLines/>
      </w:pPr>
      <w:r>
        <w:rPr>
          <w:rFonts w:ascii="Arial" w:hAnsi="Arial"/>
        </w:rPr>
        <w:t>Multimedia may clarify complex reasoning, but no essential instruction exists only in video.</w:t>
      </w:r>
    </w:p>
    <w:p>
      <w:pPr>
        <w:pStyle w:val="Heading2"/>
        <w:keepLines/>
      </w:pPr>
      <w:r>
        <w:rPr>
          <w:rFonts w:ascii="Arial" w:hAnsi="Arial"/>
        </w:rPr>
        <w:t>Quick-reference sheet collection</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016"/>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8"/>
              </w:rPr>
              <w:t>Sheet Group</w:t>
            </w:r>
          </w:p>
        </w:tc>
        <w:tc>
          <w:tcPr>
            <w:tcW w:type="dxa" w:w="8496"/>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8"/>
              </w:rPr>
              <w:t>Content</w:t>
            </w:r>
          </w:p>
        </w:tc>
      </w:tr>
      <w:tr>
        <w:trPr>
          <w:cantSplit/>
        </w:trPr>
        <w:tc>
          <w:tcPr>
            <w:tcW w:type="dxa" w:w="201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Core 1</w:t>
            </w:r>
          </w:p>
        </w:tc>
        <w:tc>
          <w:tcPr>
            <w:tcW w:type="dxa" w:w="849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Current NCMHCE Facts, Timing, Navigation, and Scoring</w:t>
            </w:r>
          </w:p>
        </w:tc>
      </w:tr>
      <w:tr>
        <w:trPr>
          <w:cantSplit/>
        </w:trPr>
        <w:tc>
          <w:tcPr>
            <w:tcW w:type="dxa" w:w="2016"/>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Core 2</w:t>
            </w:r>
          </w:p>
        </w:tc>
        <w:tc>
          <w:tcPr>
            <w:tcW w:type="dxa" w:w="8496"/>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July 1, 2027 Transition Crosswalk</w:t>
            </w:r>
          </w:p>
        </w:tc>
      </w:tr>
      <w:tr>
        <w:trPr>
          <w:cantSplit/>
        </w:trPr>
        <w:tc>
          <w:tcPr>
            <w:tcW w:type="dxa" w:w="201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Core 3</w:t>
            </w:r>
          </w:p>
        </w:tc>
        <w:tc>
          <w:tcPr>
            <w:tcW w:type="dxa" w:w="849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Form A → Remediation → Form B Readiness Sequence</w:t>
            </w:r>
          </w:p>
        </w:tc>
      </w:tr>
      <w:tr>
        <w:trPr>
          <w:cantSplit/>
        </w:trPr>
        <w:tc>
          <w:tcPr>
            <w:tcW w:type="dxa" w:w="2016"/>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WB1–WB12</w:t>
            </w:r>
          </w:p>
        </w:tc>
        <w:tc>
          <w:tcPr>
            <w:tcW w:type="dxa" w:w="8496"/>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8"/>
              </w:rPr>
              <w:t>One high-yield decision sheet matching each workbook title and its primary exam rules</w:t>
            </w:r>
          </w:p>
        </w:tc>
      </w:tr>
    </w:tbl>
    <w:p>
      <w:pPr>
        <w:spacing w:after="0"/>
        <w:keepLines/>
      </w:pPr>
    </w:p>
    <w:p>
      <w:pPr>
        <w:pStyle w:val="Heading2"/>
        <w:keepLines/>
      </w:pPr>
      <w:r>
        <w:rPr>
          <w:rFonts w:ascii="Arial" w:hAnsi="Arial"/>
        </w:rPr>
        <w:t>Flashcard collection</w:t>
      </w:r>
    </w:p>
    <w:p>
      <w:pPr>
        <w:spacing w:before="0" w:after="120" w:line="259" w:lineRule="auto"/>
        <w:keepLines/>
      </w:pPr>
      <w:r>
        <w:rPr>
          <w:rFonts w:ascii="Arial" w:hAnsi="Arial"/>
        </w:rPr>
        <w:t>Recommended collection: 132 printable cards — 12 core-reasoning cards and 10 cards for each workbook. Cards emphasize distinctions, sequences, theory/intervention matching, diagnostic discriminators, scope limits, cultural adaptation, and common distractor traps. Each card points the learner back to the matching workbook and rationale source.</w:t>
      </w:r>
    </w:p>
    <w:p>
      <w:pPr>
        <w:pStyle w:val="Heading2"/>
        <w:keepLines/>
      </w:pPr>
      <w:r>
        <w:rPr>
          <w:rFonts w:ascii="Arial" w:hAnsi="Arial"/>
        </w:rPr>
        <w:t>Audio review collection</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Track</w:t>
            </w:r>
          </w:p>
        </w:tc>
        <w:tc>
          <w:tcPr>
            <w:tcW w:type="dxa" w:w="7488"/>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Title</w:t>
            </w:r>
          </w:p>
        </w:tc>
        <w:tc>
          <w:tcPr>
            <w:tcW w:type="dxa" w:w="2304"/>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Coverage</w:t>
            </w:r>
          </w:p>
        </w:tc>
      </w:tr>
      <w:tr>
        <w:trPr>
          <w:cantSplit/>
        </w:trPr>
        <w:tc>
          <w:tcPr>
            <w:tcW w:type="dxa" w:w="72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1</w:t>
            </w:r>
          </w:p>
        </w:tc>
        <w:tc>
          <w:tcPr>
            <w:tcW w:type="dxa" w:w="748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NCMHCE Case Reasoning Reset</w:t>
            </w:r>
          </w:p>
        </w:tc>
        <w:tc>
          <w:tcPr>
            <w:tcW w:type="dxa" w:w="23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WB1</w:t>
            </w:r>
          </w:p>
        </w:tc>
      </w:tr>
      <w:tr>
        <w:trPr>
          <w:cantSplit/>
        </w:trPr>
        <w:tc>
          <w:tcPr>
            <w:tcW w:type="dxa" w:w="72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2</w:t>
            </w:r>
          </w:p>
        </w:tc>
        <w:tc>
          <w:tcPr>
            <w:tcW w:type="dxa" w:w="748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LPCC Identity, Scope, Competence, and Counselor Self-Awareness</w:t>
            </w:r>
          </w:p>
        </w:tc>
        <w:tc>
          <w:tcPr>
            <w:tcW w:type="dxa" w:w="23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WB2</w:t>
            </w:r>
          </w:p>
        </w:tc>
      </w:tr>
      <w:tr>
        <w:trPr>
          <w:cantSplit/>
        </w:trPr>
        <w:tc>
          <w:tcPr>
            <w:tcW w:type="dxa" w:w="72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3</w:t>
            </w:r>
          </w:p>
        </w:tc>
        <w:tc>
          <w:tcPr>
            <w:tcW w:type="dxa" w:w="748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Intake, MSE, Assessment, and Diagnosis Without Premature Closure</w:t>
            </w:r>
          </w:p>
        </w:tc>
        <w:tc>
          <w:tcPr>
            <w:tcW w:type="dxa" w:w="23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WB3, WB5, WB6</w:t>
            </w:r>
          </w:p>
        </w:tc>
      </w:tr>
      <w:tr>
        <w:trPr>
          <w:cantSplit/>
        </w:trPr>
        <w:tc>
          <w:tcPr>
            <w:tcW w:type="dxa" w:w="72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4</w:t>
            </w:r>
          </w:p>
        </w:tc>
        <w:tc>
          <w:tcPr>
            <w:tcW w:type="dxa" w:w="748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Crisis, Trauma, Abuse, Risk, and Level-of-Care Sequencing</w:t>
            </w:r>
          </w:p>
        </w:tc>
        <w:tc>
          <w:tcPr>
            <w:tcW w:type="dxa" w:w="23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WB4</w:t>
            </w:r>
          </w:p>
        </w:tc>
      </w:tr>
      <w:tr>
        <w:trPr>
          <w:cantSplit/>
        </w:trPr>
        <w:tc>
          <w:tcPr>
            <w:tcW w:type="dxa" w:w="72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5</w:t>
            </w:r>
          </w:p>
        </w:tc>
        <w:tc>
          <w:tcPr>
            <w:tcW w:type="dxa" w:w="748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Conceptualization, Treatment Planning, Progress, and Termination</w:t>
            </w:r>
          </w:p>
        </w:tc>
        <w:tc>
          <w:tcPr>
            <w:tcW w:type="dxa" w:w="23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WB7</w:t>
            </w:r>
          </w:p>
        </w:tc>
      </w:tr>
      <w:tr>
        <w:trPr>
          <w:cantSplit/>
        </w:trPr>
        <w:tc>
          <w:tcPr>
            <w:tcW w:type="dxa" w:w="72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6</w:t>
            </w:r>
          </w:p>
        </w:tc>
        <w:tc>
          <w:tcPr>
            <w:tcW w:type="dxa" w:w="748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Counseling Theories, Core Skills, and Evidence-Based Intervention Fit</w:t>
            </w:r>
          </w:p>
        </w:tc>
        <w:tc>
          <w:tcPr>
            <w:tcW w:type="dxa" w:w="23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WB8, WB9</w:t>
            </w:r>
          </w:p>
        </w:tc>
      </w:tr>
      <w:tr>
        <w:trPr>
          <w:cantSplit/>
        </w:trPr>
        <w:tc>
          <w:tcPr>
            <w:tcW w:type="dxa" w:w="720"/>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7</w:t>
            </w:r>
          </w:p>
        </w:tc>
        <w:tc>
          <w:tcPr>
            <w:tcW w:type="dxa" w:w="7488"/>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Multicultural Practice, Modalities, Collaboration, and California Professional Practice</w:t>
            </w:r>
          </w:p>
        </w:tc>
        <w:tc>
          <w:tcPr>
            <w:tcW w:type="dxa" w:w="2304"/>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WB10, WB11, WB12</w:t>
            </w:r>
          </w:p>
        </w:tc>
      </w:tr>
      <w:tr>
        <w:trPr>
          <w:cantSplit/>
        </w:trPr>
        <w:tc>
          <w:tcPr>
            <w:tcW w:type="dxa" w:w="720"/>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8</w:t>
            </w:r>
          </w:p>
        </w:tc>
        <w:tc>
          <w:tcPr>
            <w:tcW w:type="dxa" w:w="7488"/>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Rationales, Remediation, and Form A/Form B Readiness</w:t>
            </w:r>
          </w:p>
        </w:tc>
        <w:tc>
          <w:tcPr>
            <w:tcW w:type="dxa" w:w="2304"/>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Program-wide</w:t>
            </w:r>
          </w:p>
        </w:tc>
      </w:tr>
    </w:tbl>
    <w:p>
      <w:pPr>
        <w:spacing w:after="0"/>
        <w:keepLines/>
      </w:pPr>
    </w:p>
    <w:p>
      <w:pPr>
        <w:pStyle w:val="Heading2"/>
        <w:keepLines/>
      </w:pPr>
      <w:r>
        <w:rPr>
          <w:rFonts w:ascii="Arial" w:hAnsi="Arial"/>
        </w:rPr>
        <w:t>Progress tracking and study pathways</w:t>
      </w:r>
    </w:p>
    <w:p>
      <w:pPr>
        <w:pStyle w:val="ListBullet"/>
        <w:spacing w:after="60" w:line="250" w:lineRule="auto"/>
        <w:keepLines/>
        <w:keepLines/>
      </w:pPr>
      <w:r>
        <w:rPr>
          <w:rFonts w:ascii="Arial" w:hAnsi="Arial"/>
        </w:rPr>
        <w:t>Baseline self-assessment before Workbook 1; repeated reasoning self-assessments after Workbooks 4, 8, and 12.</w:t>
      </w:r>
    </w:p>
    <w:p>
      <w:pPr>
        <w:pStyle w:val="ListBullet"/>
        <w:spacing w:after="60" w:line="250" w:lineRule="auto"/>
        <w:keepLines/>
        <w:keepLines/>
      </w:pPr>
      <w:r>
        <w:rPr>
          <w:rFonts w:ascii="Arial" w:hAnsi="Arial"/>
        </w:rPr>
        <w:t>Editable progress tracker for completion, bank score, time, confidence, error patterns, remediation action, and completion date.</w:t>
      </w:r>
    </w:p>
    <w:p>
      <w:pPr>
        <w:pStyle w:val="ListBullet"/>
        <w:spacing w:after="60" w:line="250" w:lineRule="auto"/>
        <w:keepLines/>
        <w:keepLines/>
      </w:pPr>
      <w:r>
        <w:rPr>
          <w:rFonts w:ascii="Arial" w:hAnsi="Arial"/>
        </w:rPr>
        <w:t>Error categories: content, case section, task word, sequence, safety/duty, assessment sufficiency, diagnosis, theory/intervention fit, role/scope, culture/context, referral/continuity, and distractor trap.</w:t>
      </w:r>
    </w:p>
    <w:p>
      <w:pPr>
        <w:pStyle w:val="ListBullet"/>
        <w:spacing w:after="60" w:line="250" w:lineRule="auto"/>
        <w:keepLines/>
        <w:keepLines/>
      </w:pPr>
      <w:r>
        <w:rPr>
          <w:rFonts w:ascii="Arial" w:hAnsi="Arial"/>
        </w:rPr>
        <w:t>Evidence-based four-level rating: Not yet demonstrated, Developing, Progressing, Consistent.</w:t>
      </w:r>
    </w:p>
    <w:p>
      <w:pPr>
        <w:pStyle w:val="ListBullet"/>
        <w:spacing w:after="60" w:line="250" w:lineRule="auto"/>
        <w:keepLines/>
        <w:keepLines/>
      </w:pPr>
      <w:r>
        <w:rPr>
          <w:rFonts w:ascii="Arial" w:hAnsi="Arial"/>
        </w:rPr>
        <w:t>Three self-paced routes: intensive 10-week, balanced 14-week, and extended 18-week.</w:t>
      </w:r>
    </w:p>
    <w:p>
      <w:pPr>
        <w:pStyle w:val="ListBullet"/>
        <w:spacing w:after="60" w:line="250" w:lineRule="auto"/>
        <w:keepLines/>
        <w:keepLines/>
      </w:pPr>
      <w:r>
        <w:rPr>
          <w:rFonts w:ascii="Arial" w:hAnsi="Arial"/>
        </w:rPr>
        <w:t>Readiness gates before Form A and Form B; no single CTA score is described as a guaranteed pass predictor.</w:t>
      </w:r>
    </w:p>
    <w:p>
      <w:pPr>
        <w:pStyle w:val="Heading1"/>
        <w:keepLines/>
      </w:pPr>
      <w:r>
        <w:rPr>
          <w:rFonts w:ascii="Arial" w:hAnsi="Arial"/>
        </w:rPr>
        <w:t>10. Development Sequence and Quality Gates</w:t>
      </w:r>
    </w:p>
    <w:p>
      <w:pPr>
        <w:spacing w:before="0" w:after="120" w:line="259" w:lineRule="auto"/>
        <w:keepLines/>
      </w:pPr>
      <w:r>
        <w:rPr>
          <w:rFonts w:ascii="Arial" w:hAnsi="Arial"/>
        </w:rPr>
        <w:t>The individual workbooks should not begin until the master crosswalk and production controls are approved. This prevents later rewriting when questions, media, and simulations are assembled.</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096"/>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Phase</w:t>
            </w:r>
          </w:p>
        </w:tc>
        <w:tc>
          <w:tcPr>
            <w:tcW w:type="dxa" w:w="7416"/>
            <w:shd w:fill="17365D"/>
            <w:tcMar>
              <w:top w:w="95" w:type="dxa"/>
              <w:start w:w="100" w:type="dxa"/>
              <w:bottom w:w="95" w:type="dxa"/>
              <w:end w:w="100" w:type="dxa"/>
            </w:tcMar>
            <w:vAlign w:val="center"/>
            <w:tcBorders>
              <w:top w:val="single" w:sz="6" w:color="000000"/>
              <w:left w:val="single" w:sz="6" w:color="000000"/>
              <w:bottom w:val="single" w:sz="6" w:color="000000"/>
              <w:right w:val="single" w:sz="6" w:color="000000"/>
            </w:tcBorders>
          </w:tcPr>
          <w:p>
            <w:pPr>
              <w:spacing w:after="0"/>
              <w:jc w:val="center"/>
            </w:pPr>
            <w:r>
              <w:rPr>
                <w:rFonts w:ascii="Arial" w:hAnsi="Arial"/>
                <w:b/>
                <w:color w:val="FFFFFF"/>
                <w:sz w:val="17"/>
              </w:rPr>
              <w:t>Required Output</w:t>
            </w:r>
          </w:p>
        </w:tc>
      </w:tr>
      <w:tr>
        <w:trPr>
          <w:cantSplit/>
        </w:trPr>
        <w:tc>
          <w:tcPr>
            <w:tcW w:type="dxa" w:w="309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Phase 1 — Approve curriculum map</w:t>
            </w:r>
          </w:p>
        </w:tc>
        <w:tc>
          <w:tcPr>
            <w:tcW w:type="dxa" w:w="741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Confirm the 12 titles, order, scope boundaries, current/2027 strategy, and controlled deliverables.</w:t>
            </w:r>
          </w:p>
        </w:tc>
      </w:tr>
      <w:tr>
        <w:trPr>
          <w:cantSplit/>
        </w:trPr>
        <w:tc>
          <w:tcPr>
            <w:tcW w:type="dxa" w:w="3096"/>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Phase 2 — Build master content crosswalk</w:t>
            </w:r>
          </w:p>
        </w:tc>
        <w:tc>
          <w:tcPr>
            <w:tcW w:type="dxa" w:w="7416"/>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Map every current NBCC task, every 2027 task, California LPCC scope element, BBS professional-practice overlay, and intended workbook chapter.</w:t>
            </w:r>
          </w:p>
        </w:tc>
      </w:tr>
      <w:tr>
        <w:trPr>
          <w:cantSplit/>
        </w:trPr>
        <w:tc>
          <w:tcPr>
            <w:tcW w:type="dxa" w:w="309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Phase 3 — Create reusable templates</w:t>
            </w:r>
          </w:p>
        </w:tc>
        <w:tc>
          <w:tcPr>
            <w:tcW w:type="dxa" w:w="741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Student workbook, 17-question bank, rationale file, quick reference, flashcards, narration script, source log, item record, and QA checklist.</w:t>
            </w:r>
          </w:p>
        </w:tc>
      </w:tr>
      <w:tr>
        <w:trPr>
          <w:cantSplit/>
        </w:trPr>
        <w:tc>
          <w:tcPr>
            <w:tcW w:type="dxa" w:w="3096"/>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Phase 4 — Develop WB1–WB4</w:t>
            </w:r>
          </w:p>
        </w:tc>
        <w:tc>
          <w:tcPr>
            <w:tcW w:type="dxa" w:w="7416"/>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Establish reasoning, identity/scope, intake/assessment, and crisis/safety foundations.</w:t>
            </w:r>
          </w:p>
        </w:tc>
      </w:tr>
      <w:tr>
        <w:trPr>
          <w:cantSplit/>
        </w:trPr>
        <w:tc>
          <w:tcPr>
            <w:tcW w:type="dxa" w:w="309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Phase 5 — Develop WB5–WB8</w:t>
            </w:r>
          </w:p>
        </w:tc>
        <w:tc>
          <w:tcPr>
            <w:tcW w:type="dxa" w:w="741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Complete diagnosis, planning, theory, alliance, and core skills.</w:t>
            </w:r>
          </w:p>
        </w:tc>
      </w:tr>
      <w:tr>
        <w:trPr>
          <w:cantSplit/>
        </w:trPr>
        <w:tc>
          <w:tcPr>
            <w:tcW w:type="dxa" w:w="3096"/>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Phase 6 — Develop WB9–WB12</w:t>
            </w:r>
          </w:p>
        </w:tc>
        <w:tc>
          <w:tcPr>
            <w:tcW w:type="dxa" w:w="7416"/>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Complete evidence-based intervention, multicultural/contextual work, modalities/collaboration, and California professional practice.</w:t>
            </w:r>
          </w:p>
        </w:tc>
      </w:tr>
      <w:tr>
        <w:trPr>
          <w:cantSplit/>
        </w:trPr>
        <w:tc>
          <w:tcPr>
            <w:tcW w:type="dxa" w:w="309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Phase 7 — Build enhancement collections</w:t>
            </w:r>
          </w:p>
        </w:tc>
        <w:tc>
          <w:tcPr>
            <w:tcW w:type="dxa" w:w="741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Quick references, 132 flashcards, eight audio scripts, and companion video scripts.</w:t>
            </w:r>
          </w:p>
        </w:tc>
      </w:tr>
      <w:tr>
        <w:trPr>
          <w:cantSplit/>
        </w:trPr>
        <w:tc>
          <w:tcPr>
            <w:tcW w:type="dxa" w:w="3096"/>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Phase 8 — Assemble cumulative practice and Form A</w:t>
            </w:r>
          </w:p>
        </w:tc>
        <w:tc>
          <w:tcPr>
            <w:tcW w:type="dxa" w:w="7416"/>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Blueprint audit, item exposure controls, answer distribution, case diversity, and rationale review.</w:t>
            </w:r>
          </w:p>
        </w:tc>
      </w:tr>
      <w:tr>
        <w:trPr>
          <w:cantSplit/>
        </w:trPr>
        <w:tc>
          <w:tcPr>
            <w:tcW w:type="dxa" w:w="309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Phase 9 — Remediation system and Form B</w:t>
            </w:r>
          </w:p>
        </w:tc>
        <w:tc>
          <w:tcPr>
            <w:tcW w:type="dxa" w:w="7416"/>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Create non-overlapping final form and enforce readiness gate.</w:t>
            </w:r>
          </w:p>
        </w:tc>
      </w:tr>
      <w:tr>
        <w:trPr>
          <w:cantSplit/>
        </w:trPr>
        <w:tc>
          <w:tcPr>
            <w:tcW w:type="dxa" w:w="3096"/>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Phase 10 — Publication audit</w:t>
            </w:r>
          </w:p>
        </w:tc>
        <w:tc>
          <w:tcPr>
            <w:tcW w:type="dxa" w:w="7416"/>
            <w:shd w:fill="F2F4F7"/>
            <w:tcMar>
              <w:top w:w="85" w:type="dxa"/>
              <w:start w:w="95" w:type="dxa"/>
              <w:bottom w:w="85" w:type="dxa"/>
              <w:end w:w="95" w:type="dxa"/>
            </w:tcMar>
            <w:vAlign w:val="center"/>
            <w:tcBorders>
              <w:top w:val="single" w:sz="5" w:color="777777"/>
              <w:left w:val="single" w:sz="5" w:color="777777"/>
              <w:bottom w:val="single" w:sz="5" w:color="777777"/>
              <w:right w:val="single" w:sz="5" w:color="777777"/>
            </w:tcBorders>
          </w:tcPr>
          <w:p>
            <w:pPr>
              <w:spacing w:after="0" w:line="240" w:lineRule="auto"/>
            </w:pPr>
            <w:r>
              <w:rPr>
                <w:rFonts w:ascii="Arial" w:hAnsi="Arial"/>
                <w:color w:val="1F2937"/>
                <w:sz w:val="17"/>
              </w:rPr>
              <w:t>Reverify all official sources, accessibility, editing, hyperlinks, version dates, formatting, print usability, LMS behavior, and 2027 transition status.</w:t>
            </w:r>
          </w:p>
        </w:tc>
      </w:tr>
    </w:tbl>
    <w:p>
      <w:pPr>
        <w:spacing w:after="0"/>
        <w:keepLines/>
      </w:pPr>
    </w:p>
    <w:p>
      <w:pPr>
        <w:pStyle w:val="Heading2"/>
        <w:keepLines/>
      </w:pPr>
      <w:r>
        <w:rPr>
          <w:rFonts w:ascii="Arial" w:hAnsi="Arial"/>
        </w:rPr>
        <w:t>Workbook approval gate</w:t>
      </w:r>
    </w:p>
    <w:p>
      <w:pPr>
        <w:pStyle w:val="ListBullet"/>
        <w:spacing w:after="60" w:line="250" w:lineRule="auto"/>
        <w:keepLines/>
        <w:keepLines/>
      </w:pPr>
      <w:r>
        <w:rPr>
          <w:rFonts w:ascii="Arial" w:hAnsi="Arial"/>
        </w:rPr>
        <w:t>Source verification date and official source log are complete.</w:t>
      </w:r>
    </w:p>
    <w:p>
      <w:pPr>
        <w:pStyle w:val="ListBullet"/>
        <w:spacing w:after="60" w:line="250" w:lineRule="auto"/>
        <w:keepLines/>
        <w:keepLines/>
      </w:pPr>
      <w:r>
        <w:rPr>
          <w:rFonts w:ascii="Arial" w:hAnsi="Arial"/>
        </w:rPr>
        <w:t>Learning objectives map to current and 2027 tasks and to California LPCC scope.</w:t>
      </w:r>
    </w:p>
    <w:p>
      <w:pPr>
        <w:pStyle w:val="ListBullet"/>
        <w:spacing w:after="60" w:line="250" w:lineRule="auto"/>
        <w:keepLines/>
        <w:keepLines/>
      </w:pPr>
      <w:r>
        <w:rPr>
          <w:rFonts w:ascii="Arial" w:hAnsi="Arial"/>
        </w:rPr>
        <w:t>Profession-specific distinction from LMFT and LCSW is explicit.</w:t>
      </w:r>
    </w:p>
    <w:p>
      <w:pPr>
        <w:pStyle w:val="ListBullet"/>
        <w:spacing w:after="60" w:line="250" w:lineRule="auto"/>
        <w:keepLines/>
        <w:keepLines/>
      </w:pPr>
      <w:r>
        <w:rPr>
          <w:rFonts w:ascii="Arial" w:hAnsi="Arial"/>
        </w:rPr>
        <w:t>All clinical, legal, diagnostic, and exam-policy claims are supported and within scope.</w:t>
      </w:r>
    </w:p>
    <w:p>
      <w:pPr>
        <w:pStyle w:val="ListBullet"/>
        <w:spacing w:after="60" w:line="250" w:lineRule="auto"/>
        <w:keepLines/>
        <w:keepLines/>
      </w:pPr>
      <w:r>
        <w:rPr>
          <w:rFonts w:ascii="Arial" w:hAnsi="Arial"/>
        </w:rPr>
        <w:t>Case examples include varied ages, identities, settings, presenting concerns, cultures, disability/access factors, and levels of care without stereotyping.</w:t>
      </w:r>
    </w:p>
    <w:p>
      <w:pPr>
        <w:pStyle w:val="ListBullet"/>
        <w:spacing w:after="60" w:line="250" w:lineRule="auto"/>
        <w:keepLines/>
        <w:keepLines/>
      </w:pPr>
      <w:r>
        <w:rPr>
          <w:rFonts w:ascii="Arial" w:hAnsi="Arial"/>
        </w:rPr>
        <w:t>The 17-question bank meets difficulty, question-type, answer-position, rationale, and source-coding controls.</w:t>
      </w:r>
    </w:p>
    <w:p>
      <w:pPr>
        <w:pStyle w:val="ListBullet"/>
        <w:spacing w:after="60" w:line="250" w:lineRule="auto"/>
        <w:keepLines/>
        <w:keepLines/>
      </w:pPr>
      <w:r>
        <w:rPr>
          <w:rFonts w:ascii="Arial" w:hAnsi="Arial"/>
        </w:rPr>
        <w:t>Media script matches the final transcript; no unreviewed claims are added during recording.</w:t>
      </w:r>
    </w:p>
    <w:p>
      <w:pPr>
        <w:pStyle w:val="ListBullet"/>
        <w:spacing w:after="60" w:line="250" w:lineRule="auto"/>
        <w:keepLines/>
        <w:keepLines/>
      </w:pPr>
      <w:r>
        <w:rPr>
          <w:rFonts w:ascii="Arial" w:hAnsi="Arial"/>
        </w:rPr>
        <w:t>Word file passes content, copyediting, accessibility, print, and visual-render QA.</w:t>
      </w:r>
    </w:p>
    <w:p>
      <w:pPr>
        <w:pStyle w:val="Heading2"/>
        <w:keepLines/>
      </w:pPr>
      <w:r>
        <w:rPr>
          <w:rFonts w:ascii="Arial" w:hAnsi="Arial"/>
        </w:rPr>
        <w:t>Program-wide publication warnings</w:t>
      </w:r>
    </w:p>
    <w:tbl>
      <w:tblPr>
        <w:tblW w:type="auto" w:w="0"/>
        <w:jc w:val="center"/>
        <w:tblLayout w:type="autofit"/>
        <w:tblLook w:firstColumn="1" w:firstRow="1" w:lastColumn="0" w:lastRow="0" w:noHBand="0" w:noVBand="1" w:val="04A0"/>
      </w:tblPr>
      <w:tblGrid>
        <w:gridCol w:w="10224"/>
      </w:tblGrid>
      <w:tr>
        <w:trPr>
          <w:cantSplit/>
        </w:trPr>
        <w:tc>
          <w:tcPr>
            <w:tcW w:type="dxa" w:w="10224"/>
            <w:shd w:fill="F8E8C8"/>
            <w:tcBorders>
              <w:top w:val="single" w:sz="10" w:color="C4943D"/>
              <w:left w:val="single" w:sz="10" w:color="C4943D"/>
              <w:bottom w:val="single" w:sz="10" w:color="C4943D"/>
              <w:right w:val="single" w:sz="10" w:color="C4943D"/>
            </w:tcBorders>
            <w:tcMar>
              <w:top w:w="120" w:type="dxa"/>
              <w:start w:w="150" w:type="dxa"/>
              <w:bottom w:w="120" w:type="dxa"/>
              <w:end w:w="150" w:type="dxa"/>
            </w:tcMar>
          </w:tcPr>
          <w:p>
            <w:pPr>
              <w:spacing w:after="80"/>
            </w:pPr>
            <w:r>
              <w:rPr>
                <w:rFonts w:ascii="Arial" w:hAnsi="Arial"/>
                <w:b/>
                <w:color w:val="17365D"/>
                <w:sz w:val="22"/>
              </w:rPr>
              <w:t>Not official and not predictive</w:t>
            </w:r>
          </w:p>
          <w:p>
            <w:pPr>
              <w:spacing w:after="0" w:line="252" w:lineRule="auto"/>
            </w:pPr>
            <w:r>
              <w:rPr>
                <w:rFonts w:ascii="Arial" w:hAnsi="Arial"/>
                <w:color w:val="1F2937"/>
                <w:sz w:val="20"/>
              </w:rPr>
              <w:t>CTA is not affiliated with or endorsed by BBS, NBCC, CCE, or Pearson VUE. The program does not determine eligibility, establish an official passing score, guarantee examination passage, or replace current licensing and candidate materials.</w:t>
            </w:r>
          </w:p>
        </w:tc>
      </w:tr>
    </w:tbl>
    <w:p>
      <w:pPr>
        <w:spacing w:after="0"/>
        <w:keepLines/>
      </w:pPr>
    </w:p>
    <w:tbl>
      <w:tblPr>
        <w:tblW w:type="auto" w:w="0"/>
        <w:jc w:val="center"/>
        <w:tblLayout w:type="autofit"/>
        <w:tblLook w:firstColumn="1" w:firstRow="1" w:lastColumn="0" w:lastRow="0" w:noHBand="0" w:noVBand="1" w:val="04A0"/>
      </w:tblPr>
      <w:tblGrid>
        <w:gridCol w:w="10224"/>
      </w:tblGrid>
      <w:tr>
        <w:trPr>
          <w:cantSplit/>
        </w:trPr>
        <w:tc>
          <w:tcPr>
            <w:tcW w:type="dxa" w:w="10224"/>
            <w:shd w:fill="F7E7E7"/>
            <w:tcBorders>
              <w:top w:val="single" w:sz="10" w:color="9C2F2F"/>
              <w:left w:val="single" w:sz="10" w:color="9C2F2F"/>
              <w:bottom w:val="single" w:sz="10" w:color="9C2F2F"/>
              <w:right w:val="single" w:sz="10" w:color="9C2F2F"/>
            </w:tcBorders>
            <w:tcMar>
              <w:top w:w="120" w:type="dxa"/>
              <w:start w:w="150" w:type="dxa"/>
              <w:bottom w:w="120" w:type="dxa"/>
              <w:end w:w="150" w:type="dxa"/>
            </w:tcMar>
          </w:tcPr>
          <w:p>
            <w:pPr>
              <w:spacing w:after="80"/>
            </w:pPr>
            <w:r>
              <w:rPr>
                <w:rFonts w:ascii="Arial" w:hAnsi="Arial"/>
                <w:b/>
                <w:color w:val="17365D"/>
                <w:sz w:val="22"/>
              </w:rPr>
              <w:t>No examination reconstruction</w:t>
            </w:r>
          </w:p>
          <w:p>
            <w:pPr>
              <w:spacing w:after="0" w:line="252" w:lineRule="auto"/>
            </w:pPr>
            <w:r>
              <w:rPr>
                <w:rFonts w:ascii="Arial" w:hAnsi="Arial"/>
                <w:color w:val="1F2937"/>
                <w:sz w:val="20"/>
              </w:rPr>
              <w:t>All cases and questions must be original. CTA must not solicit, reproduce, or reconstruct confidential examination content from candidate memory or other unauthorized sources.</w:t>
            </w:r>
          </w:p>
        </w:tc>
      </w:tr>
    </w:tbl>
    <w:p>
      <w:pPr>
        <w:spacing w:after="0"/>
        <w:keepLines/>
      </w:pPr>
    </w:p>
    <w:p>
      <w:pPr>
        <w:pStyle w:val="Heading1"/>
        <w:keepLines/>
      </w:pPr>
      <w:r>
        <w:rPr>
          <w:rFonts w:ascii="Arial" w:hAnsi="Arial"/>
        </w:rPr>
        <w:t>11. Official Source and Verification Record</w:t>
      </w:r>
    </w:p>
    <w:p>
      <w:pPr>
        <w:spacing w:before="0" w:after="120" w:line="259" w:lineRule="auto"/>
        <w:keepLines/>
      </w:pPr>
      <w:r>
        <w:rPr>
          <w:rFonts w:ascii="Arial" w:hAnsi="Arial"/>
        </w:rPr>
        <w:t>Verified July 25, 2026. The live source must be rechecked before publication and at every scheduled maintenance review. The attached 2024 handbook was used as a candidate-administration source; the separate NBCC content outline revised October 8, 2025 is the current blueprint source.</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240"/>
            <w:shd w:fill="17365D"/>
            <w:tcMar>
              <w:top w:w="90" w:type="dxa"/>
              <w:start w:w="90" w:type="dxa"/>
              <w:bottom w:w="90" w:type="dxa"/>
              <w:end w:w="90" w:type="dxa"/>
            </w:tcMar>
            <w:tcBorders>
              <w:top w:val="single" w:sz="5" w:color="000000"/>
              <w:left w:val="single" w:sz="5" w:color="000000"/>
              <w:bottom w:val="single" w:sz="5" w:color="000000"/>
              <w:right w:val="single" w:sz="5" w:color="000000"/>
            </w:tcBorders>
          </w:tcPr>
          <w:p>
            <w:pPr>
              <w:spacing w:after="0"/>
              <w:jc w:val="center"/>
            </w:pPr>
            <w:r>
              <w:rPr>
                <w:rFonts w:ascii="Arial" w:hAnsi="Arial"/>
                <w:b/>
                <w:color w:val="FFFFFF"/>
                <w:sz w:val="17"/>
              </w:rPr>
              <w:t>Official Source</w:t>
            </w:r>
          </w:p>
        </w:tc>
        <w:tc>
          <w:tcPr>
            <w:tcW w:type="dxa" w:w="5256"/>
            <w:shd w:fill="17365D"/>
            <w:tcMar>
              <w:top w:w="90" w:type="dxa"/>
              <w:start w:w="90" w:type="dxa"/>
              <w:bottom w:w="90" w:type="dxa"/>
              <w:end w:w="90" w:type="dxa"/>
            </w:tcMar>
            <w:tcBorders>
              <w:top w:val="single" w:sz="5" w:color="000000"/>
              <w:left w:val="single" w:sz="5" w:color="000000"/>
              <w:bottom w:val="single" w:sz="5" w:color="000000"/>
              <w:right w:val="single" w:sz="5" w:color="000000"/>
            </w:tcBorders>
          </w:tcPr>
          <w:p>
            <w:pPr>
              <w:spacing w:after="0"/>
              <w:jc w:val="center"/>
            </w:pPr>
            <w:r>
              <w:rPr>
                <w:rFonts w:ascii="Arial" w:hAnsi="Arial"/>
                <w:b/>
                <w:color w:val="FFFFFF"/>
                <w:sz w:val="17"/>
              </w:rPr>
              <w:t>Primary Use</w:t>
            </w:r>
          </w:p>
        </w:tc>
        <w:tc>
          <w:tcPr>
            <w:tcW w:type="dxa" w:w="2016"/>
            <w:shd w:fill="17365D"/>
            <w:tcMar>
              <w:top w:w="90" w:type="dxa"/>
              <w:start w:w="90" w:type="dxa"/>
              <w:bottom w:w="90" w:type="dxa"/>
              <w:end w:w="90" w:type="dxa"/>
            </w:tcMar>
            <w:tcBorders>
              <w:top w:val="single" w:sz="5" w:color="000000"/>
              <w:left w:val="single" w:sz="5" w:color="000000"/>
              <w:bottom w:val="single" w:sz="5" w:color="000000"/>
              <w:right w:val="single" w:sz="5" w:color="000000"/>
            </w:tcBorders>
          </w:tcPr>
          <w:p>
            <w:pPr>
              <w:spacing w:after="0"/>
              <w:jc w:val="center"/>
            </w:pPr>
            <w:r>
              <w:rPr>
                <w:rFonts w:ascii="Arial" w:hAnsi="Arial"/>
                <w:b/>
                <w:color w:val="FFFFFF"/>
                <w:sz w:val="17"/>
              </w:rPr>
              <w:t>Access</w:t>
            </w:r>
          </w:p>
        </w:tc>
      </w:tr>
      <w:tr>
        <w:trPr>
          <w:cantSplit/>
        </w:trPr>
        <w:tc>
          <w:tcPr>
            <w:tcW w:type="dxa" w:w="3240"/>
            <w:tcMar>
              <w:top w:w="80" w:type="dxa"/>
              <w:start w:w="90" w:type="dxa"/>
              <w:bottom w:w="80" w:type="dxa"/>
              <w:end w:w="90" w:type="dxa"/>
            </w:tcMar>
            <w:tcBorders>
              <w:top w:val="single" w:sz="4" w:color="777777"/>
              <w:left w:val="single" w:sz="4" w:color="777777"/>
              <w:bottom w:val="single" w:sz="4" w:color="777777"/>
              <w:right w:val="single" w:sz="4" w:color="777777"/>
            </w:tcBorders>
          </w:tcPr>
          <w:p>
            <w:pPr>
              <w:spacing w:after="0"/>
            </w:pPr>
            <w:r>
              <w:rPr>
                <w:rFonts w:ascii="Arial" w:hAnsi="Arial"/>
                <w:b/>
                <w:color w:val="1F2937"/>
                <w:sz w:val="17"/>
              </w:rPr>
              <w:t>California BBS — LPCC Clinical Examination</w:t>
            </w:r>
          </w:p>
        </w:tc>
        <w:tc>
          <w:tcPr>
            <w:tcW w:type="dxa" w:w="5256"/>
            <w:tcMar>
              <w:top w:w="80" w:type="dxa"/>
              <w:start w:w="90" w:type="dxa"/>
              <w:bottom w:w="80" w:type="dxa"/>
              <w:end w:w="90" w:type="dxa"/>
            </w:tcMar>
            <w:tcBorders>
              <w:top w:val="single" w:sz="4" w:color="777777"/>
              <w:left w:val="single" w:sz="4" w:color="777777"/>
              <w:bottom w:val="single" w:sz="4" w:color="777777"/>
              <w:right w:val="single" w:sz="4" w:color="777777"/>
            </w:tcBorders>
          </w:tcPr>
          <w:p>
            <w:pPr>
              <w:spacing w:after="0"/>
            </w:pPr>
            <w:r>
              <w:rPr>
                <w:rFonts w:ascii="Arial" w:hAnsi="Arial"/>
                <w:color w:val="1F2937"/>
                <w:sz w:val="17"/>
              </w:rPr>
              <w:t>California pathway, eligibility prerequisite, testing and retest deadlines</w:t>
            </w:r>
          </w:p>
        </w:tc>
        <w:tc>
          <w:tcPr>
            <w:tcW w:type="dxa" w:w="2016"/>
            <w:tcMar>
              <w:top w:w="80" w:type="dxa"/>
              <w:start w:w="90" w:type="dxa"/>
              <w:bottom w:w="80" w:type="dxa"/>
              <w:end w:w="90" w:type="dxa"/>
            </w:tcMar>
            <w:tcBorders>
              <w:top w:val="single" w:sz="4" w:color="777777"/>
              <w:left w:val="single" w:sz="4" w:color="777777"/>
              <w:bottom w:val="single" w:sz="4" w:color="777777"/>
              <w:right w:val="single" w:sz="4" w:color="777777"/>
            </w:tcBorders>
          </w:tcPr>
          <w:p>
            <w:pPr>
              <w:spacing w:after="0"/>
              <w:jc w:val="center"/>
            </w:pPr>
            <w:hyperlink r:id="rId11">
              <w:r>
                <w:rPr>
                  <w:color w:val="159C9C"/>
                  <w:u w:val="single"/>
                  <w:rFonts w:ascii="Arial" w:hAnsi="Arial"/>
                </w:rPr>
                <w:t>Open official source</w:t>
              </w:r>
            </w:hyperlink>
          </w:p>
        </w:tc>
      </w:tr>
      <w:tr>
        <w:trPr>
          <w:cantSplit/>
        </w:trPr>
        <w:tc>
          <w:tcPr>
            <w:tcW w:type="dxa" w:w="3240"/>
            <w:tcMar>
              <w:top w:w="80" w:type="dxa"/>
              <w:start w:w="90" w:type="dxa"/>
              <w:bottom w:w="80" w:type="dxa"/>
              <w:end w:w="90" w:type="dxa"/>
            </w:tcMar>
            <w:shd w:fill="F2F4F7"/>
            <w:tcBorders>
              <w:top w:val="single" w:sz="4" w:color="777777"/>
              <w:left w:val="single" w:sz="4" w:color="777777"/>
              <w:bottom w:val="single" w:sz="4" w:color="777777"/>
              <w:right w:val="single" w:sz="4" w:color="777777"/>
            </w:tcBorders>
          </w:tcPr>
          <w:p>
            <w:pPr>
              <w:spacing w:after="0"/>
            </w:pPr>
            <w:r>
              <w:rPr>
                <w:rFonts w:ascii="Arial" w:hAnsi="Arial"/>
                <w:b/>
                <w:color w:val="1F2937"/>
                <w:sz w:val="17"/>
              </w:rPr>
              <w:t>California BBS — LPCC Applicants</w:t>
            </w:r>
          </w:p>
        </w:tc>
        <w:tc>
          <w:tcPr>
            <w:tcW w:type="dxa" w:w="5256"/>
            <w:tcMar>
              <w:top w:w="80" w:type="dxa"/>
              <w:start w:w="90" w:type="dxa"/>
              <w:bottom w:w="80" w:type="dxa"/>
              <w:end w:w="90" w:type="dxa"/>
            </w:tcMar>
            <w:shd w:fill="F2F4F7"/>
            <w:tcBorders>
              <w:top w:val="single" w:sz="4" w:color="777777"/>
              <w:left w:val="single" w:sz="4" w:color="777777"/>
              <w:bottom w:val="single" w:sz="4" w:color="777777"/>
              <w:right w:val="single" w:sz="4" w:color="777777"/>
            </w:tcBorders>
          </w:tcPr>
          <w:p>
            <w:pPr>
              <w:spacing w:after="0"/>
            </w:pPr>
            <w:r>
              <w:rPr>
                <w:rFonts w:ascii="Arial" w:hAnsi="Arial"/>
                <w:color w:val="1F2937"/>
                <w:sz w:val="17"/>
              </w:rPr>
              <w:t>APCC/LPCC licensure sequence and clinical-exam stage</w:t>
            </w:r>
          </w:p>
        </w:tc>
        <w:tc>
          <w:tcPr>
            <w:tcW w:type="dxa" w:w="2016"/>
            <w:tcMar>
              <w:top w:w="80" w:type="dxa"/>
              <w:start w:w="90" w:type="dxa"/>
              <w:bottom w:w="80" w:type="dxa"/>
              <w:end w:w="90" w:type="dxa"/>
            </w:tcMar>
            <w:shd w:fill="F2F4F7"/>
            <w:tcBorders>
              <w:top w:val="single" w:sz="4" w:color="777777"/>
              <w:left w:val="single" w:sz="4" w:color="777777"/>
              <w:bottom w:val="single" w:sz="4" w:color="777777"/>
              <w:right w:val="single" w:sz="4" w:color="777777"/>
            </w:tcBorders>
          </w:tcPr>
          <w:p>
            <w:pPr>
              <w:spacing w:after="0"/>
              <w:jc w:val="center"/>
            </w:pPr>
            <w:hyperlink r:id="rId12">
              <w:r>
                <w:rPr>
                  <w:color w:val="159C9C"/>
                  <w:u w:val="single"/>
                  <w:rFonts w:ascii="Arial" w:hAnsi="Arial"/>
                </w:rPr>
                <w:t>Open official source</w:t>
              </w:r>
            </w:hyperlink>
          </w:p>
        </w:tc>
      </w:tr>
      <w:tr>
        <w:trPr>
          <w:cantSplit/>
        </w:trPr>
        <w:tc>
          <w:tcPr>
            <w:tcW w:type="dxa" w:w="3240"/>
            <w:tcMar>
              <w:top w:w="80" w:type="dxa"/>
              <w:start w:w="90" w:type="dxa"/>
              <w:bottom w:w="80" w:type="dxa"/>
              <w:end w:w="90" w:type="dxa"/>
            </w:tcMar>
            <w:tcBorders>
              <w:top w:val="single" w:sz="4" w:color="777777"/>
              <w:left w:val="single" w:sz="4" w:color="777777"/>
              <w:bottom w:val="single" w:sz="4" w:color="777777"/>
              <w:right w:val="single" w:sz="4" w:color="777777"/>
            </w:tcBorders>
          </w:tcPr>
          <w:p>
            <w:pPr>
              <w:spacing w:after="0"/>
            </w:pPr>
            <w:r>
              <w:rPr>
                <w:rFonts w:ascii="Arial" w:hAnsi="Arial"/>
                <w:b/>
                <w:color w:val="1F2937"/>
                <w:sz w:val="17"/>
              </w:rPr>
              <w:t>California Legislative Information — BPC §4999.20</w:t>
            </w:r>
          </w:p>
        </w:tc>
        <w:tc>
          <w:tcPr>
            <w:tcW w:type="dxa" w:w="5256"/>
            <w:tcMar>
              <w:top w:w="80" w:type="dxa"/>
              <w:start w:w="90" w:type="dxa"/>
              <w:bottom w:w="80" w:type="dxa"/>
              <w:end w:w="90" w:type="dxa"/>
            </w:tcMar>
            <w:tcBorders>
              <w:top w:val="single" w:sz="4" w:color="777777"/>
              <w:left w:val="single" w:sz="4" w:color="777777"/>
              <w:bottom w:val="single" w:sz="4" w:color="777777"/>
              <w:right w:val="single" w:sz="4" w:color="777777"/>
            </w:tcBorders>
          </w:tcPr>
          <w:p>
            <w:pPr>
              <w:spacing w:after="0"/>
            </w:pPr>
            <w:r>
              <w:rPr>
                <w:rFonts w:ascii="Arial" w:hAnsi="Arial"/>
                <w:color w:val="1F2937"/>
                <w:sz w:val="17"/>
              </w:rPr>
              <w:t>LPCC scope, counseling interventions, assessment boundaries, and referral duty</w:t>
            </w:r>
          </w:p>
        </w:tc>
        <w:tc>
          <w:tcPr>
            <w:tcW w:type="dxa" w:w="2016"/>
            <w:tcMar>
              <w:top w:w="80" w:type="dxa"/>
              <w:start w:w="90" w:type="dxa"/>
              <w:bottom w:w="80" w:type="dxa"/>
              <w:end w:w="90" w:type="dxa"/>
            </w:tcMar>
            <w:tcBorders>
              <w:top w:val="single" w:sz="4" w:color="777777"/>
              <w:left w:val="single" w:sz="4" w:color="777777"/>
              <w:bottom w:val="single" w:sz="4" w:color="777777"/>
              <w:right w:val="single" w:sz="4" w:color="777777"/>
            </w:tcBorders>
          </w:tcPr>
          <w:p>
            <w:pPr>
              <w:spacing w:after="0"/>
              <w:jc w:val="center"/>
            </w:pPr>
            <w:hyperlink r:id="rId13">
              <w:r>
                <w:rPr>
                  <w:color w:val="159C9C"/>
                  <w:u w:val="single"/>
                  <w:rFonts w:ascii="Arial" w:hAnsi="Arial"/>
                </w:rPr>
                <w:t>Open official source</w:t>
              </w:r>
            </w:hyperlink>
          </w:p>
        </w:tc>
      </w:tr>
      <w:tr>
        <w:trPr>
          <w:cantSplit/>
        </w:trPr>
        <w:tc>
          <w:tcPr>
            <w:tcW w:type="dxa" w:w="3240"/>
            <w:tcMar>
              <w:top w:w="80" w:type="dxa"/>
              <w:start w:w="90" w:type="dxa"/>
              <w:bottom w:w="80" w:type="dxa"/>
              <w:end w:w="90" w:type="dxa"/>
            </w:tcMar>
            <w:shd w:fill="F2F4F7"/>
            <w:tcBorders>
              <w:top w:val="single" w:sz="4" w:color="777777"/>
              <w:left w:val="single" w:sz="4" w:color="777777"/>
              <w:bottom w:val="single" w:sz="4" w:color="777777"/>
              <w:right w:val="single" w:sz="4" w:color="777777"/>
            </w:tcBorders>
          </w:tcPr>
          <w:p>
            <w:pPr>
              <w:spacing w:after="0"/>
            </w:pPr>
            <w:r>
              <w:rPr>
                <w:rFonts w:ascii="Arial" w:hAnsi="Arial"/>
                <w:b/>
                <w:color w:val="1F2937"/>
                <w:sz w:val="17"/>
              </w:rPr>
              <w:t>NBCC — NCMHCE Content Outline, revised October 8, 2025</w:t>
            </w:r>
          </w:p>
        </w:tc>
        <w:tc>
          <w:tcPr>
            <w:tcW w:type="dxa" w:w="5256"/>
            <w:tcMar>
              <w:top w:w="80" w:type="dxa"/>
              <w:start w:w="90" w:type="dxa"/>
              <w:bottom w:w="80" w:type="dxa"/>
              <w:end w:w="90" w:type="dxa"/>
            </w:tcMar>
            <w:shd w:fill="F2F4F7"/>
            <w:tcBorders>
              <w:top w:val="single" w:sz="4" w:color="777777"/>
              <w:left w:val="single" w:sz="4" w:color="777777"/>
              <w:bottom w:val="single" w:sz="4" w:color="777777"/>
              <w:right w:val="single" w:sz="4" w:color="777777"/>
            </w:tcBorders>
          </w:tcPr>
          <w:p>
            <w:pPr>
              <w:spacing w:after="0"/>
            </w:pPr>
            <w:r>
              <w:rPr>
                <w:rFonts w:ascii="Arial" w:hAnsi="Arial"/>
                <w:color w:val="1F2937"/>
                <w:sz w:val="17"/>
              </w:rPr>
              <w:t>Current purpose, domains, tasks, weights, case structure, item count, and scoring/equating</w:t>
            </w:r>
          </w:p>
        </w:tc>
        <w:tc>
          <w:tcPr>
            <w:tcW w:type="dxa" w:w="2016"/>
            <w:tcMar>
              <w:top w:w="80" w:type="dxa"/>
              <w:start w:w="90" w:type="dxa"/>
              <w:bottom w:w="80" w:type="dxa"/>
              <w:end w:w="90" w:type="dxa"/>
            </w:tcMar>
            <w:shd w:fill="F2F4F7"/>
            <w:tcBorders>
              <w:top w:val="single" w:sz="4" w:color="777777"/>
              <w:left w:val="single" w:sz="4" w:color="777777"/>
              <w:bottom w:val="single" w:sz="4" w:color="777777"/>
              <w:right w:val="single" w:sz="4" w:color="777777"/>
            </w:tcBorders>
          </w:tcPr>
          <w:p>
            <w:pPr>
              <w:spacing w:after="0"/>
              <w:jc w:val="center"/>
            </w:pPr>
            <w:hyperlink r:id="rId14">
              <w:r>
                <w:rPr>
                  <w:color w:val="159C9C"/>
                  <w:u w:val="single"/>
                  <w:rFonts w:ascii="Arial" w:hAnsi="Arial"/>
                </w:rPr>
                <w:t>Open official source</w:t>
              </w:r>
            </w:hyperlink>
          </w:p>
        </w:tc>
      </w:tr>
      <w:tr>
        <w:trPr>
          <w:cantSplit/>
        </w:trPr>
        <w:tc>
          <w:tcPr>
            <w:tcW w:type="dxa" w:w="3240"/>
            <w:tcMar>
              <w:top w:w="80" w:type="dxa"/>
              <w:start w:w="90" w:type="dxa"/>
              <w:bottom w:w="80" w:type="dxa"/>
              <w:end w:w="90" w:type="dxa"/>
            </w:tcMar>
            <w:tcBorders>
              <w:top w:val="single" w:sz="4" w:color="777777"/>
              <w:left w:val="single" w:sz="4" w:color="777777"/>
              <w:bottom w:val="single" w:sz="4" w:color="777777"/>
              <w:right w:val="single" w:sz="4" w:color="777777"/>
            </w:tcBorders>
          </w:tcPr>
          <w:p>
            <w:pPr>
              <w:spacing w:after="0"/>
            </w:pPr>
            <w:r>
              <w:rPr>
                <w:rFonts w:ascii="Arial" w:hAnsi="Arial"/>
                <w:b/>
                <w:color w:val="1F2937"/>
                <w:sz w:val="17"/>
              </w:rPr>
              <w:t>NBCC — Candidate Handbook for State Licensure, revised September 24, 2024</w:t>
            </w:r>
          </w:p>
        </w:tc>
        <w:tc>
          <w:tcPr>
            <w:tcW w:type="dxa" w:w="5256"/>
            <w:tcMar>
              <w:top w:w="80" w:type="dxa"/>
              <w:start w:w="90" w:type="dxa"/>
              <w:bottom w:w="80" w:type="dxa"/>
              <w:end w:w="90" w:type="dxa"/>
            </w:tcMar>
            <w:tcBorders>
              <w:top w:val="single" w:sz="4" w:color="777777"/>
              <w:left w:val="single" w:sz="4" w:color="777777"/>
              <w:bottom w:val="single" w:sz="4" w:color="777777"/>
              <w:right w:val="single" w:sz="4" w:color="777777"/>
            </w:tcBorders>
          </w:tcPr>
          <w:p>
            <w:pPr>
              <w:spacing w:after="0"/>
            </w:pPr>
            <w:r>
              <w:rPr>
                <w:rFonts w:ascii="Arial" w:hAnsi="Arial"/>
                <w:color w:val="1F2937"/>
                <w:sz w:val="17"/>
              </w:rPr>
              <w:t>Current administration, timing, break, section review rules, Pearson VUE/OnVUE, registration, and score process</w:t>
            </w:r>
          </w:p>
        </w:tc>
        <w:tc>
          <w:tcPr>
            <w:tcW w:type="dxa" w:w="2016"/>
            <w:tcMar>
              <w:top w:w="80" w:type="dxa"/>
              <w:start w:w="90" w:type="dxa"/>
              <w:bottom w:w="80" w:type="dxa"/>
              <w:end w:w="90" w:type="dxa"/>
            </w:tcMar>
            <w:tcBorders>
              <w:top w:val="single" w:sz="4" w:color="777777"/>
              <w:left w:val="single" w:sz="4" w:color="777777"/>
              <w:bottom w:val="single" w:sz="4" w:color="777777"/>
              <w:right w:val="single" w:sz="4" w:color="777777"/>
            </w:tcBorders>
          </w:tcPr>
          <w:p>
            <w:pPr>
              <w:spacing w:after="0"/>
              <w:jc w:val="center"/>
            </w:pPr>
            <w:hyperlink r:id="rId15">
              <w:r>
                <w:rPr>
                  <w:color w:val="159C9C"/>
                  <w:u w:val="single"/>
                  <w:rFonts w:ascii="Arial" w:hAnsi="Arial"/>
                </w:rPr>
                <w:t>Open official source</w:t>
              </w:r>
            </w:hyperlink>
          </w:p>
        </w:tc>
      </w:tr>
      <w:tr>
        <w:trPr>
          <w:cantSplit/>
        </w:trPr>
        <w:tc>
          <w:tcPr>
            <w:tcW w:type="dxa" w:w="3240"/>
            <w:tcMar>
              <w:top w:w="80" w:type="dxa"/>
              <w:start w:w="90" w:type="dxa"/>
              <w:bottom w:w="80" w:type="dxa"/>
              <w:end w:w="90" w:type="dxa"/>
            </w:tcMar>
            <w:shd w:fill="F2F4F7"/>
            <w:tcBorders>
              <w:top w:val="single" w:sz="4" w:color="777777"/>
              <w:left w:val="single" w:sz="4" w:color="777777"/>
              <w:bottom w:val="single" w:sz="4" w:color="777777"/>
              <w:right w:val="single" w:sz="4" w:color="777777"/>
            </w:tcBorders>
          </w:tcPr>
          <w:p>
            <w:pPr>
              <w:spacing w:after="0"/>
            </w:pPr>
            <w:r>
              <w:rPr>
                <w:rFonts w:ascii="Arial" w:hAnsi="Arial"/>
                <w:b/>
                <w:color w:val="1F2937"/>
                <w:sz w:val="17"/>
              </w:rPr>
              <w:t>NBCC — 2027 NCMHCE Examination Specifications</w:t>
            </w:r>
          </w:p>
        </w:tc>
        <w:tc>
          <w:tcPr>
            <w:tcW w:type="dxa" w:w="5256"/>
            <w:tcMar>
              <w:top w:w="80" w:type="dxa"/>
              <w:start w:w="90" w:type="dxa"/>
              <w:bottom w:w="80" w:type="dxa"/>
              <w:end w:w="90" w:type="dxa"/>
            </w:tcMar>
            <w:shd w:fill="F2F4F7"/>
            <w:tcBorders>
              <w:top w:val="single" w:sz="4" w:color="777777"/>
              <w:left w:val="single" w:sz="4" w:color="777777"/>
              <w:bottom w:val="single" w:sz="4" w:color="777777"/>
              <w:right w:val="single" w:sz="4" w:color="777777"/>
            </w:tcBorders>
          </w:tcPr>
          <w:p>
            <w:pPr>
              <w:spacing w:after="0"/>
            </w:pPr>
            <w:r>
              <w:rPr>
                <w:rFonts w:ascii="Arial" w:hAnsi="Arial"/>
                <w:color w:val="1F2937"/>
                <w:sz w:val="17"/>
              </w:rPr>
              <w:t>Blueprint, format, navigation, and score reporting effective July 1, 2027</w:t>
            </w:r>
          </w:p>
        </w:tc>
        <w:tc>
          <w:tcPr>
            <w:tcW w:type="dxa" w:w="2016"/>
            <w:tcMar>
              <w:top w:w="80" w:type="dxa"/>
              <w:start w:w="90" w:type="dxa"/>
              <w:bottom w:w="80" w:type="dxa"/>
              <w:end w:w="90" w:type="dxa"/>
            </w:tcMar>
            <w:shd w:fill="F2F4F7"/>
            <w:tcBorders>
              <w:top w:val="single" w:sz="4" w:color="777777"/>
              <w:left w:val="single" w:sz="4" w:color="777777"/>
              <w:bottom w:val="single" w:sz="4" w:color="777777"/>
              <w:right w:val="single" w:sz="4" w:color="777777"/>
            </w:tcBorders>
          </w:tcPr>
          <w:p>
            <w:pPr>
              <w:spacing w:after="0"/>
              <w:jc w:val="center"/>
            </w:pPr>
            <w:hyperlink r:id="rId16">
              <w:r>
                <w:rPr>
                  <w:color w:val="159C9C"/>
                  <w:u w:val="single"/>
                  <w:rFonts w:ascii="Arial" w:hAnsi="Arial"/>
                </w:rPr>
                <w:t>Open official source</w:t>
              </w:r>
            </w:hyperlink>
          </w:p>
        </w:tc>
      </w:tr>
      <w:tr>
        <w:trPr>
          <w:cantSplit/>
        </w:trPr>
        <w:tc>
          <w:tcPr>
            <w:tcW w:type="dxa" w:w="3240"/>
            <w:tcMar>
              <w:top w:w="80" w:type="dxa"/>
              <w:start w:w="90" w:type="dxa"/>
              <w:bottom w:w="80" w:type="dxa"/>
              <w:end w:w="90" w:type="dxa"/>
            </w:tcMar>
            <w:tcBorders>
              <w:top w:val="single" w:sz="4" w:color="777777"/>
              <w:left w:val="single" w:sz="4" w:color="777777"/>
              <w:bottom w:val="single" w:sz="4" w:color="777777"/>
              <w:right w:val="single" w:sz="4" w:color="777777"/>
            </w:tcBorders>
          </w:tcPr>
          <w:p>
            <w:pPr>
              <w:spacing w:after="0"/>
            </w:pPr>
            <w:r>
              <w:rPr>
                <w:rFonts w:ascii="Arial" w:hAnsi="Arial"/>
                <w:b/>
                <w:color w:val="1F2937"/>
                <w:sz w:val="17"/>
              </w:rPr>
              <w:t>NBCC — NCMHCE landing page</w:t>
            </w:r>
          </w:p>
        </w:tc>
        <w:tc>
          <w:tcPr>
            <w:tcW w:type="dxa" w:w="5256"/>
            <w:tcMar>
              <w:top w:w="80" w:type="dxa"/>
              <w:start w:w="90" w:type="dxa"/>
              <w:bottom w:w="80" w:type="dxa"/>
              <w:end w:w="90" w:type="dxa"/>
            </w:tcMar>
            <w:tcBorders>
              <w:top w:val="single" w:sz="4" w:color="777777"/>
              <w:left w:val="single" w:sz="4" w:color="777777"/>
              <w:bottom w:val="single" w:sz="4" w:color="777777"/>
              <w:right w:val="single" w:sz="4" w:color="777777"/>
            </w:tcBorders>
          </w:tcPr>
          <w:p>
            <w:pPr>
              <w:spacing w:after="0"/>
            </w:pPr>
            <w:r>
              <w:rPr>
                <w:rFonts w:ascii="Arial" w:hAnsi="Arial"/>
                <w:color w:val="1F2937"/>
                <w:sz w:val="17"/>
              </w:rPr>
              <w:t>Current content links and transition notices</w:t>
            </w:r>
          </w:p>
        </w:tc>
        <w:tc>
          <w:tcPr>
            <w:tcW w:type="dxa" w:w="2016"/>
            <w:tcMar>
              <w:top w:w="80" w:type="dxa"/>
              <w:start w:w="90" w:type="dxa"/>
              <w:bottom w:w="80" w:type="dxa"/>
              <w:end w:w="90" w:type="dxa"/>
            </w:tcMar>
            <w:tcBorders>
              <w:top w:val="single" w:sz="4" w:color="777777"/>
              <w:left w:val="single" w:sz="4" w:color="777777"/>
              <w:bottom w:val="single" w:sz="4" w:color="777777"/>
              <w:right w:val="single" w:sz="4" w:color="777777"/>
            </w:tcBorders>
          </w:tcPr>
          <w:p>
            <w:pPr>
              <w:spacing w:after="0"/>
              <w:jc w:val="center"/>
            </w:pPr>
            <w:hyperlink r:id="rId17">
              <w:r>
                <w:rPr>
                  <w:color w:val="159C9C"/>
                  <w:u w:val="single"/>
                  <w:rFonts w:ascii="Arial" w:hAnsi="Arial"/>
                </w:rPr>
                <w:t>Open official source</w:t>
              </w:r>
            </w:hyperlink>
          </w:p>
        </w:tc>
      </w:tr>
      <w:tr>
        <w:trPr>
          <w:cantSplit/>
        </w:trPr>
        <w:tc>
          <w:tcPr>
            <w:tcW w:type="dxa" w:w="3240"/>
            <w:tcMar>
              <w:top w:w="80" w:type="dxa"/>
              <w:start w:w="90" w:type="dxa"/>
              <w:bottom w:w="80" w:type="dxa"/>
              <w:end w:w="90" w:type="dxa"/>
            </w:tcMar>
            <w:shd w:fill="F2F4F7"/>
            <w:tcBorders>
              <w:top w:val="single" w:sz="4" w:color="777777"/>
              <w:left w:val="single" w:sz="4" w:color="777777"/>
              <w:bottom w:val="single" w:sz="4" w:color="777777"/>
              <w:right w:val="single" w:sz="4" w:color="777777"/>
            </w:tcBorders>
          </w:tcPr>
          <w:p>
            <w:pPr>
              <w:spacing w:after="0"/>
            </w:pPr>
            <w:r>
              <w:rPr>
                <w:rFonts w:ascii="Arial" w:hAnsi="Arial"/>
                <w:b/>
                <w:color w:val="1F2937"/>
                <w:sz w:val="17"/>
              </w:rPr>
              <w:t>Pearson VUE — CCE testing</w:t>
            </w:r>
          </w:p>
        </w:tc>
        <w:tc>
          <w:tcPr>
            <w:tcW w:type="dxa" w:w="5256"/>
            <w:tcMar>
              <w:top w:w="80" w:type="dxa"/>
              <w:start w:w="90" w:type="dxa"/>
              <w:bottom w:w="80" w:type="dxa"/>
              <w:end w:w="90" w:type="dxa"/>
            </w:tcMar>
            <w:shd w:fill="F2F4F7"/>
            <w:tcBorders>
              <w:top w:val="single" w:sz="4" w:color="777777"/>
              <w:left w:val="single" w:sz="4" w:color="777777"/>
              <w:bottom w:val="single" w:sz="4" w:color="777777"/>
              <w:right w:val="single" w:sz="4" w:color="777777"/>
            </w:tcBorders>
          </w:tcPr>
          <w:p>
            <w:pPr>
              <w:spacing w:after="0"/>
            </w:pPr>
            <w:r>
              <w:rPr>
                <w:rFonts w:ascii="Arial" w:hAnsi="Arial"/>
                <w:color w:val="1F2937"/>
                <w:sz w:val="17"/>
              </w:rPr>
              <w:t>Scheduling, test delivery, OnVUE, and candidate handbook links</w:t>
            </w:r>
          </w:p>
        </w:tc>
        <w:tc>
          <w:tcPr>
            <w:tcW w:type="dxa" w:w="2016"/>
            <w:tcMar>
              <w:top w:w="80" w:type="dxa"/>
              <w:start w:w="90" w:type="dxa"/>
              <w:bottom w:w="80" w:type="dxa"/>
              <w:end w:w="90" w:type="dxa"/>
            </w:tcMar>
            <w:shd w:fill="F2F4F7"/>
            <w:tcBorders>
              <w:top w:val="single" w:sz="4" w:color="777777"/>
              <w:left w:val="single" w:sz="4" w:color="777777"/>
              <w:bottom w:val="single" w:sz="4" w:color="777777"/>
              <w:right w:val="single" w:sz="4" w:color="777777"/>
            </w:tcBorders>
          </w:tcPr>
          <w:p>
            <w:pPr>
              <w:spacing w:after="0"/>
              <w:jc w:val="center"/>
            </w:pPr>
            <w:hyperlink r:id="rId18">
              <w:r>
                <w:rPr>
                  <w:color w:val="159C9C"/>
                  <w:u w:val="single"/>
                  <w:rFonts w:ascii="Arial" w:hAnsi="Arial"/>
                </w:rPr>
                <w:t>Open official source</w:t>
              </w:r>
            </w:hyperlink>
          </w:p>
        </w:tc>
      </w:tr>
    </w:tbl>
    <w:p>
      <w:pPr>
        <w:pStyle w:val="CTASmall"/>
        <w:spacing w:before="140" w:after="40"/>
        <w:keepLines/>
      </w:pPr>
      <w:r>
        <w:rPr>
          <w:rFonts w:ascii="Arial" w:hAnsi="Arial"/>
          <w:b/>
          <w:color w:val="17365D"/>
          <w:sz w:val="17"/>
        </w:rPr>
        <w:t xml:space="preserve">Attached source reviewed: </w:t>
      </w:r>
      <w:r>
        <w:rPr>
          <w:rFonts w:ascii="Arial" w:hAnsi="Arial"/>
          <w:color w:val="4E5B6B"/>
          <w:sz w:val="17"/>
        </w:rPr>
        <w:t>LPCC Exam Handbook.pdf — Candidate Handbook for State Licensure, NCMHCE, revised September 24, 2024.</w:t>
      </w:r>
    </w:p>
    <w:p>
      <w:pPr>
        <w:pStyle w:val="Heading2"/>
        <w:keepLines/>
      </w:pPr>
      <w:r>
        <w:rPr>
          <w:rFonts w:ascii="Arial" w:hAnsi="Arial"/>
        </w:rPr>
        <w:t>Recommended next development action</w:t>
      </w:r>
    </w:p>
    <w:tbl>
      <w:tblPr>
        <w:tblW w:type="auto" w:w="0"/>
        <w:jc w:val="center"/>
        <w:tblLayout w:type="autofit"/>
        <w:tblLook w:firstColumn="1" w:firstRow="1" w:lastColumn="0" w:lastRow="0" w:noHBand="0" w:noVBand="1" w:val="04A0"/>
      </w:tblPr>
      <w:tblGrid>
        <w:gridCol w:w="10224"/>
      </w:tblGrid>
      <w:tr>
        <w:trPr>
          <w:cantSplit/>
        </w:trPr>
        <w:tc>
          <w:tcPr>
            <w:tcW w:type="dxa" w:w="10224"/>
            <w:shd w:fill="E7F2EA"/>
            <w:tcBorders>
              <w:top w:val="single" w:sz="10" w:color="6B8E70"/>
              <w:left w:val="single" w:sz="10" w:color="6B8E70"/>
              <w:bottom w:val="single" w:sz="10" w:color="6B8E70"/>
              <w:right w:val="single" w:sz="10" w:color="6B8E70"/>
            </w:tcBorders>
            <w:tcMar>
              <w:top w:w="120" w:type="dxa"/>
              <w:start w:w="150" w:type="dxa"/>
              <w:bottom w:w="120" w:type="dxa"/>
              <w:end w:w="150" w:type="dxa"/>
            </w:tcMar>
          </w:tcPr>
          <w:p>
            <w:pPr>
              <w:spacing w:after="80"/>
            </w:pPr>
            <w:r>
              <w:rPr>
                <w:rFonts w:ascii="Arial" w:hAnsi="Arial"/>
                <w:b/>
                <w:color w:val="17365D"/>
                <w:sz w:val="22"/>
              </w:rPr>
              <w:t>Next in sequence</w:t>
            </w:r>
          </w:p>
          <w:p>
            <w:pPr>
              <w:spacing w:after="0" w:line="252" w:lineRule="auto"/>
            </w:pPr>
            <w:r>
              <w:rPr>
                <w:rFonts w:ascii="Arial" w:hAnsi="Arial"/>
                <w:color w:val="1F2937"/>
                <w:sz w:val="20"/>
              </w:rPr>
              <w:t>Create the LPCC Master Blueprint Crosswalk and Content-Control Matrix before drafting Workbook 1. That matrix should list every current NCMHCE task, every 2027 task, California LPCC scope requirement, workbook placement, planned practice coverage, media coverage, and source-verification owner/date.</w:t>
            </w:r>
          </w:p>
        </w:tc>
      </w:tr>
    </w:tbl>
    <w:p>
      <w:pPr>
        <w:spacing w:after="0"/>
        <w:keepLines/>
      </w:pPr>
    </w:p>
    <w:p>
      <w:pPr>
        <w:spacing w:before="360" w:after="0"/>
        <w:jc w:val="center"/>
        <w:keepLines/>
      </w:pPr>
      <w:r>
        <w:rPr>
          <w:rFonts w:ascii="Arial" w:hAnsi="Arial"/>
          <w:b/>
          <w:color w:val="159C9C"/>
          <w:sz w:val="19"/>
        </w:rPr>
        <w:t>END OF CURRICULUM MAP</w:t>
      </w:r>
    </w:p>
    <w:sectPr w:rsidR="00FC693F" w:rsidRPr="0006063C" w:rsidSect="00034616">
      <w:headerReference w:type="default" r:id="rId9"/>
      <w:footerReference w:type="default" r:id="rId10"/>
      <w:pgSz w:w="12240" w:h="15840"/>
      <w:pgMar w:top="893"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E5B6B"/>
        <w:sz w:val="18"/>
      </w:rPr>
      <w:t xml:space="preserve">Clinical Training Academy  |  </w:t>
    </w:r>
    <w:r>
      <w:rPr>
        <w:rFonts w:ascii="Arial" w:hAnsi="Arial"/>
        <w:color w:val="4E5B6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159C9C"/>
        <w:sz w:val="19"/>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59C9C"/>
      <w:sz w:val="29"/>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rial" w:hAnsi="Arial"/>
      <w:b/>
      <w:i/>
      <w:iCs/>
      <w:color w:val="159C9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rial" w:hAnsi="Arial"/>
      <w:color w:val="4E5B6B"/>
      <w:sz w:val="17"/>
    </w:rPr>
  </w:style>
  <w:style w:type="paragraph" w:customStyle="1" w:styleId="CTATableNote">
    <w:name w:val="CTA Table Note"/>
    <w:rPr>
      <w:rFonts w:ascii="Arial" w:hAnsi="Arial"/>
      <w:color w:val="4E5B6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bs.ca.gov/exams/lpcc.html" TargetMode="External"/><Relationship Id="rId12" Type="http://schemas.openxmlformats.org/officeDocument/2006/relationships/hyperlink" Target="https://www.bbs.ca.gov/applicants/lpcc.html" TargetMode="External"/><Relationship Id="rId13" Type="http://schemas.openxmlformats.org/officeDocument/2006/relationships/hyperlink" Target="https://leginfo.legislature.ca.gov/faces/codes_displaySection.xhtml?lawCode=BPC&amp;sectionNum=4999.20." TargetMode="External"/><Relationship Id="rId14" Type="http://schemas.openxmlformats.org/officeDocument/2006/relationships/hyperlink" Target="https://www.nbcc.org/assets/exam/ncmhce_content_outline.pdf" TargetMode="External"/><Relationship Id="rId15" Type="http://schemas.openxmlformats.org/officeDocument/2006/relationships/hyperlink" Target="https://www.nbcc.org/assets/exam/handbooks/ncmhce.pdf" TargetMode="External"/><Relationship Id="rId16" Type="http://schemas.openxmlformats.org/officeDocument/2006/relationships/hyperlink" Target="https://www.nbcc.org/assets/exam/NCMHCE_exam_spec_2027.pdf" TargetMode="External"/><Relationship Id="rId17" Type="http://schemas.openxmlformats.org/officeDocument/2006/relationships/hyperlink" Target="https://www.nbcc.org/exams/ncmhce/" TargetMode="External"/><Relationship Id="rId18" Type="http://schemas.openxmlformats.org/officeDocument/2006/relationships/hyperlink" Target="https://www.pearsonvue.com/us/en/c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Exam Preparation Research and 12-Workbook Curriculum Map</dc:title>
  <dc:subject>California LPCC NCMHCE exam verification and proposed curriculum architecture</dc:subject>
  <dc:creator>Clinical Training Academy</dc:creator>
  <cp:keywords>LPCC, APCC, NCMHCE, California, exam preparation, curriculum map</cp:keywords>
  <dc:description>Editable curriculum-development planning resource. Verified July 25, 2026.</dc:description>
  <cp:lastModifiedBy/>
  <cp:revision>1</cp:revision>
  <dcterms:created xsi:type="dcterms:W3CDTF">2013-12-23T23:15:00Z</dcterms:created>
  <dcterms:modified xsi:type="dcterms:W3CDTF">2013-12-23T23:15:00Z</dcterms:modified>
  <cp:category/>
</cp:coreProperties>
</file>