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80"/>
        <w:jc w:val="center"/>
      </w:pPr>
      <w:r>
        <w:drawing>
          <wp:inline xmlns:a="http://schemas.openxmlformats.org/drawingml/2006/main" xmlns:pic="http://schemas.openxmlformats.org/drawingml/2006/picture">
            <wp:extent cx="4389120" cy="991648"/>
            <wp:docPr id="1" name="Picture 1" title="Clinical Training Academy logo" descr="Clinical Training Academy horizontal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89120" cy="991648"/>
                    </a:xfrm>
                    <a:prstGeom prst="rect"/>
                  </pic:spPr>
                </pic:pic>
              </a:graphicData>
            </a:graphic>
          </wp:inline>
        </w:drawing>
      </w:r>
    </w:p>
    <w:p>
      <w:pPr>
        <w:spacing w:after="120"/>
        <w:jc w:val="center"/>
        <w:pBdr>
          <w:bottom w:val="single" w:sz="14" w:space="1" w:color="4F81BD"/>
        </w:pBdr>
      </w:pPr>
      <w:r>
        <w:rPr>
          <w:rFonts w:ascii="Arial" w:hAnsi="Arial"/>
          <w:b/>
          <w:color w:val="17365D"/>
          <w:sz w:val="46"/>
        </w:rPr>
        <w:t>LPCC California Clinical Exam Preparation Program</w:t>
      </w:r>
    </w:p>
    <w:p>
      <w:pPr>
        <w:spacing w:before="160" w:after="160"/>
        <w:jc w:val="center"/>
      </w:pPr>
      <w:r>
        <w:rPr>
          <w:rFonts w:ascii="Arial" w:hAnsi="Arial"/>
          <w:b/>
          <w:i/>
          <w:color w:val="159C9C"/>
          <w:sz w:val="32"/>
        </w:rPr>
        <w:t>Master Blueprint Crosswalk and Content-Control Matrix</w:t>
      </w:r>
    </w:p>
    <w:p>
      <w:pPr>
        <w:spacing w:after="520"/>
        <w:jc w:val="center"/>
      </w:pPr>
      <w:r>
        <w:rPr>
          <w:rFonts w:ascii="Arial" w:hAnsi="Arial"/>
          <w:color w:val="1F2937"/>
          <w:sz w:val="22"/>
        </w:rPr>
        <w:t>Version 1.0  |  Verified July 26, 2026</w:t>
      </w:r>
    </w:p>
    <w:tbl>
      <w:tblPr>
        <w:tblW w:type="auto" w:w="0"/>
        <w:jc w:val="center"/>
        <w:tblLook w:firstColumn="1" w:firstRow="1" w:lastColumn="0" w:lastRow="0" w:noHBand="0" w:noVBand="1" w:val="04A0"/>
      </w:tblPr>
      <w:tblGrid>
        <w:gridCol w:w="10454"/>
      </w:tblGrid>
      <w:tr>
        <w:trPr>
          <w:cantSplit/>
          <w:tblHeader w:val="true"/>
        </w:trPr>
        <w:tc>
          <w:tcPr>
            <w:tcW w:type="dxa" w:w="10454"/>
            <w:shd w:fill="EAF0F7"/>
            <w:tcBorders>
              <w:top w:val="single" w:sz="8" w:color="4F81BD"/>
              <w:left w:val="single" w:sz="8" w:color="4F81BD"/>
              <w:bottom w:val="single" w:sz="8" w:color="4F81BD"/>
              <w:right w:val="single" w:sz="8" w:color="4F81BD"/>
            </w:tcBorders>
            <w:tcMar>
              <w:top w:w="110" w:type="dxa"/>
              <w:start w:w="135" w:type="dxa"/>
              <w:bottom w:w="110" w:type="dxa"/>
              <w:end w:w="135" w:type="dxa"/>
            </w:tcMar>
          </w:tcPr>
          <w:p>
            <w:pPr>
              <w:spacing w:after="60"/>
            </w:pPr>
            <w:r>
              <w:rPr>
                <w:rFonts w:ascii="Arial" w:hAnsi="Arial"/>
                <w:b/>
                <w:color w:val="17365D"/>
                <w:sz w:val="21"/>
              </w:rPr>
              <w:t>PURPOSE</w:t>
            </w:r>
          </w:p>
          <w:p>
            <w:pPr>
              <w:spacing w:after="0" w:line="250" w:lineRule="auto"/>
            </w:pPr>
            <w:r>
              <w:rPr>
                <w:rFonts w:ascii="Arial" w:hAnsi="Arial"/>
                <w:color w:val="1F2937"/>
                <w:sz w:val="19"/>
              </w:rPr>
              <w:t>Control every workbook, practice item, multimedia asset, quick-reference tool, and comprehensive simulation before individual workbook drafting begins.</w:t>
            </w:r>
          </w:p>
        </w:tc>
      </w:tr>
    </w:tbl>
    <w:p>
      <w:pPr>
        <w:spacing w:after="0"/>
      </w:pPr>
    </w:p>
    <w:p>
      <w:pPr>
        <w:spacing w:before="840" w:after="80"/>
        <w:jc w:val="center"/>
      </w:pPr>
      <w:r>
        <w:rPr>
          <w:rFonts w:ascii="Arial" w:hAnsi="Arial"/>
          <w:b/>
          <w:color w:val="17365D"/>
          <w:sz w:val="22"/>
        </w:rPr>
        <w:t>INTERNAL CURRICULUM DEVELOPMENT RESOURCE</w:t>
      </w:r>
    </w:p>
    <w:p>
      <w:pPr>
        <w:spacing w:after="100"/>
        <w:jc w:val="center"/>
      </w:pPr>
      <w:r>
        <w:rPr>
          <w:rFonts w:ascii="Arial" w:hAnsi="Arial"/>
          <w:i/>
          <w:color w:val="4E5B6B"/>
          <w:sz w:val="19"/>
        </w:rPr>
        <w:t>Current NCMHCE release controls plus a planned conversion for specifications effective July 1, 2027</w:t>
      </w:r>
    </w:p>
    <w:p>
      <w:pPr>
        <w:jc w:val="center"/>
      </w:pPr>
      <w:r>
        <w:rPr>
          <w:rFonts w:ascii="Arial" w:hAnsi="Arial"/>
          <w:b/>
          <w:color w:val="159C9C"/>
          <w:sz w:val="19"/>
        </w:rPr>
        <w:t>Editable Word deliverable  |  No PDF included</w:t>
      </w:r>
    </w:p>
    <w:p>
      <w:r>
        <w:br w:type="page"/>
      </w:r>
    </w:p>
    <w:p>
      <w:pPr>
        <w:pStyle w:val="Heading1"/>
      </w:pPr>
      <w:r>
        <w:t>Document Map</w:t>
      </w:r>
    </w:p>
    <w:p>
      <w:pPr>
        <w:spacing w:after="60"/>
      </w:pPr>
      <w:r>
        <w:rPr>
          <w:rFonts w:ascii="Arial" w:hAnsi="Arial"/>
          <w:b/>
          <w:color w:val="159C9C"/>
        </w:rPr>
        <w:t xml:space="preserve">1.  </w:t>
      </w:r>
      <w:r>
        <w:rPr>
          <w:rFonts w:ascii="Arial" w:hAnsi="Arial"/>
        </w:rPr>
        <w:t>Governance, source precedence, and verification controls</w:t>
      </w:r>
    </w:p>
    <w:p>
      <w:pPr>
        <w:spacing w:after="60"/>
      </w:pPr>
      <w:r>
        <w:rPr>
          <w:rFonts w:ascii="Arial" w:hAnsi="Arial"/>
          <w:b/>
          <w:color w:val="159C9C"/>
        </w:rPr>
        <w:t xml:space="preserve">2.  </w:t>
      </w:r>
      <w:r>
        <w:rPr>
          <w:rFonts w:ascii="Arial" w:hAnsi="Arial"/>
        </w:rPr>
        <w:t>Blueprint architecture and current-to-2027 bridge</w:t>
      </w:r>
    </w:p>
    <w:p>
      <w:pPr>
        <w:spacing w:after="60"/>
      </w:pPr>
      <w:r>
        <w:rPr>
          <w:rFonts w:ascii="Arial" w:hAnsi="Arial"/>
          <w:b/>
          <w:color w:val="159C9C"/>
        </w:rPr>
        <w:t xml:space="preserve">3.  </w:t>
      </w:r>
      <w:r>
        <w:rPr>
          <w:rFonts w:ascii="Arial" w:hAnsi="Arial"/>
        </w:rPr>
        <w:t>Twelve-workbook chapter-level content architecture</w:t>
      </w:r>
    </w:p>
    <w:p>
      <w:pPr>
        <w:spacing w:after="60"/>
      </w:pPr>
      <w:r>
        <w:rPr>
          <w:rFonts w:ascii="Arial" w:hAnsi="Arial"/>
          <w:b/>
          <w:color w:val="159C9C"/>
        </w:rPr>
        <w:t xml:space="preserve">4.  </w:t>
      </w:r>
      <w:r>
        <w:rPr>
          <w:rFonts w:ascii="Arial" w:hAnsi="Arial"/>
        </w:rPr>
        <w:t>California LPCC scope and professional-practice overlay</w:t>
      </w:r>
    </w:p>
    <w:p>
      <w:pPr>
        <w:spacing w:after="60"/>
      </w:pPr>
      <w:r>
        <w:rPr>
          <w:rFonts w:ascii="Arial" w:hAnsi="Arial"/>
          <w:b/>
          <w:color w:val="159C9C"/>
        </w:rPr>
        <w:t xml:space="preserve">5.  </w:t>
      </w:r>
      <w:r>
        <w:rPr>
          <w:rFonts w:ascii="Arial" w:hAnsi="Arial"/>
        </w:rPr>
        <w:t>Current NCMHCE task and presenting-concern matrix</w:t>
      </w:r>
    </w:p>
    <w:p>
      <w:pPr>
        <w:spacing w:after="60"/>
      </w:pPr>
      <w:r>
        <w:rPr>
          <w:rFonts w:ascii="Arial" w:hAnsi="Arial"/>
          <w:b/>
          <w:color w:val="159C9C"/>
        </w:rPr>
        <w:t xml:space="preserve">6.  </w:t>
      </w:r>
      <w:r>
        <w:rPr>
          <w:rFonts w:ascii="Arial" w:hAnsi="Arial"/>
        </w:rPr>
        <w:t>July 1, 2027 task and supplemental-content matrix</w:t>
      </w:r>
    </w:p>
    <w:p>
      <w:pPr>
        <w:spacing w:after="60"/>
      </w:pPr>
      <w:r>
        <w:rPr>
          <w:rFonts w:ascii="Arial" w:hAnsi="Arial"/>
          <w:b/>
          <w:color w:val="159C9C"/>
        </w:rPr>
        <w:t xml:space="preserve">7.  </w:t>
      </w:r>
      <w:r>
        <w:rPr>
          <w:rFonts w:ascii="Arial" w:hAnsi="Arial"/>
        </w:rPr>
        <w:t>Practice-bank, cumulative-practice, media, and simulation controls</w:t>
      </w:r>
    </w:p>
    <w:p>
      <w:pPr>
        <w:spacing w:after="60"/>
      </w:pPr>
      <w:r>
        <w:rPr>
          <w:rFonts w:ascii="Arial" w:hAnsi="Arial"/>
          <w:b/>
          <w:color w:val="159C9C"/>
        </w:rPr>
        <w:t xml:space="preserve">8.  </w:t>
      </w:r>
      <w:r>
        <w:rPr>
          <w:rFonts w:ascii="Arial" w:hAnsi="Arial"/>
        </w:rPr>
        <w:t>Coverage audit, release gates, and maintenance log</w:t>
      </w:r>
    </w:p>
    <w:tbl>
      <w:tblPr>
        <w:tblW w:type="auto" w:w="0"/>
        <w:jc w:val="center"/>
        <w:tblLook w:firstColumn="1" w:firstRow="1" w:lastColumn="0" w:lastRow="0" w:noHBand="0" w:noVBand="1" w:val="04A0"/>
      </w:tblPr>
      <w:tblGrid>
        <w:gridCol w:w="10454"/>
      </w:tblGrid>
      <w:tr>
        <w:trPr>
          <w:cantSplit/>
          <w:tblHeader w:val="true"/>
        </w:trPr>
        <w:tc>
          <w:tcPr>
            <w:tcW w:type="dxa" w:w="10454"/>
            <w:shd w:fill="E7F2EA"/>
            <w:tcBorders>
              <w:top w:val="single" w:sz="8" w:color="6B8E70"/>
              <w:left w:val="single" w:sz="8" w:color="6B8E70"/>
              <w:bottom w:val="single" w:sz="8" w:color="6B8E70"/>
              <w:right w:val="single" w:sz="8" w:color="6B8E70"/>
            </w:tcBorders>
            <w:tcMar>
              <w:top w:w="110" w:type="dxa"/>
              <w:start w:w="135" w:type="dxa"/>
              <w:bottom w:w="110" w:type="dxa"/>
              <w:end w:w="135" w:type="dxa"/>
            </w:tcMar>
          </w:tcPr>
          <w:p>
            <w:pPr>
              <w:spacing w:after="60"/>
            </w:pPr>
            <w:r>
              <w:rPr>
                <w:rFonts w:ascii="Arial" w:hAnsi="Arial"/>
                <w:b/>
                <w:color w:val="17365D"/>
                <w:sz w:val="21"/>
              </w:rPr>
              <w:t>Approval boundary</w:t>
            </w:r>
          </w:p>
          <w:p>
            <w:pPr>
              <w:spacing w:after="0" w:line="250" w:lineRule="auto"/>
            </w:pPr>
            <w:r>
              <w:rPr>
                <w:rFonts w:ascii="Arial" w:hAnsi="Arial"/>
                <w:color w:val="1F2937"/>
                <w:sz w:val="19"/>
              </w:rPr>
              <w:t>This matrix controls the content system. It does not draft student-facing workbook prose or examination items. Workbook 1 should begin only after the workbook titles, chapter placements, coding system, and source hierarchy are approved.</w:t>
            </w:r>
          </w:p>
        </w:tc>
      </w:tr>
    </w:tbl>
    <w:p>
      <w:pPr>
        <w:spacing w:after="0"/>
      </w:pPr>
    </w:p>
    <w:p>
      <w:pPr>
        <w:pStyle w:val="Heading1"/>
      </w:pPr>
      <w:r>
        <w:t>1. Governance and Source Precedence</w:t>
      </w:r>
    </w:p>
    <w:p>
      <w:pPr>
        <w:spacing w:before="0" w:after="100" w:line="252" w:lineRule="auto"/>
      </w:pPr>
      <w:r>
        <w:rPr>
          <w:rFonts w:ascii="Arial" w:hAnsi="Arial"/>
        </w:rPr>
        <w:t>The LPCC program uses the completed CTA LMFT and LCSW programs as structural references, while the official NCMHCE sources and California LPCC law control content. Each row in this document uses a concise CTA paraphrase; the official source remains the controlling wording.</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37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8"/>
              </w:rPr>
              <w:t>Precedence</w:t>
            </w:r>
          </w:p>
        </w:tc>
        <w:tc>
          <w:tcPr>
            <w:tcW w:type="dxa" w:w="80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8"/>
              </w:rPr>
              <w:t>Control Rule</w:t>
            </w:r>
          </w:p>
        </w:tc>
      </w:tr>
      <w:tr>
        <w:trPr>
          <w:cantSplit/>
        </w:trPr>
        <w:tc>
          <w:tcPr>
            <w:tcW w:type="dxa" w:w="237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1 — Controlling external</w:t>
            </w:r>
          </w:p>
        </w:tc>
        <w:tc>
          <w:tcPr>
            <w:tcW w:type="dxa" w:w="80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California BBS/California law for eligibility and LPCC scope; NBCC for NCMHCE format, domains, tasks, and scoring.</w:t>
            </w:r>
          </w:p>
        </w:tc>
      </w:tr>
      <w:tr>
        <w:trPr>
          <w:cantSplit/>
        </w:trPr>
        <w:tc>
          <w:tcPr>
            <w:tcW w:type="dxa" w:w="237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8"/>
              </w:rPr>
              <w:t>2 — Program-specific CTA</w:t>
            </w:r>
          </w:p>
        </w:tc>
        <w:tc>
          <w:tcPr>
            <w:tcW w:type="dxa" w:w="80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8"/>
              </w:rPr>
              <w:t>LPCC curriculum map and the revised 17-question bank/comprehensive-exam production standard.</w:t>
            </w:r>
          </w:p>
        </w:tc>
      </w:tr>
      <w:tr>
        <w:trPr>
          <w:cantSplit/>
        </w:trPr>
        <w:tc>
          <w:tcPr>
            <w:tcW w:type="dxa" w:w="237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3 — General CTA</w:t>
            </w:r>
          </w:p>
        </w:tc>
        <w:tc>
          <w:tcPr>
            <w:tcW w:type="dxa" w:w="80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Course-development and exam-preparation writing standards.</w:t>
            </w:r>
          </w:p>
        </w:tc>
      </w:tr>
      <w:tr>
        <w:trPr>
          <w:cantSplit/>
        </w:trPr>
        <w:tc>
          <w:tcPr>
            <w:tcW w:type="dxa" w:w="237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8"/>
              </w:rPr>
              <w:t>4 — Structural examples</w:t>
            </w:r>
          </w:p>
        </w:tc>
        <w:tc>
          <w:tcPr>
            <w:tcW w:type="dxa" w:w="80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8"/>
              </w:rPr>
              <w:t>Completed LMFT/LCSW resources; use for workflow, formatting, and student experience—not profession-specific content.</w:t>
            </w:r>
          </w:p>
        </w:tc>
      </w:tr>
      <w:tr>
        <w:trPr>
          <w:cantSplit/>
        </w:trPr>
        <w:tc>
          <w:tcPr>
            <w:tcW w:type="dxa" w:w="237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5 — Administrative only</w:t>
            </w:r>
          </w:p>
        </w:tc>
        <w:tc>
          <w:tcPr>
            <w:tcW w:type="dxa" w:w="80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Pearson VUE scheduling and delivery pages; never substitute a vendor summary for the current NBCC blueprint or candidate handbook.</w:t>
            </w:r>
          </w:p>
        </w:tc>
      </w:tr>
    </w:tbl>
    <w:p>
      <w:pPr>
        <w:spacing w:after="0"/>
      </w:pPr>
    </w:p>
    <w:tbl>
      <w:tblPr>
        <w:tblW w:type="auto" w:w="0"/>
        <w:jc w:val="center"/>
        <w:tblLook w:firstColumn="1" w:firstRow="1" w:lastColumn="0" w:lastRow="0" w:noHBand="0" w:noVBand="1" w:val="04A0"/>
      </w:tblPr>
      <w:tblGrid>
        <w:gridCol w:w="10454"/>
      </w:tblGrid>
      <w:tr>
        <w:trPr>
          <w:cantSplit/>
          <w:tblHeader w:val="true"/>
        </w:trPr>
        <w:tc>
          <w:tcPr>
            <w:tcW w:type="dxa" w:w="10454"/>
            <w:shd w:fill="F8E8C8"/>
            <w:tcBorders>
              <w:top w:val="single" w:sz="8" w:color="C4943D"/>
              <w:left w:val="single" w:sz="8" w:color="C4943D"/>
              <w:bottom w:val="single" w:sz="8" w:color="C4943D"/>
              <w:right w:val="single" w:sz="8" w:color="C4943D"/>
            </w:tcBorders>
            <w:tcMar>
              <w:top w:w="110" w:type="dxa"/>
              <w:start w:w="135" w:type="dxa"/>
              <w:bottom w:w="110" w:type="dxa"/>
              <w:end w:w="135" w:type="dxa"/>
            </w:tcMar>
          </w:tcPr>
          <w:p>
            <w:pPr>
              <w:spacing w:after="60"/>
            </w:pPr>
            <w:r>
              <w:rPr>
                <w:rFonts w:ascii="Arial" w:hAnsi="Arial"/>
                <w:b/>
                <w:color w:val="17365D"/>
                <w:sz w:val="21"/>
              </w:rPr>
              <w:t>Resolved internal standard conflict</w:t>
            </w:r>
          </w:p>
          <w:p>
            <w:pPr>
              <w:spacing w:after="0" w:line="250" w:lineRule="auto"/>
            </w:pPr>
            <w:r>
              <w:rPr>
                <w:rFonts w:ascii="Arial" w:hAnsi="Arial"/>
                <w:color w:val="1F2937"/>
                <w:sz w:val="19"/>
              </w:rPr>
              <w:t>The newer CTA production standard requiring one focused 17-question bank per workbook supersedes the older general assumption of a 50-question workbook examination for these clinical exam-preparation programs. Each LPCC bank will use one 12-question, three-part mini case plus five targeted items.</w:t>
            </w:r>
          </w:p>
        </w:tc>
      </w:tr>
    </w:tbl>
    <w:p>
      <w:pPr>
        <w:spacing w:after="0"/>
      </w:pPr>
    </w:p>
    <w:tbl>
      <w:tblPr>
        <w:tblW w:type="auto" w:w="0"/>
        <w:jc w:val="center"/>
        <w:tblLook w:firstColumn="1" w:firstRow="1" w:lastColumn="0" w:lastRow="0" w:noHBand="0" w:noVBand="1" w:val="04A0"/>
      </w:tblPr>
      <w:tblGrid>
        <w:gridCol w:w="10454"/>
      </w:tblGrid>
      <w:tr>
        <w:trPr>
          <w:cantSplit/>
          <w:tblHeader w:val="true"/>
        </w:trPr>
        <w:tc>
          <w:tcPr>
            <w:tcW w:type="dxa" w:w="10454"/>
            <w:shd w:fill="F8E8C8"/>
            <w:tcBorders>
              <w:top w:val="single" w:sz="8" w:color="C4943D"/>
              <w:left w:val="single" w:sz="8" w:color="C4943D"/>
              <w:bottom w:val="single" w:sz="8" w:color="C4943D"/>
              <w:right w:val="single" w:sz="8" w:color="C4943D"/>
            </w:tcBorders>
            <w:tcMar>
              <w:top w:w="110" w:type="dxa"/>
              <w:start w:w="135" w:type="dxa"/>
              <w:bottom w:w="110" w:type="dxa"/>
              <w:end w:w="135" w:type="dxa"/>
            </w:tcMar>
          </w:tcPr>
          <w:p>
            <w:pPr>
              <w:spacing w:after="60"/>
            </w:pPr>
            <w:r>
              <w:rPr>
                <w:rFonts w:ascii="Arial" w:hAnsi="Arial"/>
                <w:b/>
                <w:color w:val="17365D"/>
                <w:sz w:val="21"/>
              </w:rPr>
              <w:t>External source-watch issue</w:t>
            </w:r>
          </w:p>
          <w:p>
            <w:pPr>
              <w:spacing w:after="0" w:line="250" w:lineRule="auto"/>
            </w:pPr>
            <w:r>
              <w:rPr>
                <w:rFonts w:ascii="Arial" w:hAnsi="Arial"/>
                <w:color w:val="1F2937"/>
                <w:sz w:val="19"/>
              </w:rPr>
              <w:t>Pearson VUE’s NBCC landing page currently summarizes a 10-simulation, three-hour NCMHCE, while NBCC identifies the 10-case specifications as effective July 1, 2027 and the current state-licensure handbook still governs the 11-case, 225-minute format. Until NBCC issues an effective-date change, CTA will use the NBCC handbook/content outline for current forms and treat Pearson’s summary as a maintenance alert.</w:t>
            </w:r>
          </w:p>
        </w:tc>
      </w:tr>
    </w:tbl>
    <w:p>
      <w:pPr>
        <w:spacing w:after="0"/>
      </w:pPr>
    </w:p>
    <w:p>
      <w:pPr>
        <w:pStyle w:val="Heading2"/>
      </w:pPr>
      <w:r>
        <w:t>Source Verification and Ownership Log</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trPr>
        <w:tc>
          <w:tcPr>
            <w:tcW w:type="dxa" w:w="605"/>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ID</w:t>
            </w:r>
          </w:p>
        </w:tc>
        <w:tc>
          <w:tcPr>
            <w:tcW w:type="dxa" w:w="295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Controlled Source</w:t>
            </w:r>
          </w:p>
        </w:tc>
        <w:tc>
          <w:tcPr>
            <w:tcW w:type="dxa" w:w="352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Controls</w:t>
            </w:r>
          </w:p>
        </w:tc>
        <w:tc>
          <w:tcPr>
            <w:tcW w:type="dxa" w:w="194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Owner Role</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Verified</w:t>
            </w:r>
          </w:p>
        </w:tc>
        <w:tc>
          <w:tcPr>
            <w:tcW w:type="dxa" w:w="1800"/>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Next Check</w:t>
            </w:r>
          </w:p>
        </w:tc>
      </w:tr>
      <w:tr>
        <w:trPr>
          <w:cantSplit/>
        </w:trPr>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S1</w:t>
            </w:r>
          </w:p>
        </w:tc>
        <w:tc>
          <w:tcPr>
            <w:tcW w:type="dxa" w:w="29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California BBS LPCC Clinical Examination page</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California pathway, BBS approval, Law &amp; Ethics prerequisite, deadlines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CTA Program Administrator</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2026-07-26</w:t>
            </w:r>
          </w:p>
        </w:tc>
        <w:tc>
          <w:tcPr>
            <w:tcW w:type="dxa" w:w="180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Quarterly and before release</w:t>
            </w:r>
          </w:p>
        </w:tc>
      </w:tr>
      <w:tr>
        <w:trPr>
          <w:cantSplit/>
        </w:trPr>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S2</w:t>
            </w:r>
          </w:p>
        </w:tc>
        <w:tc>
          <w:tcPr>
            <w:tcW w:type="dxa" w:w="29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NBCC NCMHCE Candidate Handbook for State Licensure, revised 2024-09-24</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Current administration, 11 cases, timing, navigation, scoring</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CTA Content Lead</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2026-07-26</w:t>
            </w:r>
          </w:p>
        </w:tc>
        <w:tc>
          <w:tcPr>
            <w:tcW w:type="dxa" w:w="180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Before release and on handbook revision</w:t>
            </w:r>
          </w:p>
        </w:tc>
      </w:tr>
      <w:tr>
        <w:trPr>
          <w:cantSplit/>
        </w:trPr>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S3</w:t>
            </w:r>
          </w:p>
        </w:tc>
        <w:tc>
          <w:tcPr>
            <w:tcW w:type="dxa" w:w="29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NBCC NCMHCE Content Outline, revised 2025-10-08</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Current domains, weights, tasks, clinical-focus areas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CTA Content Lead + Psychometrics</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2026-07-26</w:t>
            </w:r>
          </w:p>
        </w:tc>
        <w:tc>
          <w:tcPr>
            <w:tcW w:type="dxa" w:w="180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Quarterly until 2027 transition</w:t>
            </w:r>
          </w:p>
        </w:tc>
      </w:tr>
      <w:tr>
        <w:trPr>
          <w:cantSplit/>
        </w:trPr>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S4</w:t>
            </w:r>
          </w:p>
        </w:tc>
        <w:tc>
          <w:tcPr>
            <w:tcW w:type="dxa" w:w="29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NBCC NCMHCE Examination Specifications, effective 2027-07-01</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Future format, weights, 101 tasks, score reporting, supplemental guidance</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CTA Content Lead + Psychometrics</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2026-07-26</w:t>
            </w:r>
          </w:p>
        </w:tc>
        <w:tc>
          <w:tcPr>
            <w:tcW w:type="dxa" w:w="180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Monthly beginning 2027-01-01</w:t>
            </w:r>
          </w:p>
        </w:tc>
      </w:tr>
      <w:tr>
        <w:trPr>
          <w:cantSplit/>
        </w:trPr>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S5</w:t>
            </w:r>
          </w:p>
        </w:tc>
        <w:tc>
          <w:tcPr>
            <w:tcW w:type="dxa" w:w="29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California BPC §4999.20</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LPCC scope, assessment authority/exclusions, referral duty</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California Legal Review</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2026-07-26</w:t>
            </w:r>
          </w:p>
        </w:tc>
        <w:tc>
          <w:tcPr>
            <w:tcW w:type="dxa" w:w="180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At each annual law update</w:t>
            </w:r>
          </w:p>
        </w:tc>
      </w:tr>
      <w:tr>
        <w:trPr>
          <w:cantSplit/>
        </w:trPr>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S6</w:t>
            </w:r>
          </w:p>
        </w:tc>
        <w:tc>
          <w:tcPr>
            <w:tcW w:type="dxa" w:w="29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California BPC §4999.32 and related LPCC statutes/regulations</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Educational/professional-practice overlay, APCC context</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California Legal Review</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2026-07-26</w:t>
            </w:r>
          </w:p>
        </w:tc>
        <w:tc>
          <w:tcPr>
            <w:tcW w:type="dxa" w:w="180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At each annual law update</w:t>
            </w:r>
          </w:p>
        </w:tc>
      </w:tr>
      <w:tr>
        <w:trPr>
          <w:cantSplit/>
        </w:trPr>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S7</w:t>
            </w:r>
          </w:p>
        </w:tc>
        <w:tc>
          <w:tcPr>
            <w:tcW w:type="dxa" w:w="29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CTA LPCC Research and 12-Workbook Curriculum Map v1.0</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Approved titles, sequence, delivery model, transition plan</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CTA Program Administrator</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2026-07-26</w:t>
            </w:r>
          </w:p>
        </w:tc>
        <w:tc>
          <w:tcPr>
            <w:tcW w:type="dxa" w:w="180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When curriculum scope changes</w:t>
            </w:r>
          </w:p>
        </w:tc>
      </w:tr>
      <w:tr>
        <w:trPr>
          <w:cantSplit/>
        </w:trPr>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S8</w:t>
            </w:r>
          </w:p>
        </w:tc>
        <w:tc>
          <w:tcPr>
            <w:tcW w:type="dxa" w:w="29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CTA LMFT/LCSW Question Bank and Comprehensive Exam Production Standard v1.1</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17-question banks, rationale controls, master-bank coding</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CTA Assessment Lead</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2026-07-26</w:t>
            </w:r>
          </w:p>
        </w:tc>
        <w:tc>
          <w:tcPr>
            <w:tcW w:type="dxa" w:w="180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When assessment standard changes</w:t>
            </w:r>
          </w:p>
        </w:tc>
      </w:tr>
      <w:tr>
        <w:trPr>
          <w:cantSplit/>
        </w:trPr>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S9</w:t>
            </w:r>
          </w:p>
        </w:tc>
        <w:tc>
          <w:tcPr>
            <w:tcW w:type="dxa" w:w="29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CTA Course Development Standards v1.0</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General exam-prep writing and chapter standards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CTA Editorial Lead</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2026-07-26</w:t>
            </w:r>
          </w:p>
        </w:tc>
        <w:tc>
          <w:tcPr>
            <w:tcW w:type="dxa" w:w="180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Annual</w:t>
            </w:r>
          </w:p>
        </w:tc>
      </w:tr>
      <w:tr>
        <w:trPr>
          <w:cantSplit/>
        </w:trPr>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S10</w:t>
            </w:r>
          </w:p>
        </w:tc>
        <w:tc>
          <w:tcPr>
            <w:tcW w:type="dxa" w:w="29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Completed CTA LMFT/LCSW program resources</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Student experience and production reference only</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CTA Program Administrator</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2026-07-26</w:t>
            </w:r>
          </w:p>
        </w:tc>
        <w:tc>
          <w:tcPr>
            <w:tcW w:type="dxa" w:w="180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As templates change</w:t>
            </w:r>
          </w:p>
        </w:tc>
      </w:tr>
      <w:tr>
        <w:trPr>
          <w:cantSplit/>
        </w:trPr>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S11</w:t>
            </w:r>
          </w:p>
        </w:tc>
        <w:tc>
          <w:tcPr>
            <w:tcW w:type="dxa" w:w="29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Pearson VUE NBCC/CCE landing pages</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Scheduling and delivery logistics; not controlling content blueprint</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CTA Program Administrator</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2026-07-26</w:t>
            </w:r>
          </w:p>
        </w:tc>
        <w:tc>
          <w:tcPr>
            <w:tcW w:type="dxa" w:w="180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Before candidate-facing logistics release</w:t>
            </w:r>
          </w:p>
        </w:tc>
      </w:tr>
    </w:tbl>
    <w:p>
      <w:pPr>
        <w:spacing w:after="0"/>
      </w:pPr>
    </w:p>
    <w:p>
      <w:pPr>
        <w:pStyle w:val="Heading2"/>
      </w:pPr>
      <w:r>
        <w:t>Coding Legend</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7"/>
              </w:rPr>
              <w:t>Code</w:t>
            </w:r>
          </w:p>
        </w:tc>
        <w:tc>
          <w:tcPr>
            <w:tcW w:type="dxa" w:w="87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7"/>
              </w:rPr>
              <w:t>Meaning</w:t>
            </w:r>
          </w:p>
        </w:tc>
      </w:tr>
      <w:tr>
        <w:trPr>
          <w:cantSplit/>
        </w:trPr>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WB#-C#</w:t>
            </w:r>
          </w:p>
        </w:tc>
        <w:tc>
          <w:tcPr>
            <w:tcW w:type="dxa" w:w="87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Primary or secondary workbook chapter placement.</w:t>
            </w:r>
          </w:p>
        </w:tc>
      </w:tr>
      <w:tr>
        <w:trPr>
          <w:cantSplit/>
        </w:trPr>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D</w:t>
            </w:r>
          </w:p>
        </w:tc>
        <w:tc>
          <w:tcPr>
            <w:tcW w:type="dxa" w:w="87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At least one direct workbook-bank item or case question is planned.</w:t>
            </w:r>
          </w:p>
        </w:tc>
      </w:tr>
      <w:tr>
        <w:trPr>
          <w:cantSplit/>
        </w:trPr>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I</w:t>
            </w:r>
          </w:p>
        </w:tc>
        <w:tc>
          <w:tcPr>
            <w:tcW w:type="dxa" w:w="87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The task is integrated into a case narrative, rationale, worksheet, or decision rule.</w:t>
            </w:r>
          </w:p>
        </w:tc>
      </w:tr>
      <w:tr>
        <w:trPr>
          <w:cantSplit/>
        </w:trPr>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C</w:t>
            </w:r>
          </w:p>
        </w:tc>
        <w:tc>
          <w:tcPr>
            <w:tcW w:type="dxa" w:w="87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The task is eligible for cumulative checkpoint practice.</w:t>
            </w:r>
          </w:p>
        </w:tc>
      </w:tr>
      <w:tr>
        <w:trPr>
          <w:cantSplit/>
        </w:trPr>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S</w:t>
            </w:r>
          </w:p>
        </w:tc>
        <w:tc>
          <w:tcPr>
            <w:tcW w:type="dxa" w:w="87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The task must be sampled across Form A/Form B or their rationale system.</w:t>
            </w:r>
          </w:p>
        </w:tc>
      </w:tr>
      <w:tr>
        <w:trPr>
          <w:cantSplit/>
        </w:trPr>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B</w:t>
            </w:r>
          </w:p>
        </w:tc>
        <w:tc>
          <w:tcPr>
            <w:tcW w:type="dxa" w:w="87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The task is a 2027 bridge requirement; current v1.x introduces it and v2.0 receives explicit reweighting.</w:t>
            </w:r>
          </w:p>
        </w:tc>
      </w:tr>
      <w:tr>
        <w:trPr>
          <w:cantSplit/>
        </w:trPr>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V## / A## / QR##</w:t>
            </w:r>
          </w:p>
        </w:tc>
        <w:tc>
          <w:tcPr>
            <w:tcW w:type="dxa" w:w="87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Core video, audio-review track, and quick-reference sheet mapping.</w:t>
            </w:r>
          </w:p>
        </w:tc>
      </w:tr>
      <w:tr>
        <w:trPr>
          <w:cantSplit/>
        </w:trPr>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S#</w:t>
            </w:r>
          </w:p>
        </w:tc>
        <w:tc>
          <w:tcPr>
            <w:tcW w:type="dxa" w:w="87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Source ID from the verification log.</w:t>
            </w:r>
          </w:p>
        </w:tc>
      </w:tr>
    </w:tbl>
    <w:p>
      <w:pPr>
        <w:spacing w:after="0"/>
      </w:pPr>
    </w:p>
    <w:p>
      <w:pPr>
        <w:pStyle w:val="Heading1"/>
      </w:pPr>
      <w:r>
        <w:t>2. Blueprint Architecture and Transition Bridge</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388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6"/>
              </w:rPr>
              <w:t>Blueprint Area</w:t>
            </w:r>
          </w:p>
        </w:tc>
        <w:tc>
          <w:tcPr>
            <w:tcW w:type="dxa" w:w="9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6"/>
              </w:rPr>
              <w:t>Weight</w:t>
            </w:r>
          </w:p>
        </w:tc>
        <w:tc>
          <w:tcPr>
            <w:tcW w:type="dxa" w:w="309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6"/>
              </w:rPr>
              <w:t>Primary Placement</w:t>
            </w:r>
          </w:p>
        </w:tc>
        <w:tc>
          <w:tcPr>
            <w:tcW w:type="dxa" w:w="352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6"/>
              </w:rPr>
              <w:t>Bridge</w:t>
            </w:r>
          </w:p>
        </w:tc>
      </w:tr>
      <w:tr>
        <w:trPr>
          <w:cantSplit/>
        </w:trPr>
        <w:tc>
          <w:tcPr>
            <w:tcW w:type="dxa" w:w="38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Current — Professional Practice and Ethics</w:t>
            </w:r>
          </w:p>
        </w:tc>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15%</w:t>
            </w:r>
          </w:p>
        </w:tc>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WB2, WB12</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2027 D1, D5, D6</w:t>
            </w:r>
          </w:p>
        </w:tc>
      </w:tr>
      <w:tr>
        <w:trPr>
          <w:cantSplit/>
        </w:trPr>
        <w:tc>
          <w:tcPr>
            <w:tcW w:type="dxa" w:w="38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Current — Intake, Assessment, and Diagnosis</w:t>
            </w:r>
          </w:p>
        </w:tc>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25%</w:t>
            </w:r>
          </w:p>
        </w:tc>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WB3, WB4, WB5, WB6</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2027 D2 and portions of D3</w:t>
            </w:r>
          </w:p>
        </w:tc>
      </w:tr>
      <w:tr>
        <w:trPr>
          <w:cantSplit/>
        </w:trPr>
        <w:tc>
          <w:tcPr>
            <w:tcW w:type="dxa" w:w="38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Current — Areas of Clinical Focus</w:t>
            </w:r>
          </w:p>
        </w:tc>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Embedded</w:t>
            </w:r>
          </w:p>
        </w:tc>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All case banks; WB4–WB10 concentrated</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2027 supplemental presenting-concern guidance</w:t>
            </w:r>
          </w:p>
        </w:tc>
      </w:tr>
      <w:tr>
        <w:trPr>
          <w:cantSplit/>
        </w:trPr>
        <w:tc>
          <w:tcPr>
            <w:tcW w:type="dxa" w:w="38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Current — Treatment Planning</w:t>
            </w:r>
          </w:p>
        </w:tc>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15%</w:t>
            </w:r>
          </w:p>
        </w:tc>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WB7</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2027 D3</w:t>
            </w:r>
          </w:p>
        </w:tc>
      </w:tr>
      <w:tr>
        <w:trPr>
          <w:cantSplit/>
        </w:trPr>
        <w:tc>
          <w:tcPr>
            <w:tcW w:type="dxa" w:w="38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Current — Counseling Skills and Interventions</w:t>
            </w:r>
          </w:p>
        </w:tc>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30%</w:t>
            </w:r>
          </w:p>
        </w:tc>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WB8, WB9, WB11</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2027 D4 plus portions of D5</w:t>
            </w:r>
          </w:p>
        </w:tc>
      </w:tr>
      <w:tr>
        <w:trPr>
          <w:cantSplit/>
        </w:trPr>
        <w:tc>
          <w:tcPr>
            <w:tcW w:type="dxa" w:w="38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Current — Core Counseling Attributes</w:t>
            </w:r>
          </w:p>
        </w:tc>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15%</w:t>
            </w:r>
          </w:p>
        </w:tc>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WB2, WB8, WB10</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2027 D1B and D4</w:t>
            </w:r>
          </w:p>
        </w:tc>
      </w:tr>
      <w:tr>
        <w:trPr>
          <w:cantSplit/>
        </w:trPr>
        <w:tc>
          <w:tcPr>
            <w:tcW w:type="dxa" w:w="38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2027 — Professional Development &amp; Self-Awareness</w:t>
            </w:r>
          </w:p>
        </w:tc>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15%</w:t>
            </w:r>
          </w:p>
        </w:tc>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WB2, WB12</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Current D1 and D6</w:t>
            </w:r>
          </w:p>
        </w:tc>
      </w:tr>
      <w:tr>
        <w:trPr>
          <w:cantSplit/>
        </w:trPr>
        <w:tc>
          <w:tcPr>
            <w:tcW w:type="dxa" w:w="38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2027 — Intake &amp; Assessment</w:t>
            </w:r>
          </w:p>
        </w:tc>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18%</w:t>
            </w:r>
          </w:p>
        </w:tc>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WB3–WB6</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Current D2</w:t>
            </w:r>
          </w:p>
        </w:tc>
      </w:tr>
      <w:tr>
        <w:trPr>
          <w:cantSplit/>
        </w:trPr>
        <w:tc>
          <w:tcPr>
            <w:tcW w:type="dxa" w:w="38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2027 — Treatment Planning &amp; Continuity</w:t>
            </w:r>
          </w:p>
        </w:tc>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15%</w:t>
            </w:r>
          </w:p>
        </w:tc>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WB7, WB11</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Current D4</w:t>
            </w:r>
          </w:p>
        </w:tc>
      </w:tr>
      <w:tr>
        <w:trPr>
          <w:cantSplit/>
        </w:trPr>
        <w:tc>
          <w:tcPr>
            <w:tcW w:type="dxa" w:w="38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2027 — Provision of Interventions</w:t>
            </w:r>
          </w:p>
        </w:tc>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20%</w:t>
            </w:r>
          </w:p>
        </w:tc>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WB8–WB11</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Current D5 and D6</w:t>
            </w:r>
          </w:p>
        </w:tc>
      </w:tr>
      <w:tr>
        <w:trPr>
          <w:cantSplit/>
        </w:trPr>
        <w:tc>
          <w:tcPr>
            <w:tcW w:type="dxa" w:w="38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2027 — Indirect Client Care</w:t>
            </w:r>
          </w:p>
        </w:tc>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12%</w:t>
            </w:r>
          </w:p>
        </w:tc>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WB11, WB12</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Current D1, D4, D5</w:t>
            </w:r>
          </w:p>
        </w:tc>
      </w:tr>
      <w:tr>
        <w:trPr>
          <w:cantSplit/>
        </w:trPr>
        <w:tc>
          <w:tcPr>
            <w:tcW w:type="dxa" w:w="38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2027 — Legal &amp; Ethical Compliance</w:t>
            </w:r>
          </w:p>
        </w:tc>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20%</w:t>
            </w:r>
          </w:p>
        </w:tc>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WB12</w:t>
            </w:r>
          </w:p>
        </w:tc>
        <w:tc>
          <w:tcPr>
            <w:tcW w:type="dxa" w:w="35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Current D1; California overlay</w:t>
            </w:r>
          </w:p>
        </w:tc>
      </w:tr>
    </w:tbl>
    <w:p>
      <w:pPr>
        <w:spacing w:after="0"/>
      </w:pPr>
    </w:p>
    <w:tbl>
      <w:tblPr>
        <w:tblW w:type="auto" w:w="0"/>
        <w:jc w:val="center"/>
        <w:tblLook w:firstColumn="1" w:firstRow="1" w:lastColumn="0" w:lastRow="0" w:noHBand="0" w:noVBand="1" w:val="04A0"/>
      </w:tblPr>
      <w:tblGrid>
        <w:gridCol w:w="10454"/>
      </w:tblGrid>
      <w:tr>
        <w:trPr>
          <w:cantSplit/>
          <w:tblHeader w:val="true"/>
        </w:trPr>
        <w:tc>
          <w:tcPr>
            <w:tcW w:type="dxa" w:w="10454"/>
            <w:shd w:fill="EAF0F7"/>
            <w:tcBorders>
              <w:top w:val="single" w:sz="8" w:color="4F81BD"/>
              <w:left w:val="single" w:sz="8" w:color="4F81BD"/>
              <w:bottom w:val="single" w:sz="8" w:color="4F81BD"/>
              <w:right w:val="single" w:sz="8" w:color="4F81BD"/>
            </w:tcBorders>
            <w:tcMar>
              <w:top w:w="110" w:type="dxa"/>
              <w:start w:w="135" w:type="dxa"/>
              <w:bottom w:w="110" w:type="dxa"/>
              <w:end w:w="135" w:type="dxa"/>
            </w:tcMar>
          </w:tcPr>
          <w:p>
            <w:pPr>
              <w:spacing w:after="60"/>
            </w:pPr>
            <w:r>
              <w:rPr>
                <w:rFonts w:ascii="Arial" w:hAnsi="Arial"/>
                <w:b/>
                <w:color w:val="17365D"/>
                <w:sz w:val="21"/>
              </w:rPr>
              <w:t>Simulation allocation rule</w:t>
            </w:r>
          </w:p>
          <w:p>
            <w:pPr>
              <w:spacing w:after="0" w:line="250" w:lineRule="auto"/>
            </w:pPr>
            <w:r>
              <w:rPr>
                <w:rFonts w:ascii="Arial" w:hAnsi="Arial"/>
                <w:color w:val="1F2937"/>
                <w:sz w:val="19"/>
              </w:rPr>
              <w:t>Current Form A/Form B use 100 scored-style items distributed 15/25/15/30/15, with clinical-focus concerns embedded. The 2027 conversion uses an internally implied 100 scored-style items distributed 15/18/15/20/12/20, plus 30–50 field-test-style items hidden from learners.</w:t>
            </w:r>
          </w:p>
        </w:tc>
      </w:tr>
    </w:tbl>
    <w:p>
      <w:pPr>
        <w:spacing w:after="0"/>
      </w:pPr>
    </w:p>
    <w:p>
      <w:pPr>
        <w:pStyle w:val="Heading1"/>
      </w:pPr>
      <w:r>
        <w:t>3. Twelve-Workbook Chapter-Level Architecture</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64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WB</w:t>
            </w:r>
          </w:p>
        </w:tc>
        <w:tc>
          <w:tcPr>
            <w:tcW w:type="dxa" w:w="51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Workbook Title</w:t>
            </w:r>
          </w:p>
        </w:tc>
        <w:tc>
          <w:tcPr>
            <w:tcW w:type="dxa" w:w="605"/>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Ch.</w:t>
            </w:r>
          </w:p>
        </w:tc>
        <w:tc>
          <w:tcPr>
            <w:tcW w:type="dxa" w:w="381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Chapter Control Title</w:t>
            </w:r>
          </w:p>
        </w:tc>
        <w:tc>
          <w:tcPr>
            <w:tcW w:type="dxa" w:w="194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Companion Media</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NCMHCE Case-Study Strategy and Applied Clinical Counselor Reasoning</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C1</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Current and 2027 exam structure</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V01 / A01 / QR01</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NCMHCE Case-Study Strategy and Applied Clinical Counselor Reasoning</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C2</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Three-part case reading and evidence control</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V01 / A01 / QR01</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NCMHCE Case-Study Strategy and Applied Clinical Counselor Reasoning</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C3</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Task words, priority, and sequence</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V01 / A01 / QR01</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NCMHCE Case-Study Strategy and Applied Clinical Counselor Reasoning</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C4</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Distractor elimination, pacing, and answer review</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V01 / A01 / QR01</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NCMHCE Case-Study Strategy and Applied Clinical Counselor Reasoning</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C5</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Rationale review, error coding, and readiness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V01 / A01 / QR01</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WB2</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LPCC Professional Identity, California Scope, Competence, and Counselor Self-Awareness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C1</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Professional counseling identity and California LPCC scope</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V02 / A02 / QR02</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WB2</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LPCC Professional Identity, California Scope, Competence, and Counselor Self-Awareness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C2</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Competence, assessment limits, and referral</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V02 / A02 / QR02</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WB2</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LPCC Professional Identity, California Scope, Competence, and Counselor Self-Awareness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C3</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Counselor-client fit, boundaries, and power</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V02 / A02 / QR02</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WB2</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LPCC Professional Identity, California Scope, Competence, and Counselor Self-Awareness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C4</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Supervision, consultation, research, and advocacy</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V02 / A02 / QR02</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WB2</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LPCC Professional Identity, California Scope, Competence, and Counselor Self-Awareness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C5</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Self-awareness, self-regulation, and professional wellbeing</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V02 / A02 / QR02</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WB3</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Intake, Informed Consent, Clinical Interviewing, MSE, and Biopsychosocial-Cultural Assessment</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C1</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Intake structure, informed consent, and access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V03 / A03 / QR03</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WB3</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Intake, Informed Consent, Clinical Interviewing, MSE, and Biopsychosocial-Cultural Assessment</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C2</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Clinical, diagnostic, biopsychosocial, and cultural interviews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V03 / A03 / QR03</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WB3</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Intake, Informed Consent, Clinical Interviewing, MSE, and Biopsychosocial-Cultural Assessment</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C3</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Mental status and functional assessment</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V03 / A03 / QR03</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WB3</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Intake, Informed Consent, Clinical Interviewing, MSE, and Biopsychosocial-Cultural Assessment</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C4</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Instruments, collateral data, and outcome measurement</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V03 / A03 / QR03</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WB3</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Intake, Informed Consent, Clinical Interviewing, MSE, and Biopsychosocial-Cultural Assessment</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C5</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Telehealth intake and assessment integration</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V03 / A03 / QR03</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WB4</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Crisis, Trauma, Abuse, Violence, and Level-of-Care Decisions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C1</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Crisis sequence, stabilization, and de-escalation</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V04 / A04 / QR04</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WB4</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Crisis, Trauma, Abuse, Violence, and Level-of-Care Decisions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C2</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Suicide, self-injury, homicide, and lethal means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V04 / A04 / QR04</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WB4</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Crisis, Trauma, Abuse, Violence, and Level-of-Care Decisions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C3</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Abuse, violence, exploitation, and mandated duties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V04 / A04 / QR04</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WB4</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Crisis, Trauma, Abuse, Violence, and Level-of-Care Decisions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C4</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Trauma, psychosis, mania, substance, and medical urgency</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V04 / A04 / QR04</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WB4</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Crisis, Trauma, Abuse, Violence, and Level-of-Care Decisions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C5</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Safety planning, level of care, consultation, and documentation</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V04 / A04 / QR04</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WB5</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Diagnosis and Differential Diagnosis I: Mood, Anxiety, Trauma, OCD, and Psychotic Disorders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C1</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Diagnostic reasoning, coding, and differential method</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V05 / A03 / QR05</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WB5</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Diagnosis and Differential Diagnosis I: Mood, Anxiety, Trauma, OCD, and Psychotic Disorders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C2</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Depressive and bipolar disorders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V05 / A03 / QR05</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WB5</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Diagnosis and Differential Diagnosis I: Mood, Anxiety, Trauma, OCD, and Psychotic Disorders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C3</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Anxiety and obsessive-compulsive disorders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V05 / A03 / QR05</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WB5</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Diagnosis and Differential Diagnosis I: Mood, Anxiety, Trauma, OCD, and Psychotic Disorders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C4</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Trauma, stressor, grief, and adjustment presentations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V05 / A03 / QR05</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WB5</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Diagnosis and Differential Diagnosis I: Mood, Anxiety, Trauma, OCD, and Psychotic Disorders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C5</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Psychotic disorders and medical/medication differentials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V05 / A03 / QR05</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WB6</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Diagnosis and Differential Diagnosis II: Substance Use, Personality, Neurodevelopmental, Eating, Sleep, Somatic, Medical, and Co-Occurring Conditions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C1</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Substance-related and addictive disorders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V06 / A03 / QR06</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WB6</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Diagnosis and Differential Diagnosis II: Substance Use, Personality, Neurodevelopmental, Eating, Sleep, Somatic, Medical, and Co-Occurring Conditions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C2</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Personality patterns and disorders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V06 / A03 / QR06</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WB6</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Diagnosis and Differential Diagnosis II: Substance Use, Personality, Neurodevelopmental, Eating, Sleep, Somatic, Medical, and Co-Occurring Conditions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C3</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Neurodevelopmental, intellectual, and neurocognitive concerns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V06 / A03 / QR06</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WB6</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Diagnosis and Differential Diagnosis II: Substance Use, Personality, Neurodevelopmental, Eating, Sleep, Somatic, Medical, and Co-Occurring Conditions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C4</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Eating, sleep, somatic, dissociative, and sexual-functioning concerns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V06 / A03 / QR06</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WB6</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Diagnosis and Differential Diagnosis II: Substance Use, Personality, Neurodevelopmental, Eating, Sleep, Somatic, Medical, and Co-Occurring Conditions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C5</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Medical factors, medication effects, co-occurrence, and specialized referral</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V06 / A03 / QR06</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WB7</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Case Conceptualization, Treatment Planning, Measurement, Progress, and Termination</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C1</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Case conceptualization and problem prioritization</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V07 / A05 / QR07</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WB7</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Case Conceptualization, Treatment Planning, Measurement, Progress, and Termination</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C2</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Collaborative goals and objectives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V07 / A05 / QR07</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WB7</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Case Conceptualization, Treatment Planning, Measurement, Progress, and Termination</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C3</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Treatment plan design, modality, and contraindications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V07 / A05 / QR07</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WB7</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Case Conceptualization, Treatment Planning, Measurement, Progress, and Termination</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C4</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Measurement, progress review, and plan revision</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V07 / A05 / QR07</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WB7</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Case Conceptualization, Treatment Planning, Measurement, Progress, and Termination</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C5</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Relapse prevention, termination, discharge, and continuity</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V07 / A05 / QR07</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WB8</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Counseling Theories, Therapeutic Alliance, and Core Counseling Skills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C1</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Theory selection and formulation</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V08 / A06 / QR08</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WB8</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Counseling Theories, Therapeutic Alliance, and Core Counseling Skills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C2</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Humanistic, psychodynamic, Adlerian, existential, and Gestalt approaches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V08 / A06 / QR08</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WB8</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Counseling Theories, Therapeutic Alliance, and Core Counseling Skills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C3</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Behavioral, cognitive, reality, solution-focused, narrative, and systems-informed approaches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V08 / A06 / QR08</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WB8</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Counseling Theories, Therapeutic Alliance, and Core Counseling Skills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C4</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Alliance, empathy, attending, and core counseling skills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V08 / A06 / QR08</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WB8</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Counseling Theories, Therapeutic Alliance, and Core Counseling Skills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C5</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Transference, self-disclosure, confrontation, feedback, and rupture repair</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V08 / A06 / QR08</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WB9</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Evidence-Based and Evidence-Informed Interventions Across Common Presenting Concerns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C1</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Evidence, mechanism, readiness, and intervention fit</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V09 / A06 / QR09</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WB9</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Evidence-Based and Evidence-Informed Interventions Across Common Presenting Concerns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C2</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Mood, anxiety, OCD, and sleep interventions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V09 / A06 / QR09</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WB9</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Evidence-Based and Evidence-Informed Interventions Across Common Presenting Concerns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C3</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Trauma, grief, and emotion-regulation interventions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V09 / A06 / QR09</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WB9</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Evidence-Based and Evidence-Informed Interventions Across Common Presenting Concerns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C4</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Substance use, motivation, and relapse-prevention interventions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V09 / A06 / QR09</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WB9</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Evidence-Based and Evidence-Informed Interventions Across Common Presenting Concerns</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C5</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Adaptation, contraindications, measurement, and specialized referral</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V09 / A06 / QR09</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WB10</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Multicultural, Developmental, Career, Spiritual, Disability, and Context-Responsive Counseling</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C1</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Cultural humility, broaching, power, and social justice</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V10 / A07 / QR10</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WB10</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Multicultural, Developmental, Career, Spiritual, Disability, and Context-Responsive Counseling</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C2</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Identity, language, disability, access, and accommodations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V10 / A07 / QR10</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WB10</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Multicultural, Developmental, Career, Spiritual, Disability, and Context-Responsive Counseling</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C3</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Lifespan development, career, and educational context</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V10 / A07 / QR10</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WB10</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Multicultural, Developmental, Career, Spiritual, Disability, and Context-Responsive Counseling</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C4</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Spirituality, grief, chronic illness, caregiving, aging, and life transitions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V10 / A07 / QR10</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WB10</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Multicultural, Developmental, Career, Spiritual, Disability, and Context-Responsive Counseling</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C5</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Culturally responsive assessment, intervention, and advocacy</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V10 / A07 / QR10</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WB11</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Individual, Group, Couple/Family, Referral, Continuity, and Interdisciplinary Collaboration</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C1</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Modality selection and individual counseling</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V11 / A07 / QR11</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WB11</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Individual, Group, Couple/Family, Referral, Continuity, and Interdisciplinary Collaboration</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C2</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Group screening, process, leadership, and termination</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V11 / A07 / QR11</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WB11</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Individual, Group, Couple/Family, Referral, Continuity, and Interdisciplinary Collaboration</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C3</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Couple/family and systemic work within LPCC competence</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V11 / A07 / QR11</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WB11</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Individual, Group, Couple/Family, Referral, Continuity, and Interdisciplinary Collaboration</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C4</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Referral, warm handoff, resources, and levels of care</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V11 / A07 / QR11</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WB11</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Individual, Group, Couple/Family, Referral, Continuity, and Interdisciplinary Collaboration</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C5</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Collateral work, medication coordination, documentation, and interdisciplinary teams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V11 / A07 / QR11</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WB12</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California Legal, Ethical, Documentation, Technology, and Professional Practice</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C1</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Authority hierarchy, ethics, scope, and competence</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V12 / A07 / QR12</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WB12</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California Legal, Ethical, Documentation, Technology, and Professional Practice</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C2</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Consent, confidentiality, privilege, records, and access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V12 / A07 / QR12</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WB12</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California Legal, Ethical, Documentation, Technology, and Professional Practice</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C3</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Mandated duties, third parties, subpoenas, and court involvement</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V12 / A07 / QR12</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WB12</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California Legal, Ethical, Documentation, Technology, and Professional Practice</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C4</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Telehealth, electronic communication, social media, AI, and EHRs</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V12 / A07 / QR12</w:t>
            </w:r>
          </w:p>
        </w:tc>
      </w:tr>
      <w:tr>
        <w:trPr>
          <w:cantSplit/>
        </w:trPr>
        <w:tc>
          <w:tcPr>
            <w:tcW w:type="dxa" w:w="64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WB12</w:t>
            </w:r>
          </w:p>
        </w:tc>
        <w:tc>
          <w:tcPr>
            <w:tcW w:type="dxa" w:w="51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California Legal, Ethical, Documentation, Technology, and Professional Practice</w:t>
            </w:r>
          </w:p>
        </w:tc>
        <w:tc>
          <w:tcPr>
            <w:tcW w:type="dxa" w:w="60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C5</w:t>
            </w:r>
          </w:p>
        </w:tc>
        <w:tc>
          <w:tcPr>
            <w:tcW w:type="dxa" w:w="381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Billing, insurance, documentation integrity, emergency planning, continuity, and risk management</w:t>
            </w:r>
          </w:p>
        </w:tc>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V12 / A07 / QR12</w:t>
            </w:r>
          </w:p>
        </w:tc>
      </w:tr>
    </w:tbl>
    <w:p>
      <w:pPr>
        <w:spacing w:after="0"/>
      </w:pPr>
    </w:p>
    <w:p>
      <w:pPr>
        <w:pStyle w:val="Heading2"/>
      </w:pPr>
      <w:r>
        <w:t>Workbook Practice-Bank Allocation</w:t>
      </w:r>
    </w:p>
    <w:p>
      <w:pPr>
        <w:spacing w:before="0" w:after="100" w:line="252" w:lineRule="auto"/>
      </w:pPr>
      <w:r>
        <w:rPr>
          <w:rFonts w:ascii="Arial" w:hAnsi="Arial"/>
        </w:rPr>
        <w:t>Each domain-mix entry is a planning allocation across the current domains in the order P&amp;E / Intake-Diagnosis / Clinical Focus / Treatment Planning / Skills-Interventions / Core Attributes. Clinical-focus counts are integrated case emphases, not official item-level weights.</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69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WB</w:t>
            </w:r>
          </w:p>
        </w:tc>
        <w:tc>
          <w:tcPr>
            <w:tcW w:type="dxa" w:w="230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Primary Bank Focus</w:t>
            </w:r>
          </w:p>
        </w:tc>
        <w:tc>
          <w:tcPr>
            <w:tcW w:type="dxa" w:w="223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Planned 17-Item Mix</w:t>
            </w:r>
          </w:p>
        </w:tc>
        <w:tc>
          <w:tcPr>
            <w:tcW w:type="dxa" w:w="4320"/>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2027 Bridge Emphasis</w:t>
            </w:r>
          </w:p>
        </w:tc>
        <w:tc>
          <w:tcPr>
            <w:tcW w:type="dxa" w:w="338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Cumulative/Simulation Use</w:t>
            </w:r>
          </w:p>
        </w:tc>
      </w:tr>
      <w:tr>
        <w:trPr>
          <w:cantSplit/>
        </w:trPr>
        <w:tc>
          <w:tcPr>
            <w:tcW w:type="dxa" w:w="69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w:t>
            </w:r>
          </w:p>
        </w:tc>
        <w:tc>
          <w:tcPr>
            <w:tcW w:type="dxa" w:w="23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Cross-domain strategy</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3 / 3 / 2 / 2 / 2 / 0</w:t>
            </w:r>
          </w:p>
        </w:tc>
        <w:tc>
          <w:tcPr>
            <w:tcW w:type="dxa" w:w="43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Current-format case navigation; 2027 bridge mechanics</w:t>
            </w:r>
          </w:p>
        </w:tc>
        <w:tc>
          <w:tcPr>
            <w:tcW w:type="dxa" w:w="33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Checkpoint 1, Form A/B</w:t>
            </w:r>
          </w:p>
        </w:tc>
      </w:tr>
      <w:tr>
        <w:trPr>
          <w:cantSplit/>
        </w:trPr>
        <w:tc>
          <w:tcPr>
            <w:tcW w:type="dxa" w:w="69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WB2</w:t>
            </w:r>
          </w:p>
        </w:tc>
        <w:tc>
          <w:tcPr>
            <w:tcW w:type="dxa" w:w="23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Practice/Ethics + Core Attributes</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7 / 2 / 0 / 1 / 2 / 5</w:t>
            </w:r>
          </w:p>
        </w:tc>
        <w:tc>
          <w:tcPr>
            <w:tcW w:type="dxa" w:w="43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LPCC identity, competence, self-awareness</w:t>
            </w:r>
          </w:p>
        </w:tc>
        <w:tc>
          <w:tcPr>
            <w:tcW w:type="dxa" w:w="33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All checkpoints, Form A/B</w:t>
            </w:r>
          </w:p>
        </w:tc>
      </w:tr>
      <w:tr>
        <w:trPr>
          <w:cantSplit/>
        </w:trPr>
        <w:tc>
          <w:tcPr>
            <w:tcW w:type="dxa" w:w="69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WB3</w:t>
            </w:r>
          </w:p>
        </w:tc>
        <w:tc>
          <w:tcPr>
            <w:tcW w:type="dxa" w:w="23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Intake/Assessment</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3 / 9 / 0 / 1 / 2 / 2</w:t>
            </w:r>
          </w:p>
        </w:tc>
        <w:tc>
          <w:tcPr>
            <w:tcW w:type="dxa" w:w="43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Intake, MSE, instruments, culture</w:t>
            </w:r>
          </w:p>
        </w:tc>
        <w:tc>
          <w:tcPr>
            <w:tcW w:type="dxa" w:w="33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Checkpoint 1, Form A/B</w:t>
            </w:r>
          </w:p>
        </w:tc>
      </w:tr>
      <w:tr>
        <w:trPr>
          <w:cantSplit/>
        </w:trPr>
        <w:tc>
          <w:tcPr>
            <w:tcW w:type="dxa" w:w="69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WB4</w:t>
            </w:r>
          </w:p>
        </w:tc>
        <w:tc>
          <w:tcPr>
            <w:tcW w:type="dxa" w:w="23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Risk + Crisis</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2 / 7 / 3 / 2 / 3 / 0</w:t>
            </w:r>
          </w:p>
        </w:tc>
        <w:tc>
          <w:tcPr>
            <w:tcW w:type="dxa" w:w="43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Risk, abuse, level of care, crisis action</w:t>
            </w:r>
          </w:p>
        </w:tc>
        <w:tc>
          <w:tcPr>
            <w:tcW w:type="dxa" w:w="33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Checkpoint 1, Form A/B</w:t>
            </w:r>
          </w:p>
        </w:tc>
      </w:tr>
      <w:tr>
        <w:trPr>
          <w:cantSplit/>
        </w:trPr>
        <w:tc>
          <w:tcPr>
            <w:tcW w:type="dxa" w:w="69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WB5</w:t>
            </w:r>
          </w:p>
        </w:tc>
        <w:tc>
          <w:tcPr>
            <w:tcW w:type="dxa" w:w="23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Diagnosis I</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1 / 10 / 4 / 1 / 1 / 0</w:t>
            </w:r>
          </w:p>
        </w:tc>
        <w:tc>
          <w:tcPr>
            <w:tcW w:type="dxa" w:w="43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Differential diagnosis and clinical focus</w:t>
            </w:r>
          </w:p>
        </w:tc>
        <w:tc>
          <w:tcPr>
            <w:tcW w:type="dxa" w:w="33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Checkpoint 2, Form A/B</w:t>
            </w:r>
          </w:p>
        </w:tc>
      </w:tr>
      <w:tr>
        <w:trPr>
          <w:cantSplit/>
        </w:trPr>
        <w:tc>
          <w:tcPr>
            <w:tcW w:type="dxa" w:w="69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WB6</w:t>
            </w:r>
          </w:p>
        </w:tc>
        <w:tc>
          <w:tcPr>
            <w:tcW w:type="dxa" w:w="23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Diagnosis II</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2 / 9 / 4 / 1 / 1 / 0</w:t>
            </w:r>
          </w:p>
        </w:tc>
        <w:tc>
          <w:tcPr>
            <w:tcW w:type="dxa" w:w="43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Co-occurrence, medical factors, referral</w:t>
            </w:r>
          </w:p>
        </w:tc>
        <w:tc>
          <w:tcPr>
            <w:tcW w:type="dxa" w:w="33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Checkpoint 2, Form A/B</w:t>
            </w:r>
          </w:p>
        </w:tc>
      </w:tr>
      <w:tr>
        <w:trPr>
          <w:cantSplit/>
        </w:trPr>
        <w:tc>
          <w:tcPr>
            <w:tcW w:type="dxa" w:w="69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WB7</w:t>
            </w:r>
          </w:p>
        </w:tc>
        <w:tc>
          <w:tcPr>
            <w:tcW w:type="dxa" w:w="23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Treatment Planning</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1 / 3 / 1 / 9 / 3 / 0</w:t>
            </w:r>
          </w:p>
        </w:tc>
        <w:tc>
          <w:tcPr>
            <w:tcW w:type="dxa" w:w="43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Planning, measurement, termination</w:t>
            </w:r>
          </w:p>
        </w:tc>
        <w:tc>
          <w:tcPr>
            <w:tcW w:type="dxa" w:w="33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Checkpoint 2, Form A/B</w:t>
            </w:r>
          </w:p>
        </w:tc>
      </w:tr>
      <w:tr>
        <w:trPr>
          <w:cantSplit/>
        </w:trPr>
        <w:tc>
          <w:tcPr>
            <w:tcW w:type="dxa" w:w="69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WB8</w:t>
            </w:r>
          </w:p>
        </w:tc>
        <w:tc>
          <w:tcPr>
            <w:tcW w:type="dxa" w:w="23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Theories + Core Skills</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1 / 1 / 1 / 2 / 7 / 5</w:t>
            </w:r>
          </w:p>
        </w:tc>
        <w:tc>
          <w:tcPr>
            <w:tcW w:type="dxa" w:w="43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Theory-fit, alliance, counselor attributes</w:t>
            </w:r>
          </w:p>
        </w:tc>
        <w:tc>
          <w:tcPr>
            <w:tcW w:type="dxa" w:w="33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Checkpoint 2, Form A/B</w:t>
            </w:r>
          </w:p>
        </w:tc>
      </w:tr>
      <w:tr>
        <w:trPr>
          <w:cantSplit/>
        </w:trPr>
        <w:tc>
          <w:tcPr>
            <w:tcW w:type="dxa" w:w="69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WB9</w:t>
            </w:r>
          </w:p>
        </w:tc>
        <w:tc>
          <w:tcPr>
            <w:tcW w:type="dxa" w:w="23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Interventions</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1 / 2 / 4 / 3 / 7 / 0</w:t>
            </w:r>
          </w:p>
        </w:tc>
        <w:tc>
          <w:tcPr>
            <w:tcW w:type="dxa" w:w="43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Evidence-informed intervention fit</w:t>
            </w:r>
          </w:p>
        </w:tc>
        <w:tc>
          <w:tcPr>
            <w:tcW w:type="dxa" w:w="33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Cumulative Lab, Form A/B</w:t>
            </w:r>
          </w:p>
        </w:tc>
      </w:tr>
      <w:tr>
        <w:trPr>
          <w:cantSplit/>
        </w:trPr>
        <w:tc>
          <w:tcPr>
            <w:tcW w:type="dxa" w:w="69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WB10</w:t>
            </w:r>
          </w:p>
        </w:tc>
        <w:tc>
          <w:tcPr>
            <w:tcW w:type="dxa" w:w="23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Culture/Development/Context</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2 / 3 / 5 / 2 / 3 / 2</w:t>
            </w:r>
          </w:p>
        </w:tc>
        <w:tc>
          <w:tcPr>
            <w:tcW w:type="dxa" w:w="43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Culture and development across decisions</w:t>
            </w:r>
          </w:p>
        </w:tc>
        <w:tc>
          <w:tcPr>
            <w:tcW w:type="dxa" w:w="33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Cumulative Lab, Form A/B</w:t>
            </w:r>
          </w:p>
        </w:tc>
      </w:tr>
      <w:tr>
        <w:trPr>
          <w:cantSplit/>
        </w:trPr>
        <w:tc>
          <w:tcPr>
            <w:tcW w:type="dxa" w:w="69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WB11</w:t>
            </w:r>
          </w:p>
        </w:tc>
        <w:tc>
          <w:tcPr>
            <w:tcW w:type="dxa" w:w="23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Modalities/Referral/Collaboration</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2 / 2 / 2 / 4 / 6 / 1</w:t>
            </w:r>
          </w:p>
        </w:tc>
        <w:tc>
          <w:tcPr>
            <w:tcW w:type="dxa" w:w="43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Groups, couple/family, indirect care</w:t>
            </w:r>
          </w:p>
        </w:tc>
        <w:tc>
          <w:tcPr>
            <w:tcW w:type="dxa" w:w="33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Cumulative Lab, Form A/B</w:t>
            </w:r>
          </w:p>
        </w:tc>
      </w:tr>
      <w:tr>
        <w:trPr>
          <w:cantSplit/>
        </w:trPr>
        <w:tc>
          <w:tcPr>
            <w:tcW w:type="dxa" w:w="69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WB12</w:t>
            </w:r>
          </w:p>
        </w:tc>
        <w:tc>
          <w:tcPr>
            <w:tcW w:type="dxa" w:w="23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California Professional Practice</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10 / 1 / 0 / 2 / 2 / 2</w:t>
            </w:r>
          </w:p>
        </w:tc>
        <w:tc>
          <w:tcPr>
            <w:tcW w:type="dxa" w:w="43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Law, ethics, documentation, technology</w:t>
            </w:r>
          </w:p>
        </w:tc>
        <w:tc>
          <w:tcPr>
            <w:tcW w:type="dxa" w:w="33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Cumulative Lab, Form A/B</w:t>
            </w:r>
          </w:p>
        </w:tc>
      </w:tr>
    </w:tbl>
    <w:p>
      <w:pPr>
        <w:spacing w:after="0"/>
      </w:pPr>
    </w:p>
    <w:p>
      <w:pPr>
        <w:sectPr>
          <w:headerReference w:type="default" r:id="rId9"/>
          <w:footerReference w:type="default" r:id="rId10"/>
          <w:pgSz w:w="12240" w:h="15840"/>
          <w:pgMar w:top="792" w:right="893" w:bottom="792" w:left="893" w:header="317" w:footer="317" w:gutter="0"/>
          <w:cols w:space="720"/>
          <w:docGrid w:linePitch="360"/>
        </w:sectPr>
      </w:pPr>
    </w:p>
    <w:p>
      <w:pPr>
        <w:pStyle w:val="Heading1"/>
      </w:pPr>
      <w:r>
        <w:t>4. California LPCC Scope and Professional-Practice Overlay</w:t>
      </w:r>
    </w:p>
    <w:p>
      <w:pPr>
        <w:spacing w:before="0" w:after="100" w:line="252" w:lineRule="auto"/>
      </w:pPr>
      <w:r>
        <w:rPr>
          <w:rFonts w:ascii="Arial" w:hAnsi="Arial"/>
        </w:rPr>
        <w:t>California overlay codes must be attached to every applicable chapter and practice item. The overlay ensures that a national counseling examination course remains accurate for APCCs and eligible California LPCC candidates.</w:t>
      </w:r>
    </w:p>
    <w:tbl>
      <w:tblPr>
        <w:tblW w:type="auto" w:w="0"/>
        <w:jc w:val="center"/>
        <w:tblLayout w:type="fixed"/>
        <w:tblLook w:firstColumn="1" w:firstRow="1" w:lastColumn="0" w:lastRow="0" w:noHBand="0" w:noVBand="1" w:val="04A0"/>
      </w:tblPr>
      <w:tblGrid>
        <w:gridCol w:w="2938"/>
        <w:gridCol w:w="2938"/>
        <w:gridCol w:w="2938"/>
        <w:gridCol w:w="2938"/>
        <w:gridCol w:w="2938"/>
      </w:tblGrid>
      <w:tr>
        <w:trPr>
          <w:tblHeader w:val="true"/>
        </w:trPr>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Code</w:t>
            </w:r>
          </w:p>
        </w:tc>
        <w:tc>
          <w:tcPr>
            <w:tcW w:type="dxa" w:w="223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Control Area</w:t>
            </w:r>
          </w:p>
        </w:tc>
        <w:tc>
          <w:tcPr>
            <w:tcW w:type="dxa" w:w="6120"/>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CTA Planning Standard</w:t>
            </w:r>
          </w:p>
        </w:tc>
        <w:tc>
          <w:tcPr>
            <w:tcW w:type="dxa" w:w="316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Workbook Placement</w:t>
            </w:r>
          </w:p>
        </w:tc>
        <w:tc>
          <w:tcPr>
            <w:tcW w:type="dxa" w:w="2160"/>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4"/>
              </w:rPr>
              <w:t>Source / Owner / Verified</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CA-S1</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Clinical mental-health purpose</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Use counseling and psychotherapy to address cognitive, mental, emotional, developmental, crisis, disability-adjustment, psychosocial, and environmental concerns.</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All; anchor WB2-C1</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S5 | CA Legal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CA-S2</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Counseling interventions and psychotherapeutic techniques</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Use cognitive, affective, verbal/nonverbal, systemic, holistic, developmental, wellness, and maladjustment-informed strategies.</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WB8, WB9, WB11</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S5 | CA Legal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CA-S3</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Pluralistic and culturally responsive practice</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Ground interventions in principles that reflect a pluralistic society.</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WB10; integrated all cases</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S5 | CA Legal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CA-S4</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Professional counseling relationship</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Implement theory-based work within an established professional clinical counseling relationship.</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WB2, WB3, WB8</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S5 | CA Legal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CA-S5</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Assessment for counseling goals</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Assess to establish goals/objectives that support coping, stress reduction, growth, behavior change, and informed decisions.</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WB3, WB7</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S5 | CA Legal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CA-S6</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Permitted assessment functions</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Select, administer, score, and interpret appropriate counseling tests/instruments within competence.</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WB3-C4, WB6-C5</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S5 | CA Legal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CA-S7</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Assessment exclusions</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Do not perform projective personality testing, individual intelligence testing, neuropsychological testing, or prohibited multi-test batteries.</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WB2-C2, WB3-C4, WB6-C5</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S5 | CA Legal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CA-S8</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Competence-based referral</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Refer when needs exceed education, training, experience, or authorized assessment scope.</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WB2-C2, WB6-C5, WB11-C4</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S5 | CA Legal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CA-S9</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Professional-role distinction</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Do not present professional clinical counseling as clinical social work; preserve LPCC role clarity.</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WB2-C1</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S5 | CA Legal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CA-A1</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APCC supervised-role overlay</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Teach associate role, supervision/consultation, and examination-candidate context without implying independent practice.</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WB2-C1/C4, WB12-C1</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S6 | CA Legal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CA-A2</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Counselor development and wellbeing</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Connect self-awareness, self-care, impairment recognition, and consultation to competent practice.</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WB2-C5, WB12-C5</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S6 | Content Lead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CA-E1</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California law and professional ethics</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Integrate scope, consent, confidentiality, dangerous clients, minors, records, telehealth, billing, discipline, termination, and standards of care.</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WB12; integrated WB3/WB4/WB7</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S6 | CA Legal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CA-E2</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Multicultural counseling and advocacy</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Include cultural self-awareness, identity development, social justice, advocacy, and bias/oppression reduction.</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WB10; integrated all</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S6 | Content Lead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CA-E3</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Diagnosis and continuum of care</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Teach differential diagnosis, DSM-5-TR use, co-occurring conditions, treatment modalities, and placement criteria.</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WB4, WB5, WB6, WB7</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S6 | Clinical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CA-E4</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Research and evaluation</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Use research literacy, statistics, evidence-based practice, needs assessment, and outcome evaluation.</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WB2-C4, WB3-C4, WB7-C4, WB9-C1</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S6 | Content Lead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CA-E5</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Crisis and trauma counseling</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Include multidisciplinary crisis responses and brief, intermediate, and longer-term approaches.</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WB4, WB9-C3</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S6 | Clinical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CA-E6</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Required clinical foundations</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Maintain substance-use, psychopharmacology, abuse, sexuality, aging, and related clinical coverage as profession preparation.</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WB4, WB6, WB9, WB10</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4"/>
              </w:rPr>
              <w:t>S6 | Clinical Review | 2026-07-26</w:t>
            </w:r>
          </w:p>
        </w:tc>
      </w:tr>
      <w:tr>
        <w:trPr>
          <w:cantSplit/>
        </w:trPr>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CA-PRESENT</w:t>
            </w:r>
          </w:p>
        </w:tc>
        <w:tc>
          <w:tcPr>
            <w:tcW w:type="dxa" w:w="223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Presenting-concern overlay</w:t>
            </w:r>
          </w:p>
        </w:tc>
        <w:tc>
          <w:tcPr>
            <w:tcW w:type="dxa" w:w="61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Use varied client concerns to test applied reasoning; no concern is treated as a separate item-level domain.</w:t>
            </w:r>
          </w:p>
        </w:tc>
        <w:tc>
          <w:tcPr>
            <w:tcW w:type="dxa" w:w="316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All case banks and simulations</w:t>
            </w:r>
          </w:p>
        </w:tc>
        <w:tc>
          <w:tcPr>
            <w:tcW w:type="dxa" w:w="216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4"/>
              </w:rPr>
              <w:t>S3/S4 | Psychometrics | 2026-07-26</w:t>
            </w:r>
          </w:p>
        </w:tc>
      </w:tr>
    </w:tbl>
    <w:p>
      <w:pPr>
        <w:spacing w:after="0"/>
      </w:pPr>
    </w:p>
    <w:p>
      <w:pPr>
        <w:pStyle w:val="Heading1"/>
      </w:pPr>
      <w:r>
        <w:t>5. Current NCMHCE Task and Presenting-Concern Matrix</w:t>
      </w:r>
    </w:p>
    <w:tbl>
      <w:tblPr>
        <w:tblW w:type="auto" w:w="0"/>
        <w:jc w:val="center"/>
        <w:tblLook w:firstColumn="1" w:firstRow="1" w:lastColumn="0" w:lastRow="0" w:noHBand="0" w:noVBand="1" w:val="04A0"/>
      </w:tblPr>
      <w:tblGrid>
        <w:gridCol w:w="14688"/>
      </w:tblGrid>
      <w:tr>
        <w:trPr>
          <w:cantSplit/>
          <w:tblHeader w:val="true"/>
        </w:trPr>
        <w:tc>
          <w:tcPr>
            <w:tcW w:type="dxa" w:w="14688"/>
            <w:shd w:fill="E7F2F3"/>
            <w:tcBorders>
              <w:top w:val="single" w:sz="8" w:color="159C9C"/>
              <w:left w:val="single" w:sz="8" w:color="159C9C"/>
              <w:bottom w:val="single" w:sz="8" w:color="159C9C"/>
              <w:right w:val="single" w:sz="8" w:color="159C9C"/>
            </w:tcBorders>
            <w:tcMar>
              <w:top w:w="110" w:type="dxa"/>
              <w:start w:w="135" w:type="dxa"/>
              <w:bottom w:w="110" w:type="dxa"/>
              <w:end w:w="135" w:type="dxa"/>
            </w:tcMar>
          </w:tcPr>
          <w:p>
            <w:pPr>
              <w:spacing w:after="60"/>
            </w:pPr>
            <w:r>
              <w:rPr>
                <w:rFonts w:ascii="Arial" w:hAnsi="Arial"/>
                <w:b/>
                <w:color w:val="17365D"/>
                <w:sz w:val="21"/>
              </w:rPr>
              <w:t>Current release rule</w:t>
            </w:r>
          </w:p>
          <w:p>
            <w:pPr>
              <w:spacing w:after="0" w:line="250" w:lineRule="auto"/>
            </w:pPr>
            <w:r>
              <w:rPr>
                <w:rFonts w:ascii="Arial" w:hAnsi="Arial"/>
                <w:color w:val="1F2937"/>
                <w:sz w:val="19"/>
              </w:rPr>
              <w:t>Version 1.x aligns instruction and comprehensive simulations to the current NBCC content outline and 11-case handbook. Task descriptions below are CTA planning paraphrases; consult S3 for official wording.</w:t>
            </w:r>
          </w:p>
        </w:tc>
      </w:tr>
    </w:tbl>
    <w:p>
      <w:pPr>
        <w:spacing w:after="0"/>
      </w:pPr>
    </w:p>
    <w:p>
      <w:pPr>
        <w:pStyle w:val="Heading2"/>
      </w:pPr>
      <w:r>
        <w:t>Domain 1 — Professional Practice and Ethics</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835"/>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5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Task/Concern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613"/>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65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C1-A</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Counselor competence for a specific client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V02 / A02 / QR02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CA-S8</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C1-B</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Research and statistics literacy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V02 / A02 / QR02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C1-C</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Legal and ethical counseling practice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C1-D</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Clarify counselor and client roles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C1-E</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Explain client rights and responsibilities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C1-F</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Explain confidentiality limits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C1-G</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Explain agency policies and procedures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C1-H</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Review fees, payment, and insurance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C1-I</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Explain counseling process, risks, and benefits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C1-J</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Explain social-media use and limits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C1-K</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Explain legal aspects of counseling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C1-L</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Obtain informed consent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C1-M</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Address electronic-communication confidentiality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C1-N</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Set group rules, expectations, and termination criteria</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C1-O</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Assess capacity to provide informed consent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C1-P</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Monitor alliance and build trust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C1-Q</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Review clinical records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C1-R</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Provide disability accommodations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C1-S</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Disclose information to third parties appropriately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C1-T</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Refer when services are inadequate or inappropriate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V02 / A02 / QR02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CA-S8</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C1-U</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Advocate for clients and the profession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V02 / A02 / QR02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C1-V</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Use supervision appropriately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V02 / A02 / QR02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CA-A1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C1-W</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Create and maintain counseling documentation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C1-X</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Maintain counselor self-care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V02 / A02 / QR02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CA-A2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bl>
    <w:p>
      <w:pPr>
        <w:spacing w:after="0"/>
      </w:pPr>
    </w:p>
    <w:p>
      <w:pPr>
        <w:pStyle w:val="Heading2"/>
      </w:pPr>
      <w:r>
        <w:t>Domain 2 — Intake, Assessment, and Diagnosis</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835"/>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5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Task/Concern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613"/>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65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C2-A</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Conduct a biopsychosocial interview</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C2-B</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Conduct a diagnostic interview</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WB5-C1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C2-C</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Conduct a cultural formulation interview</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C2-D</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Conduct an initial interview</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C2-E</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Determine the diagnosis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WB5-C1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WB6-C5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V05 / A03 / QR05</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C2-F</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Perform a mental status examination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C2-G</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Evaluate co-occurring diagnoses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WB6-C5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WB5-C1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V06 / A03 / QR06</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C2-H</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Determine level of care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V04 / A04 / QR04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C2-I</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Choose the appropriate treatment modality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C2-J</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Assess the presenting problem and distress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C2-K</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Evaluate mental-health functioning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C2-L</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Screen for service fit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CA-S8</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C2-M</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Select, use, and interpret assessment instruments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CA-S6</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C2-N</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Use formal and informal observation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CA-S6</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C2-O</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Assess trauma</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V04 / A04 / QR04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C2-P</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Assess substance use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WB6-C1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V06 / A03 / QR06</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CA-E6</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C2-Q</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Obtain client self-report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C2-R</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Evaluate interactional dynamics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C2-S</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Assess suicide, homicide, self-injury, and violence risk</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V04 / A04 / QR04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C2-T</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Use pre/post measures for outcomes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C2-U</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Evaluate counseling effectiveness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bl>
    <w:p>
      <w:pPr>
        <w:spacing w:after="0"/>
      </w:pPr>
    </w:p>
    <w:p>
      <w:pPr>
        <w:pStyle w:val="Heading2"/>
      </w:pPr>
      <w:r>
        <w:t>Domain 3 — Areas of Clinical Focus</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835"/>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5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Task/Concern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613"/>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65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Adjustment to physical loss, injury, or illness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WB5 / WB6 / 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C3-B</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Aging and gerontological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WB6</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C3-C</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Behavioral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WB6 / WB10</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V09 / A06 / QR09</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C3-D</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Bullying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 / 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C3-E</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Caregiving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C3-F</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Cultural adjustment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C3-G</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End-of-life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C3-H</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Fear and panic</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WB5-C3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V05 / A03 / QR05</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C3-I</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Financial stress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C3-J</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Gender identity development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C3-K</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Grief and loss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WB5-C4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 / WB10</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V05 / A03 / QR05</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C3-L</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Hopelessness and depression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WB5-C2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 / 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V05 / A03 / QR05</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C3-M</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Loneliness and attachment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 / WB10</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C3-N</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Hyper- or hypo-focus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WB6-C3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V06 / A03 / QR06</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C3-O</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Intellectual functioning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WB6-C3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 / WB10</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V06 / A03 / QR06</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C3-P</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Insomnia and sleep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WB6-C4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V06 / A03 / QR06</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C3-Q</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Maladaptive eating behavior</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WB6-C4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V06 / A03 / QR06</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C3-R</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Remarriage and recommitment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C3-S</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Developmental tasks and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C3-T</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Obsessive thoughts and behavior</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WB5-C3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V05 / A03 / QR05</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C3-U</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Career and occupational development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C3-V</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Physical symptoms related to anxiety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WB5-C3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WB6 / 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V05 / A03 / QR05</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C3-W</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Physical symptoms related to depression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WB5-C2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WB6 / 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V05 / A03 / QR05</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C3-X</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Physical or emotional trauma effects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WB5 / 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V04 / A04 / QR04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C3-Y</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Process addictions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WB6-C1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V06 / A03 / QR06</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C3-Z</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Racism, discrimination, and oppression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C3-AA</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Religious-values conflict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C3-AB</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Retirement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C3-AC</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Rumination and intrusive thoughts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WB5-C3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V05 / A03 / QR05</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C3-AD</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Separation from primary caregivers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C3-AE</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Sexual-functioning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WB6-C4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V06 / A03 / QR06</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C3-AF</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Sleep habits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WB6-C4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V06 / A03 / QR06</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C3-AG</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Spiritual and existential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C3-AH</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Stress management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V09 / A06 / QR09</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C3-AI</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Substance use and addiction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WB6-C1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 / 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V06 / A03 / QR06</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C3-AJ</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Suicidal thoughts or behavior</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V04 / A04 / QR04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C3-AK</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Terminal illness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C3-AL</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Hallucinations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WB5-C5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V05 / A03 / QR05</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C3-AM</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Worry and anxiety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WB5-C3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V05 / A03 / QR05</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C3-AN</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Adoption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C3-AO</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Blended-family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C3-AP</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Child-abuse-related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V04 / A04 / QR04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C3-AQ</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Child development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C3-AR</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Dating and relationship problems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 / WB9</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C3-AS</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Divorce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C3-AT</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Family abuse and violence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V04 / A04 / QR04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C3-AU</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Intimate partner violence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V04 / A04 / QR04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C3-AV</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Partner communication problems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C3-AW</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Parenting and co-parenting conflict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C3-AX</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Emotional dysregulation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WB6</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V09 / A06 / QR09</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CA-PRESENT</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bl>
    <w:p>
      <w:pPr>
        <w:spacing w:after="0"/>
      </w:pPr>
    </w:p>
    <w:p>
      <w:pPr>
        <w:pStyle w:val="Heading2"/>
      </w:pPr>
      <w:r>
        <w:t>Domain 4 — Treatment Planning</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835"/>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5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Task/Concern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613"/>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65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C4-A</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Collaboratively establish goals and objectives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C4-B</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Set diagnosis-consistent short- and long-term goals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WB5-C1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C4-C</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Identify barriers to goal attainment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C4-D</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Identify strengths supporting goals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C4-E</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Refer to a different level of care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V04 / A04 / QR04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C4-F</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Refer for concurrent treatment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C4-G</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Guide treatment planning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C4-H</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Discuss termination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C4-I</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Manage transitions in group membership</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C4-J</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Follow up after discharge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C4-K</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Use assessment results in client decision-making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C4-L</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Review and revise the treatment plan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C4-M</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Review progress toward goals with the client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C4-N</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Collaborate with providers and support systems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C4-O</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Plan maintenance of therapeutic progress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C4-P</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Support treatment-plan follow-through</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bl>
    <w:p>
      <w:pPr>
        <w:spacing w:after="0"/>
      </w:pPr>
    </w:p>
    <w:p>
      <w:pPr>
        <w:pStyle w:val="Heading2"/>
      </w:pPr>
      <w:r>
        <w:t>Domain 5 — Counseling Skills and Interventions</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835"/>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5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Task/Concern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613"/>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65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Match interventions to developmental level</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C5-B</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Match interventions to modality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C5-C</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Match interventions to population and access needs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C5-D</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Implement individual counseling from the treatment plan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V09 / A06 / QR09</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C5-E</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Establish the therapeutic alliance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C5-F</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Apply theory-based interventions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C5-G</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Address addiction concerns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WB6-C1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V09 / A06 / QR09</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C5-H</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Integrate cultural considerations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C5-I</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Integrate family composition and culture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C5-J</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Explain systemic interaction patterns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C5-K</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Explore family-member interaction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C5-L</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Explore religious and spiritual values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C5-M</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Teach coping skills and strategies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V09 / A06 / QR09</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C5-N</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Help develop support systems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V09 / A06 / QR09</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C5-O</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Facilitate motivation for change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V09 / A06 / QR09</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C5-P</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Improve interaction patterns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C5-Q</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Provide crisis intervention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V04 / A04 / QR04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C5-R</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Educate about transference and defenses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C5-S</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Facilitate trust and safety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C5-T</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Build communication skills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C5-U</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Develop conflict-resolution strategies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C5-V</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Develop safety plans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V04 / A04 / QR04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C5-W</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Facilitate systemic change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C5-X</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Provide telemental-health counseling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C5-Y</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Provide educational resources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V09 / A06 / QR09</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C5-Z</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Provide psychoeducation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V09 / A06 / QR09</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C5-AA</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Summarize client material</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C5-AB</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Reframe or redirect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C5-AC</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Use empathic responses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C5-AD</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Use self-disclosure purposefully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C5-AE</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Use constructive confrontation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C5-AF</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Facilitate here-and-now awareness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C5-AG</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Facilitate interpersonal conflict resolution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C5-AH</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Use linking and blocking in groups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C5-AI</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Manage leader-member dynamics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C5-AJ</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Model giving and receiving feedback</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C5-AK</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Address extended-family impact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C5-AL</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Contain and manage intense affect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V04 / A04 / QR04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C5-AM</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Explore family-of-origin patterns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WB11-C3</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C5-AN</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Address social-support network impact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C5-AO</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Use structured activities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C5-AP</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Promote member-to-member interaction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C5-AQ</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Promote member-to-leader interaction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C5-AR</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Use psychoeducation in group</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C5-AS</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Explain group-process phases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C5-AT</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Identify group themes and patterns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C5-AU</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Match intervention to group-development stage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C5-AV</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Challenge harmful group behavior</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C5-AW</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Address member contact outside group</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bl>
    <w:p>
      <w:pPr>
        <w:spacing w:after="0"/>
      </w:pPr>
    </w:p>
    <w:p>
      <w:pPr>
        <w:pStyle w:val="Heading2"/>
      </w:pPr>
      <w:r>
        <w:t>Domain 6 — Core Counseling Attributes</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835"/>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5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Task/Concern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613"/>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65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C6-A</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Maintain awareness of self-impact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V02 / A02 / QR02</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C6-B</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Demonstrate genuineness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C6-C</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Demonstrate congruence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C6-D</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Show gender-related sensitivity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C6-E</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Show multicultural sensitivity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C6-F</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Tolerate and resolve conflict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WB8-C5</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C6-G</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Use empathic attunement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C6-H</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Use empathic responding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C6-I</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Foster group therapeutic factors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WB11-C2</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C6-J</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Maintain a nonjudgmental stance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C6-K</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Communicate positive regard</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C6-L</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Respect and accept diversity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WB10-C1</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S3 | Content Lead | 2026-07-26</w:t>
            </w:r>
          </w:p>
        </w:tc>
      </w:tr>
      <w:tr>
        <w:trPr>
          <w:cantSplit/>
        </w:trPr>
        <w:tc>
          <w:tcPr>
            <w:tcW w:type="dxa" w:w="835"/>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C6-M</w:t>
            </w:r>
          </w:p>
        </w:tc>
        <w:tc>
          <w:tcPr>
            <w:tcW w:type="dxa" w:w="45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Use listening, attending, and reflection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613"/>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D/I/C/S</w:t>
            </w:r>
          </w:p>
        </w:tc>
        <w:tc>
          <w:tcPr>
            <w:tcW w:type="dxa" w:w="16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V08 / A06 / QR08</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S3 | Content Lead | 2026-07-26</w:t>
            </w:r>
          </w:p>
        </w:tc>
      </w:tr>
    </w:tbl>
    <w:p>
      <w:pPr>
        <w:spacing w:after="0"/>
      </w:pPr>
    </w:p>
    <w:p>
      <w:pPr>
        <w:pStyle w:val="Heading1"/>
      </w:pPr>
      <w:r>
        <w:t>6. July 1, 2027 Task and Supplemental-Content Matrix</w:t>
      </w:r>
    </w:p>
    <w:tbl>
      <w:tblPr>
        <w:tblW w:type="auto" w:w="0"/>
        <w:jc w:val="center"/>
        <w:tblLook w:firstColumn="1" w:firstRow="1" w:lastColumn="0" w:lastRow="0" w:noHBand="0" w:noVBand="1" w:val="04A0"/>
      </w:tblPr>
      <w:tblGrid>
        <w:gridCol w:w="14688"/>
      </w:tblGrid>
      <w:tr>
        <w:trPr>
          <w:cantSplit/>
          <w:tblHeader w:val="true"/>
        </w:trPr>
        <w:tc>
          <w:tcPr>
            <w:tcW w:type="dxa" w:w="14688"/>
            <w:shd w:fill="E7F2EA"/>
            <w:tcBorders>
              <w:top w:val="single" w:sz="8" w:color="6B8E70"/>
              <w:left w:val="single" w:sz="8" w:color="6B8E70"/>
              <w:bottom w:val="single" w:sz="8" w:color="6B8E70"/>
              <w:right w:val="single" w:sz="8" w:color="6B8E70"/>
            </w:tcBorders>
            <w:tcMar>
              <w:top w:w="110" w:type="dxa"/>
              <w:start w:w="135" w:type="dxa"/>
              <w:bottom w:w="110" w:type="dxa"/>
              <w:end w:w="135" w:type="dxa"/>
            </w:tcMar>
          </w:tcPr>
          <w:p>
            <w:pPr>
              <w:spacing w:after="60"/>
            </w:pPr>
            <w:r>
              <w:rPr>
                <w:rFonts w:ascii="Arial" w:hAnsi="Arial"/>
                <w:b/>
                <w:color w:val="17365D"/>
                <w:sz w:val="21"/>
              </w:rPr>
              <w:t>Transition rule</w:t>
            </w:r>
          </w:p>
          <w:p>
            <w:pPr>
              <w:spacing w:after="0" w:line="250" w:lineRule="auto"/>
            </w:pPr>
            <w:r>
              <w:rPr>
                <w:rFonts w:ascii="Arial" w:hAnsi="Arial"/>
                <w:color w:val="1F2937"/>
                <w:sz w:val="19"/>
              </w:rPr>
              <w:t>Current v1.x content is dual-coded now. Version 2.0 must revise exam mechanics, reweight all cumulative and comprehensive forms, expand indirect client care and compliance coverage, and use two reviewable halves.</w:t>
            </w:r>
          </w:p>
        </w:tc>
      </w:tr>
    </w:tbl>
    <w:p>
      <w:pPr>
        <w:spacing w:after="0"/>
      </w:pPr>
    </w:p>
    <w:p>
      <w:pPr>
        <w:pStyle w:val="Heading2"/>
      </w:pPr>
      <w:r>
        <w:t>Domain 1A — Professional Development</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9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4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58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72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F1A-1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Seek peer consultation for a skill or modality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CA-A1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F1A-2</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Seek clinical supervision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CA-A1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F1A-3</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Complete continuing professional education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CA-A1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F1A-4</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Develop knowledge of empirically supported approaches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V09 / A06 / QR09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F1A-5</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Advocate for clients and the counseling profession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F1A-6</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Complete ethics-focused training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F1A-7</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Complete ethical/legal AI training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F1A-8</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Develop competence with cultures and populations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bl>
    <w:p>
      <w:pPr>
        <w:spacing w:after="0"/>
      </w:pPr>
    </w:p>
    <w:p>
      <w:pPr>
        <w:pStyle w:val="Heading2"/>
      </w:pPr>
      <w:r>
        <w:t>Domain 1B — Counselor Self-Awareness</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9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4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58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72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F1B-1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Address compassion fatigue and burnout risk</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CA-A2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F1B-2</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Assess vicarious-trauma exposure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CA-A2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F1B-3</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Identify need for specialized training or certification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WB2-C2</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CA-S8</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F1B-4</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Assess counselor strengths and limits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CA-S8</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F1B-5</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Assess suitability for the client and sociocultural needs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CA-S8</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F1B-6</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Use counselor self-regulation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CA-A2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F1B-7</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Determine client-counselor fit and conflicts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F1B-8</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Determine competence to administer assessments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WB2-C2</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CA-S7</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F1B-9</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Maintain professional boundaries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F1B-10</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Practice self-care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CA-A2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F1B-11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Practice structured self-reflection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V02 / A02 / QR02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CA-A2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bl>
    <w:p>
      <w:pPr>
        <w:spacing w:after="0"/>
      </w:pPr>
    </w:p>
    <w:p>
      <w:pPr>
        <w:pStyle w:val="Heading2"/>
      </w:pPr>
      <w:r>
        <w:t>Domain 2A — Intake</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9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4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58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72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F2A-1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Discuss and obtain consent or assent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F2A-2</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Evaluate barriers to service at entry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F2A-3</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Obtain client self-report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F2A-4</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Obtain authorized collateral information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WB3-C2</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F2A-5</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Review policies and procedures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F2A-6</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Obtain modality-appropriate consent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F2A-7</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Obtain telemental-health consent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bl>
    <w:p>
      <w:pPr>
        <w:spacing w:after="0"/>
      </w:pPr>
    </w:p>
    <w:p>
      <w:pPr>
        <w:pStyle w:val="Heading2"/>
      </w:pPr>
      <w:r>
        <w:t>Domain 2B — Assessment</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9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4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58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72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F2B-1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Assess trauma</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V04 / A04 / QR04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F2B-2</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Assess risk to self and others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WB4-C2</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V04 / A04 / QR04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F2B-3</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Assess substance use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WB6-C1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V06 / A03 / QR06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CA-E6</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F2B-4</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Conduct biopsychosocial assessment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WB3-C2</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F2B-5</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Conduct a mental status examination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F2B-6</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Determine co-occurring and differential diagnoses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WB6-C5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WB5-C1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V06 / A03 / QR06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F2B-7</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Determine level of care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V04 / A04 / QR04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F2B-8</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Use formal and informal observations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CA-S6</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F2B-9</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Use screening instruments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WB6-C1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CA-S6</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F2B-10</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Discuss assessment results with the client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F2B-11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Select and interpret culturally/developmentally appropriate assessments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CA-S6</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F2B-12</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Select a DSM/ICD diagnosis using all available data</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WB5-C1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WB6-C5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V05 / A03 / QR05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bl>
    <w:p>
      <w:pPr>
        <w:spacing w:after="0"/>
      </w:pPr>
    </w:p>
    <w:p>
      <w:pPr>
        <w:pStyle w:val="Heading2"/>
      </w:pPr>
      <w:r>
        <w:t>Domain 3A — Treatment Planning</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9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4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58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72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F3A-1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Help prioritize presenting problems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F3A-2</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Develop SMART goals and objectives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WB7-C2</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F3A-3</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Develop the initial treatment plan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WB5-C1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F3A-4</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Identify strengths and barriers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F3A-5</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Integrate assessment results into the plan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F3A-6</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Integrate culture and context into planning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F3A-7</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Review diagnosis collaboratively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WB5-C1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CA-E3</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F3A-8</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Assess treatment contraindications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V09 / A06 / QR09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CA-S8</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F3A-9</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Collaboratively establish goals and objectives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WB7-C2</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F3A-10</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Revise the plan collaboratively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F3A-11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Develop behavioral-management plans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bl>
    <w:p>
      <w:pPr>
        <w:spacing w:after="0"/>
      </w:pPr>
    </w:p>
    <w:p>
      <w:pPr>
        <w:pStyle w:val="Heading2"/>
      </w:pPr>
      <w:r>
        <w:t>Domain 3B — Continuity of Care</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9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4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58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72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F3B-1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Refer clients or family members to resources/specialists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CA-S8</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F3B-2</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Develop an aftercare plan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F3B-3</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Plan maintenance of progress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F3B-4</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Develop a discharge plan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F3B-5</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Develop relapse-prevention plan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F3B-6</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Plan for service disruption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F3B-7</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Review progress at planned intervals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F3B-8</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Evaluate treatment effectiveness and response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F3B-9</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Set termination criteria collaboratively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V07 / A05 / QR07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bl>
    <w:p>
      <w:pPr>
        <w:spacing w:after="0"/>
      </w:pPr>
    </w:p>
    <w:p>
      <w:pPr>
        <w:pStyle w:val="Heading2"/>
      </w:pPr>
      <w:r>
        <w:t>Domain 4 — Provision of Counseling Interventions</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9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4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58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72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F4-1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Provide dynamic couple/family counseling within competence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F4-2</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Explore culture, context, values, and worldview</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F4-3</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Facilitate client skill development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V09 / A06 / QR09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F4-4</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Support navigation of interpersonal relationships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F4-5</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Foster group therapeutic process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WB11-C2</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F4-6</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Implement empirically supported interventions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WB9-C1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V09 / A06 / QR09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F4-7</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Match interventions to service modality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F4-8</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Integrate culture/context into the counseling relationship</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F4-9</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Orient the client to counseling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V03 / A03 / QR03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F4-10</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Provide crisis intervention and de-escalation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WB4-C5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V04 / A04 / QR04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CA-E5</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F4-11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Provide psychoeducation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V09 / A06 / QR09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F4-12</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Solicit client feedback on counseling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V08 / A06 / QR08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F4-13</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Support client self-advocacy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F4-14</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Use core counseling skills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WB8-C4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V08 / A06 / QR08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F4-15</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Monitor and repair therapeutic ruptures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WB8-C5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V08 / A06 / QR08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CA-S4</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bl>
    <w:p>
      <w:pPr>
        <w:spacing w:after="0"/>
      </w:pPr>
    </w:p>
    <w:p>
      <w:pPr>
        <w:pStyle w:val="Heading2"/>
      </w:pPr>
      <w:r>
        <w:t>Domain 5 — Indirect Client Care</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9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4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58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72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F5-1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Collaborate with client support systems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F5-2</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Collaborate with nonclinical stakeholders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F5-3</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Collaborate with treatment providers and teams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WB7-C3</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CA-S8</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F5-4</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Document client-reported medication effects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WB6-C5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V11 / A07 / QR11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CA-S8</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F5-5</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Maintain a current referral-resource list</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V11 / A07 / QR11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CA-S8</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F5-6</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Review records before sessions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WB11-C5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F5-7</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Secure qualified language services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WB10-C2</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WB11-C5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V10 / A07 / QR10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F5-8</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Write clinical documentation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bl>
    <w:p>
      <w:pPr>
        <w:spacing w:after="0"/>
      </w:pPr>
    </w:p>
    <w:p>
      <w:pPr>
        <w:pStyle w:val="Heading2"/>
      </w:pPr>
      <w:r>
        <w:t>Domain 6 — Legal and Ethical Compliance</w:t>
      </w:r>
    </w:p>
    <w:tbl>
      <w:tblPr>
        <w:tblW w:type="auto" w:w="0"/>
        <w:jc w:val="center"/>
        <w:tblLayout w:type="fixed"/>
        <w:tblLook w:firstColumn="1" w:firstRow="1" w:lastColumn="0" w:lastRow="0" w:noHBand="0" w:noVBand="1" w:val="04A0"/>
      </w:tblPr>
      <w:tblGrid>
        <w:gridCol w:w="1836"/>
        <w:gridCol w:w="1836"/>
        <w:gridCol w:w="1836"/>
        <w:gridCol w:w="1836"/>
        <w:gridCol w:w="1836"/>
        <w:gridCol w:w="1836"/>
        <w:gridCol w:w="1836"/>
        <w:gridCol w:w="1836"/>
      </w:tblGrid>
      <w:tr>
        <w:trPr>
          <w:tblHeader w:val="true"/>
        </w:trPr>
        <w:tc>
          <w:tcPr>
            <w:tcW w:type="dxa" w:w="93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Code</w:t>
            </w:r>
          </w:p>
        </w:tc>
        <w:tc>
          <w:tcPr>
            <w:tcW w:type="dxa" w:w="44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CTA Task Paraphrase</w:t>
            </w:r>
          </w:p>
        </w:tc>
        <w:tc>
          <w:tcPr>
            <w:tcW w:type="dxa" w:w="1181"/>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Primary</w:t>
            </w:r>
          </w:p>
        </w:tc>
        <w:tc>
          <w:tcPr>
            <w:tcW w:type="dxa" w:w="158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Secondary</w:t>
            </w:r>
          </w:p>
        </w:tc>
        <w:tc>
          <w:tcPr>
            <w:tcW w:type="dxa" w:w="10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Practice</w:t>
            </w:r>
          </w:p>
        </w:tc>
        <w:tc>
          <w:tcPr>
            <w:tcW w:type="dxa" w:w="172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Media</w:t>
            </w:r>
          </w:p>
        </w:tc>
        <w:tc>
          <w:tcPr>
            <w:tcW w:type="dxa" w:w="122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CA Overlay</w:t>
            </w:r>
          </w:p>
        </w:tc>
        <w:tc>
          <w:tcPr>
            <w:tcW w:type="dxa" w:w="15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2"/>
              </w:rPr>
              <w:t>Source / Owner</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F6-1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Activate the practice emergency plan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F6-2</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Follow clinical policies and standard procedures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F6-3</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Follow applicable state and federal laws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WB12-C2</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F6-4</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Follow telemental-health best practices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WB3-C5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F6-5</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Follow counseling ethics codes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F6-6</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Maintain licensure status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CA-A1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F6-7</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Engage in billing, reimbursement, and panel processes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WB7-C4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F6-8</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Complete compliance training</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F6-9</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Use telemental-health platforms compliantly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WB3-C5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F6-10</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Support reimbursement with adequate documentation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WB7-C4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F6-11</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Implement technology-assisted clinical tools responsibly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WB9-C5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F6-12</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Maintain professional liability coverage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F6-13</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Practice within portability and jurisdiction rules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F6-14</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Provide disability accommodations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WB10-C2</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V10 / A07 / QR10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CA-E2</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F6-15</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Review and update the emergency plan</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WB4-C1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F6-16</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Securely maintain records and files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WB12-C2</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F6-17</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Obtain guidance on court obligations</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F6-18</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Use EHR/EMR systems responsibly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WB12-C5</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F6-19</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Use artificial intelligence responsibly in practice</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WB12-C4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WB2-C4</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2"/>
              </w:rPr>
              <w:t>S4 | Content Lead | 2026-07-26</w:t>
            </w:r>
          </w:p>
        </w:tc>
      </w:tr>
      <w:tr>
        <w:trPr>
          <w:cantSplit/>
        </w:trPr>
        <w:tc>
          <w:tcPr>
            <w:tcW w:type="dxa" w:w="93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F6-20</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Market counseling services appropriately</w:t>
            </w:r>
          </w:p>
        </w:tc>
        <w:tc>
          <w:tcPr>
            <w:tcW w:type="dxa" w:w="1181"/>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WB12-C4</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WB2-C1</w:t>
            </w:r>
          </w:p>
        </w:tc>
        <w:tc>
          <w:tcPr>
            <w:tcW w:type="dxa" w:w="10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B/D/I/S</w:t>
            </w:r>
          </w:p>
        </w:tc>
        <w:tc>
          <w:tcPr>
            <w:tcW w:type="dxa" w:w="172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V12 / A07 / QR12 / QR14</w:t>
            </w:r>
          </w:p>
        </w:tc>
        <w:tc>
          <w:tcPr>
            <w:tcW w:type="dxa" w:w="122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CA-E1</w:t>
            </w:r>
          </w:p>
        </w:tc>
        <w:tc>
          <w:tcPr>
            <w:tcW w:type="dxa" w:w="15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2"/>
              </w:rPr>
              <w:t>S4 | Content Lead | 2026-07-26</w:t>
            </w:r>
          </w:p>
        </w:tc>
      </w:tr>
    </w:tbl>
    <w:p>
      <w:pPr>
        <w:spacing w:after="0"/>
      </w:pPr>
    </w:p>
    <w:p>
      <w:pPr>
        <w:pStyle w:val="Heading2"/>
      </w:pPr>
      <w:r>
        <w:t>2027 Supplemental Presenting Concerns</w:t>
      </w:r>
    </w:p>
    <w:tbl>
      <w:tblPr>
        <w:tblW w:type="auto" w:w="0"/>
        <w:jc w:val="center"/>
        <w:tblLayout w:type="fixed"/>
        <w:tblLook w:firstColumn="1" w:firstRow="1" w:lastColumn="0" w:lastRow="0" w:noHBand="0" w:noVBand="1" w:val="04A0"/>
      </w:tblPr>
      <w:tblGrid>
        <w:gridCol w:w="3672"/>
        <w:gridCol w:w="3672"/>
        <w:gridCol w:w="3672"/>
        <w:gridCol w:w="3672"/>
      </w:tblGrid>
      <w:tr>
        <w:trPr>
          <w:tblHeader w:val="true"/>
        </w:trPr>
        <w:tc>
          <w:tcPr>
            <w:tcW w:type="dxa" w:w="50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3"/>
              </w:rPr>
              <w:t>#</w:t>
            </w:r>
          </w:p>
        </w:tc>
        <w:tc>
          <w:tcPr>
            <w:tcW w:type="dxa" w:w="590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3"/>
              </w:rPr>
              <w:t>Concern Cluster</w:t>
            </w:r>
          </w:p>
        </w:tc>
        <w:tc>
          <w:tcPr>
            <w:tcW w:type="dxa" w:w="259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3"/>
              </w:rPr>
              <w:t>Primary Placement</w:t>
            </w:r>
          </w:p>
        </w:tc>
        <w:tc>
          <w:tcPr>
            <w:tcW w:type="dxa" w:w="554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3"/>
              </w:rPr>
              <w:t>Practice Control</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Fear, panic, worry, and anxiety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WB5 / WB9</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Stress management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WB9 / 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3</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Self-esteem and self-acceptance</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WB8 / WB9</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4</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Emotional dysregulation</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WB6 / WB9</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5</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Depression, hopelessness, and loneliness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WB5 / WB9</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6</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Somatic symptoms related to distress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WB5 / WB6 / WB9</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7</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Dating and partner relationship problems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WB11 / WB8</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8</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Behavioral concerns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WB6 / WB9</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9</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Rumination and intrusive thoughts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WB5 / WB9</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10</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Unhealthy attachment patterns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WB8 / WB11</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11</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Insomnia and sleep hygiene</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WB6 / WB9</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12</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Financial concerns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13</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Grief and loss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WB5 / WB9 / 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14</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Executive functioning concerns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WB6 / 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15</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Hyper- or hypo-focus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WB6 / 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16</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Career, job-search, college, and retirement concerns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17</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Anger management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WB9 / WB11</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18</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Burnout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WB2</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19</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Obsessions and compulsions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WB5 / WB9</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20</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Academic or school behavior</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21</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Parenting and co-parenting conflict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WB11 / 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22</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Cultural adjustment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23</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Substance misuse and addiction</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WB6 / WB9</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24</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Spiritual, religious, and existential concerns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 / WB8</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25</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Racism, discrimination, and oppression</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26</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Blended-family concerns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WB11</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27</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Suicidal or homicidal thoughts/behavior</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WB4</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28</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Caregiving concerns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29</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Child development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30</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Bullying</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 / WB4</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31</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Adjustment to loss, injury, or medical condition</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WB10 / WB6</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32</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Aging and gerontological concerns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33</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Dissociation</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WB6 / WB4</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34</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Family abuse and violence</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WB4</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35</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Intellectual functioning concerns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WB6 / 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36</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Gender identity development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37</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Maladaptive eating and eating disorders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WB6 / WB9</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38</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Injury to self or others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WB4</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39</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Sexual violence</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WB4 / WB10</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Integrate in workbook mini cases, cumulative case lab, and Form A/B case distribution.</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40</w:t>
            </w:r>
          </w:p>
        </w:tc>
        <w:tc>
          <w:tcPr>
            <w:tcW w:type="dxa" w:w="59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Child abuse and neglect concerns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WB4</w:t>
            </w:r>
          </w:p>
        </w:tc>
        <w:tc>
          <w:tcPr>
            <w:tcW w:type="dxa" w:w="55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Integrate in workbook mini cases, cumulative case lab, and Form A/B case distribution.</w:t>
            </w:r>
          </w:p>
        </w:tc>
      </w:tr>
    </w:tbl>
    <w:p>
      <w:pPr>
        <w:spacing w:after="0"/>
      </w:pPr>
    </w:p>
    <w:p>
      <w:pPr>
        <w:pStyle w:val="Heading2"/>
      </w:pPr>
      <w:r>
        <w:t>2027 Supplemental Theoretical Frameworks</w:t>
      </w:r>
    </w:p>
    <w:tbl>
      <w:tblPr>
        <w:tblW w:type="auto" w:w="0"/>
        <w:jc w:val="center"/>
        <w:tblLayout w:type="fixed"/>
        <w:tblLook w:firstColumn="1" w:firstRow="1" w:lastColumn="0" w:lastRow="0" w:noHBand="0" w:noVBand="1" w:val="04A0"/>
      </w:tblPr>
      <w:tblGrid>
        <w:gridCol w:w="3672"/>
        <w:gridCol w:w="3672"/>
        <w:gridCol w:w="3672"/>
        <w:gridCol w:w="3672"/>
      </w:tblGrid>
      <w:tr>
        <w:trPr>
          <w:tblHeader w:val="true"/>
        </w:trPr>
        <w:tc>
          <w:tcPr>
            <w:tcW w:type="dxa" w:w="50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3"/>
              </w:rPr>
              <w:t>#</w:t>
            </w:r>
          </w:p>
        </w:tc>
        <w:tc>
          <w:tcPr>
            <w:tcW w:type="dxa" w:w="5040"/>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3"/>
              </w:rPr>
              <w:t>Framework</w:t>
            </w:r>
          </w:p>
        </w:tc>
        <w:tc>
          <w:tcPr>
            <w:tcW w:type="dxa" w:w="259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3"/>
              </w:rPr>
              <w:t>Primary Placement</w:t>
            </w:r>
          </w:p>
        </w:tc>
        <w:tc>
          <w:tcPr>
            <w:tcW w:type="dxa" w:w="640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3"/>
              </w:rPr>
              <w:t>Instruction Control</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Cognitive behavioral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WB8 / WB9</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Person-centered counseling</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WB8</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3</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Mindfulness-based cognitive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WB9</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4</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Humanistic approaches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WB8</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5</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Trauma-focused CBT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WB9</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6</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Erikson psychosocial development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7</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Behaviorism</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WB8 / WB9</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8</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CBT for suicide prevention</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WB4 / WB9</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9</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Cognitive processing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WB9</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10</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Reality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WB8</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11</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Emotionally focused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WB11 / WB8</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12</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Attachment theory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WB8 / WB11</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13</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Solution-focused brief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WB8 / WB9</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14</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Grief counseling</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WB9 / WB10</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15</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Motivational interviewing</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WB9</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16</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Dialectical behavior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WB9</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17</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Acceptance and commitment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WB9</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18</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Internal family systems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WB8 / WB11</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19</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Narrative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WB8</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20</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Multicultural orientation</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 / WB8</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21</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Existential counseling</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WB8</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22</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Rational emotive behavior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WB8 / WB9</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23</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Gottman method overview within competence</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WB11</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24</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Structural family therapy overview within competence</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WB11</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25</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Stages of group development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WB11</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26</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Somatic approaches and scope limits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WB9 / WB2</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27</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Gestalt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WB8</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28</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Krumboltz social learning career theory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29</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Adlerian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WB8</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30</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Psychodynamic therapy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WB8</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31</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Exposure and response prevention</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WB9</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32</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Biofeedback and scope/coordination</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WB9 / WB11</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33</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Lifespan career development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WB10</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formulation, mechanism, fit, limits, and distractor distinctions—not technique memorization alone.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34</w:t>
            </w:r>
          </w:p>
        </w:tc>
        <w:tc>
          <w:tcPr>
            <w:tcW w:type="dxa" w:w="50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Bowen/multigenerational family theory overview</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WB11 / WB8</w:t>
            </w:r>
          </w:p>
        </w:tc>
        <w:tc>
          <w:tcPr>
            <w:tcW w:type="dxa" w:w="640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formulation, mechanism, fit, limits, and distractor distinctions—not technique memorization alone.</w:t>
            </w:r>
          </w:p>
        </w:tc>
      </w:tr>
    </w:tbl>
    <w:p>
      <w:pPr>
        <w:spacing w:after="0"/>
      </w:pPr>
    </w:p>
    <w:p>
      <w:pPr>
        <w:pStyle w:val="Heading2"/>
      </w:pPr>
      <w:r>
        <w:t>2027 Supplemental Tools and Assessments</w:t>
      </w:r>
    </w:p>
    <w:tbl>
      <w:tblPr>
        <w:tblW w:type="auto" w:w="0"/>
        <w:jc w:val="center"/>
        <w:tblLayout w:type="fixed"/>
        <w:tblLook w:firstColumn="1" w:firstRow="1" w:lastColumn="0" w:lastRow="0" w:noHBand="0" w:noVBand="1" w:val="04A0"/>
      </w:tblPr>
      <w:tblGrid>
        <w:gridCol w:w="3672"/>
        <w:gridCol w:w="3672"/>
        <w:gridCol w:w="3672"/>
        <w:gridCol w:w="3672"/>
      </w:tblGrid>
      <w:tr>
        <w:trPr>
          <w:tblHeader w:val="true"/>
        </w:trPr>
        <w:tc>
          <w:tcPr>
            <w:tcW w:type="dxa" w:w="50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3"/>
              </w:rPr>
              <w:t>#</w:t>
            </w:r>
          </w:p>
        </w:tc>
        <w:tc>
          <w:tcPr>
            <w:tcW w:type="dxa" w:w="518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3"/>
              </w:rPr>
              <w:t>Tool/Resource</w:t>
            </w:r>
          </w:p>
        </w:tc>
        <w:tc>
          <w:tcPr>
            <w:tcW w:type="dxa" w:w="259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3"/>
              </w:rPr>
              <w:t>Primary Placement</w:t>
            </w:r>
          </w:p>
        </w:tc>
        <w:tc>
          <w:tcPr>
            <w:tcW w:type="dxa" w:w="62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3"/>
              </w:rPr>
              <w:t>Use Control</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DSM-5-TR</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WB5 / WB6</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988 Suicide &amp; Crisis Lifeline</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WB4</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3</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Professional memberships and development resources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WB2</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4</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Telehealth software</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WB12 / WB3</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5</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Mental Status Examination</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WB3</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6</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Patient Health Questionnaire family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WB3 / WB5</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7</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Peer-reviewed research</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WB2 / WB9</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8</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Practice-management and EHR systems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WB12</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9</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Columbia suicide scale</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WB4</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10</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Adverse Childhood Experiences questionnaires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WB3 / WB4</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11</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Beck Depression Inventory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WB3 / WB5</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12</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Trauma inventories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WB3 / WB4</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13</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Beck Anxiety Inventory</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WB3 / WB5</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14</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Ask Suicide-Screening Questions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WB4</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15</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PTSD Checklist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WB3 / WB5</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16</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Treatment-planning tools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WB7</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17</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Supervision contract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WB2 / WB12</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18</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Genogram</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WB3 / WB11</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19</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APA Publication Manual</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WB2</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20</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Community needs and strengths assessments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WB10 / WB11</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21</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Myers-Briggs Type Indicator: limits and appropriate use</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WB3 / WB2</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22</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CAQH credentialing system</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WB12</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23</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311 community-resource hotline</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WB11</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24</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ICD-11-CM orientation</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WB5 / WB6</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25</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AUDIT</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WB3 / WB6</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26</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Artificial intelligence tools</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WB12</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3"/>
              </w:rPr>
              <w:t>Teach purpose, appropriate use, limits, scope, interpretation, and referral/coordination as applicable.</w:t>
            </w:r>
          </w:p>
        </w:tc>
      </w:tr>
      <w:tr>
        <w:trPr>
          <w:cantSplit/>
        </w:trPr>
        <w:tc>
          <w:tcPr>
            <w:tcW w:type="dxa" w:w="50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27</w:t>
            </w:r>
          </w:p>
        </w:tc>
        <w:tc>
          <w:tcPr>
            <w:tcW w:type="dxa" w:w="51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Self-Directed Search</w:t>
            </w:r>
          </w:p>
        </w:tc>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WB10</w:t>
            </w:r>
          </w:p>
        </w:tc>
        <w:tc>
          <w:tcPr>
            <w:tcW w:type="dxa" w:w="62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3"/>
              </w:rPr>
              <w:t>Teach purpose, appropriate use, limits, scope, interpretation, and referral/coordination as applicable.</w:t>
            </w:r>
          </w:p>
        </w:tc>
      </w:tr>
    </w:tbl>
    <w:p>
      <w:pPr>
        <w:spacing w:after="0"/>
      </w:pPr>
    </w:p>
    <w:p>
      <w:pPr>
        <w:sectPr>
          <w:headerReference w:type="default" r:id="rId12"/>
          <w:footerReference w:type="default" r:id="rId13"/>
          <w:pgSz w:w="15840" w:h="12240" w:orient="landscape"/>
          <w:pgMar w:top="691" w:right="576" w:bottom="691" w:left="576" w:header="317" w:footer="317" w:gutter="0"/>
          <w:cols w:space="720"/>
          <w:docGrid w:linePitch="360"/>
        </w:sectPr>
      </w:pPr>
    </w:p>
    <w:p>
      <w:pPr>
        <w:pStyle w:val="Heading1"/>
      </w:pPr>
      <w:r>
        <w:t>7. Practice, Media, and Simulation Production Controls</w:t>
      </w:r>
    </w:p>
    <w:p>
      <w:pPr>
        <w:pStyle w:val="Heading2"/>
      </w:pPr>
      <w:r>
        <w:t>Workbook Bank Standard</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088"/>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7"/>
              </w:rPr>
              <w:t>Control</w:t>
            </w:r>
          </w:p>
        </w:tc>
        <w:tc>
          <w:tcPr>
            <w:tcW w:type="dxa" w:w="835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7"/>
              </w:rPr>
              <w:t>Standard</w:t>
            </w:r>
          </w:p>
        </w:tc>
      </w:tr>
      <w:tr>
        <w:trPr>
          <w:cantSplit/>
        </w:trPr>
        <w:tc>
          <w:tcPr>
            <w:tcW w:type="dxa" w:w="20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Total</w:t>
            </w:r>
          </w:p>
        </w:tc>
        <w:tc>
          <w:tcPr>
            <w:tcW w:type="dxa" w:w="83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17 items per workbook; 204 across 12 workbooks.</w:t>
            </w:r>
          </w:p>
        </w:tc>
      </w:tr>
      <w:tr>
        <w:trPr>
          <w:cantSplit/>
        </w:trPr>
        <w:tc>
          <w:tcPr>
            <w:tcW w:type="dxa" w:w="20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Mini case</w:t>
            </w:r>
          </w:p>
        </w:tc>
        <w:tc>
          <w:tcPr>
            <w:tcW w:type="dxa" w:w="83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12 linked questions across intake and two subsequent counseling sessions.</w:t>
            </w:r>
          </w:p>
        </w:tc>
      </w:tr>
      <w:tr>
        <w:trPr>
          <w:cantSplit/>
        </w:trPr>
        <w:tc>
          <w:tcPr>
            <w:tcW w:type="dxa" w:w="20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Targeted items</w:t>
            </w:r>
          </w:p>
        </w:tc>
        <w:tc>
          <w:tcPr>
            <w:tcW w:type="dxa" w:w="83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Five focused items for high-yield distinctions, scope, theory fit, diagnosis, or examination strategy.</w:t>
            </w:r>
          </w:p>
        </w:tc>
      </w:tr>
      <w:tr>
        <w:trPr>
          <w:cantSplit/>
        </w:trPr>
        <w:tc>
          <w:tcPr>
            <w:tcW w:type="dxa" w:w="20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Difficulty</w:t>
            </w:r>
          </w:p>
        </w:tc>
        <w:tc>
          <w:tcPr>
            <w:tcW w:type="dxa" w:w="83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5 Easy / 7 Moderate / 5 Difficult; difficulty is independent of item type.</w:t>
            </w:r>
          </w:p>
        </w:tc>
      </w:tr>
      <w:tr>
        <w:trPr>
          <w:cantSplit/>
        </w:trPr>
        <w:tc>
          <w:tcPr>
            <w:tcW w:type="dxa" w:w="20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Options</w:t>
            </w:r>
          </w:p>
        </w:tc>
        <w:tc>
          <w:tcPr>
            <w:tcW w:type="dxa" w:w="83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Four options; one best answer; balanced answer positions.</w:t>
            </w:r>
          </w:p>
        </w:tc>
      </w:tr>
      <w:tr>
        <w:trPr>
          <w:cantSplit/>
        </w:trPr>
        <w:tc>
          <w:tcPr>
            <w:tcW w:type="dxa" w:w="20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Rationales</w:t>
            </w:r>
          </w:p>
        </w:tc>
        <w:tc>
          <w:tcPr>
            <w:tcW w:type="dxa" w:w="83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Explain every option, task word, case-section timing, role/scope, missing facts, and common trap.</w:t>
            </w:r>
          </w:p>
        </w:tc>
      </w:tr>
      <w:tr>
        <w:trPr>
          <w:cantSplit/>
        </w:trPr>
        <w:tc>
          <w:tcPr>
            <w:tcW w:type="dxa" w:w="20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Item coding</w:t>
            </w:r>
          </w:p>
        </w:tc>
        <w:tc>
          <w:tcPr>
            <w:tcW w:type="dxa" w:w="83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7"/>
              </w:rPr>
              <w:t>Workbook/chapter, current task, 2027 task, California overlay, concern, theory/tool, cognitive type, difficulty, decision word, source date, exposure log.</w:t>
            </w:r>
          </w:p>
        </w:tc>
      </w:tr>
      <w:tr>
        <w:trPr>
          <w:cantSplit/>
        </w:trPr>
        <w:tc>
          <w:tcPr>
            <w:tcW w:type="dxa" w:w="2088"/>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Release</w:t>
            </w:r>
          </w:p>
        </w:tc>
        <w:tc>
          <w:tcPr>
            <w:tcW w:type="dxa" w:w="835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7"/>
              </w:rPr>
              <w:t>Question form and rationale form are separate. Rationales release only after submission or intentional learner opening.</w:t>
            </w:r>
          </w:p>
        </w:tc>
      </w:tr>
    </w:tbl>
    <w:p>
      <w:pPr>
        <w:spacing w:after="0"/>
      </w:pPr>
    </w:p>
    <w:p>
      <w:pPr>
        <w:pStyle w:val="Heading2"/>
      </w:pPr>
      <w:r>
        <w:t>Cumulative and Comprehensive Assessment Gates</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59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6"/>
              </w:rPr>
              <w:t>Stage</w:t>
            </w:r>
          </w:p>
        </w:tc>
        <w:tc>
          <w:tcPr>
            <w:tcW w:type="dxa" w:w="367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6"/>
              </w:rPr>
              <w:t>Design</w:t>
            </w:r>
          </w:p>
        </w:tc>
        <w:tc>
          <w:tcPr>
            <w:tcW w:type="dxa" w:w="417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6"/>
              </w:rPr>
              <w:t>Control Purpose</w:t>
            </w:r>
          </w:p>
        </w:tc>
      </w:tr>
      <w:tr>
        <w:trPr>
          <w:cantSplit/>
        </w:trPr>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Checkpoint 1 after WB4</w:t>
            </w:r>
          </w:p>
        </w:tc>
        <w:tc>
          <w:tcPr>
            <w:tcW w:type="dxa" w:w="36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3 cases / approximately 36–39 items</w:t>
            </w:r>
          </w:p>
        </w:tc>
        <w:tc>
          <w:tcPr>
            <w:tcW w:type="dxa" w:w="417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Strategy, scope, intake, MSE, culture, crisis, safety, and level of care.</w:t>
            </w:r>
          </w:p>
        </w:tc>
      </w:tr>
      <w:tr>
        <w:trPr>
          <w:cantSplit/>
        </w:trPr>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Checkpoint 2 after WB8</w:t>
            </w:r>
          </w:p>
        </w:tc>
        <w:tc>
          <w:tcPr>
            <w:tcW w:type="dxa" w:w="36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4 cases / approximately 48–52 items</w:t>
            </w:r>
          </w:p>
        </w:tc>
        <w:tc>
          <w:tcPr>
            <w:tcW w:type="dxa" w:w="417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Adds diagnosis, differential, planning, theory, alliance, and core skills.</w:t>
            </w:r>
          </w:p>
        </w:tc>
      </w:tr>
      <w:tr>
        <w:trPr>
          <w:cantSplit/>
        </w:trPr>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Cumulative Case Lab after WB12</w:t>
            </w:r>
          </w:p>
        </w:tc>
        <w:tc>
          <w:tcPr>
            <w:tcW w:type="dxa" w:w="36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5 cases / approximately 60–65 items</w:t>
            </w:r>
          </w:p>
        </w:tc>
        <w:tc>
          <w:tcPr>
            <w:tcW w:type="dxa" w:w="417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Cross-domain integration before Form A.</w:t>
            </w:r>
          </w:p>
        </w:tc>
      </w:tr>
      <w:tr>
        <w:trPr>
          <w:cantSplit/>
        </w:trPr>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Form A — current</w:t>
            </w:r>
          </w:p>
        </w:tc>
        <w:tc>
          <w:tcPr>
            <w:tcW w:type="dxa" w:w="36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11 cases / recommended 143 items / 225 minutes</w:t>
            </w:r>
          </w:p>
        </w:tc>
        <w:tc>
          <w:tcPr>
            <w:tcW w:type="dxa" w:w="417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Diagnostic readiness form; scheduled break after Case 5; section-by-section no-return navigation.</w:t>
            </w:r>
          </w:p>
        </w:tc>
      </w:tr>
      <w:tr>
        <w:trPr>
          <w:cantSplit/>
        </w:trPr>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Remediation gate</w:t>
            </w:r>
          </w:p>
        </w:tc>
        <w:tc>
          <w:tcPr>
            <w:tcW w:type="dxa" w:w="36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Required error classification and targeted review</w:t>
            </w:r>
          </w:p>
        </w:tc>
        <w:tc>
          <w:tcPr>
            <w:tcW w:type="dxa" w:w="417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Content, case section, task word, sequence, safety/duty, assessment sufficiency, diagnosis, theory/intervention fit, scope, culture/context, referral, distractor.</w:t>
            </w:r>
          </w:p>
        </w:tc>
      </w:tr>
      <w:tr>
        <w:trPr>
          <w:cantSplit/>
        </w:trPr>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Form B — current</w:t>
            </w:r>
          </w:p>
        </w:tc>
        <w:tc>
          <w:tcPr>
            <w:tcW w:type="dxa" w:w="36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11 non-overlapping cases / recommended 143 items</w:t>
            </w:r>
          </w:p>
        </w:tc>
        <w:tc>
          <w:tcPr>
            <w:tcW w:type="dxa" w:w="417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Protected final readiness form after remediation.</w:t>
            </w:r>
          </w:p>
        </w:tc>
      </w:tr>
      <w:tr>
        <w:trPr>
          <w:cantSplit/>
        </w:trPr>
        <w:tc>
          <w:tcPr>
            <w:tcW w:type="dxa" w:w="259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2027 conversion</w:t>
            </w:r>
          </w:p>
        </w:tc>
        <w:tc>
          <w:tcPr>
            <w:tcW w:type="dxa" w:w="36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10 cases / 130–150 total / 225 minutes</w:t>
            </w:r>
          </w:p>
        </w:tc>
        <w:tc>
          <w:tcPr>
            <w:tcW w:type="dxa" w:w="417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30–50 field-test-style items; two reviewable halves; optional midpoint break; scaled score 100–500 with 360 official passing point.</w:t>
            </w:r>
          </w:p>
        </w:tc>
      </w:tr>
    </w:tbl>
    <w:p>
      <w:pPr>
        <w:spacing w:after="0"/>
      </w:pPr>
    </w:p>
    <w:p>
      <w:pPr>
        <w:pStyle w:val="Heading2"/>
      </w:pPr>
      <w:r>
        <w:t>Media and Enhancement Asset Controls</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94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6"/>
              </w:rPr>
              <w:t>Asset</w:t>
            </w:r>
          </w:p>
        </w:tc>
        <w:tc>
          <w:tcPr>
            <w:tcW w:type="dxa" w:w="345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6"/>
              </w:rPr>
              <w:t>Scope</w:t>
            </w:r>
          </w:p>
        </w:tc>
        <w:tc>
          <w:tcPr>
            <w:tcW w:type="dxa" w:w="705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6"/>
              </w:rPr>
              <w:t>Control</w:t>
            </w:r>
          </w:p>
        </w:tc>
      </w:tr>
      <w:tr>
        <w:trPr>
          <w:cantSplit/>
        </w:trPr>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V01–V12</w:t>
            </w:r>
          </w:p>
        </w:tc>
        <w:tc>
          <w:tcPr>
            <w:tcW w:type="dxa" w:w="34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One 15–25 minute core video per workbook</w:t>
            </w:r>
          </w:p>
        </w:tc>
        <w:tc>
          <w:tcPr>
            <w:tcW w:type="dxa" w:w="70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Decision-focused; captioned; audio-only available; essential content also appears in Word.</w:t>
            </w:r>
          </w:p>
        </w:tc>
      </w:tr>
      <w:tr>
        <w:trPr>
          <w:cantSplit/>
        </w:trPr>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A01–A08</w:t>
            </w:r>
          </w:p>
        </w:tc>
        <w:tc>
          <w:tcPr>
            <w:tcW w:type="dxa" w:w="34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Eight screen-free audio-review tracks</w:t>
            </w:r>
          </w:p>
        </w:tc>
        <w:tc>
          <w:tcPr>
            <w:tcW w:type="dxa" w:w="70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Recording-ready verbatim scripts; pause prompts and retrieval practice.</w:t>
            </w:r>
          </w:p>
        </w:tc>
      </w:tr>
      <w:tr>
        <w:trPr>
          <w:cantSplit/>
        </w:trPr>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QR01–QR12</w:t>
            </w:r>
          </w:p>
        </w:tc>
        <w:tc>
          <w:tcPr>
            <w:tcW w:type="dxa" w:w="34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One workbook quick-reference sheet each</w:t>
            </w:r>
          </w:p>
        </w:tc>
        <w:tc>
          <w:tcPr>
            <w:tcW w:type="dxa" w:w="70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High-yield rules after full instruction; not a substitute for the workbook.</w:t>
            </w:r>
          </w:p>
        </w:tc>
      </w:tr>
      <w:tr>
        <w:trPr>
          <w:cantSplit/>
        </w:trPr>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QR13</w:t>
            </w:r>
          </w:p>
        </w:tc>
        <w:tc>
          <w:tcPr>
            <w:tcW w:type="dxa" w:w="34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Current Exam Facts</w:t>
            </w:r>
          </w:p>
        </w:tc>
        <w:tc>
          <w:tcPr>
            <w:tcW w:type="dxa" w:w="70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11 cases, timing, navigation, current scoring cautions; reverify before release.</w:t>
            </w:r>
          </w:p>
        </w:tc>
      </w:tr>
      <w:tr>
        <w:trPr>
          <w:cantSplit/>
        </w:trPr>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QR14</w:t>
            </w:r>
          </w:p>
        </w:tc>
        <w:tc>
          <w:tcPr>
            <w:tcW w:type="dxa" w:w="34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2027 Transition</w:t>
            </w:r>
          </w:p>
        </w:tc>
        <w:tc>
          <w:tcPr>
            <w:tcW w:type="dxa" w:w="70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10 cases, new weights, two halves, field-test distribution, scaled-score explanation.</w:t>
            </w:r>
          </w:p>
        </w:tc>
      </w:tr>
      <w:tr>
        <w:trPr>
          <w:cantSplit/>
        </w:trPr>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QR15</w:t>
            </w:r>
          </w:p>
        </w:tc>
        <w:tc>
          <w:tcPr>
            <w:tcW w:type="dxa" w:w="34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Form A/Form B Readiness</w:t>
            </w:r>
          </w:p>
        </w:tc>
        <w:tc>
          <w:tcPr>
            <w:tcW w:type="dxa" w:w="70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Controlled sequence, remediation gate, pacing, confidence, and final-week plan.</w:t>
            </w:r>
          </w:p>
        </w:tc>
      </w:tr>
      <w:tr>
        <w:trPr>
          <w:cantSplit/>
        </w:trPr>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Flashcards</w:t>
            </w:r>
          </w:p>
        </w:tc>
        <w:tc>
          <w:tcPr>
            <w:tcW w:type="dxa" w:w="34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132 cards</w:t>
            </w:r>
          </w:p>
        </w:tc>
        <w:tc>
          <w:tcPr>
            <w:tcW w:type="dxa" w:w="70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12 core-reasoning cards plus 10 per workbook; every card maps back to a workbook/rationale.</w:t>
            </w:r>
          </w:p>
        </w:tc>
      </w:tr>
      <w:tr>
        <w:trPr>
          <w:cantSplit/>
        </w:trPr>
        <w:tc>
          <w:tcPr>
            <w:tcW w:type="dxa" w:w="19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Progress system</w:t>
            </w:r>
          </w:p>
        </w:tc>
        <w:tc>
          <w:tcPr>
            <w:tcW w:type="dxa" w:w="34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10-, 14-, and 18-week routes</w:t>
            </w:r>
          </w:p>
        </w:tc>
        <w:tc>
          <w:tcPr>
            <w:tcW w:type="dxa" w:w="705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Baseline, bank scores, time, confidence, error log, remediation, readiness gates.</w:t>
            </w:r>
          </w:p>
        </w:tc>
      </w:tr>
    </w:tbl>
    <w:p>
      <w:pPr>
        <w:spacing w:after="0"/>
      </w:pPr>
    </w:p>
    <w:p>
      <w:pPr>
        <w:pStyle w:val="Heading1"/>
      </w:pPr>
      <w:r>
        <w:t>8. Coverage Audit and Release Gates</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trPr>
        <w:tc>
          <w:tcPr>
            <w:tcW w:type="dxa" w:w="720"/>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5"/>
              </w:rPr>
              <w:t>WB</w:t>
            </w:r>
          </w:p>
        </w:tc>
        <w:tc>
          <w:tcPr>
            <w:tcW w:type="dxa" w:w="547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5"/>
              </w:rPr>
              <w:t>Workbook</w:t>
            </w:r>
          </w:p>
        </w:tc>
        <w:tc>
          <w:tcPr>
            <w:tcW w:type="dxa" w:w="1440"/>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5"/>
              </w:rPr>
              <w:t>Current Primary Rows</w:t>
            </w:r>
          </w:p>
        </w:tc>
        <w:tc>
          <w:tcPr>
            <w:tcW w:type="dxa" w:w="1440"/>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5"/>
              </w:rPr>
              <w:t>2027 Primary Tasks</w:t>
            </w:r>
          </w:p>
        </w:tc>
        <w:tc>
          <w:tcPr>
            <w:tcW w:type="dxa" w:w="1440"/>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5"/>
              </w:rPr>
              <w:t>Current Focus Concerns</w:t>
            </w:r>
          </w:p>
        </w:tc>
        <w:tc>
          <w:tcPr>
            <w:tcW w:type="dxa" w:w="158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5"/>
              </w:rPr>
              <w:t>Media</w:t>
            </w:r>
          </w:p>
        </w:tc>
      </w:tr>
      <w:tr>
        <w:trPr>
          <w:cantSplit/>
        </w:trPr>
        <w:tc>
          <w:tcPr>
            <w:tcW w:type="dxa" w:w="7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WB1</w:t>
            </w:r>
          </w:p>
        </w:tc>
        <w:tc>
          <w:tcPr>
            <w:tcW w:type="dxa" w:w="54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NCMHCE Case-Study Strategy and Applied Clinical Counselor Reasoning</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0</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0</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0</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V01 / A01 / QR01</w:t>
            </w:r>
          </w:p>
        </w:tc>
      </w:tr>
      <w:tr>
        <w:trPr>
          <w:cantSplit/>
        </w:trPr>
        <w:tc>
          <w:tcPr>
            <w:tcW w:type="dxa" w:w="7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WB2</w:t>
            </w:r>
          </w:p>
        </w:tc>
        <w:tc>
          <w:tcPr>
            <w:tcW w:type="dxa" w:w="54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LPCC Professional Identity, California Scope, Competence, and Counselor Self-Awareness</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7</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15</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0</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V02 / A02 / QR02</w:t>
            </w:r>
          </w:p>
        </w:tc>
      </w:tr>
      <w:tr>
        <w:trPr>
          <w:cantSplit/>
        </w:trPr>
        <w:tc>
          <w:tcPr>
            <w:tcW w:type="dxa" w:w="7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WB3</w:t>
            </w:r>
          </w:p>
        </w:tc>
        <w:tc>
          <w:tcPr>
            <w:tcW w:type="dxa" w:w="54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Intake, Informed Consent, Clinical Interviewing, MSE, and Biopsychosocial-Cultural Assessment</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17</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14</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0</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V03 / A03 / QR03</w:t>
            </w:r>
          </w:p>
        </w:tc>
      </w:tr>
      <w:tr>
        <w:trPr>
          <w:cantSplit/>
        </w:trPr>
        <w:tc>
          <w:tcPr>
            <w:tcW w:type="dxa" w:w="7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WB4</w:t>
            </w:r>
          </w:p>
        </w:tc>
        <w:tc>
          <w:tcPr>
            <w:tcW w:type="dxa" w:w="54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Crisis, Trauma, Abuse, Violence, and Level-of-Care Decisions</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12</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4</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V04 / A04 / QR04</w:t>
            </w:r>
          </w:p>
        </w:tc>
      </w:tr>
      <w:tr>
        <w:trPr>
          <w:cantSplit/>
        </w:trPr>
        <w:tc>
          <w:tcPr>
            <w:tcW w:type="dxa" w:w="7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WB5</w:t>
            </w:r>
          </w:p>
        </w:tc>
        <w:tc>
          <w:tcPr>
            <w:tcW w:type="dxa" w:w="54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Diagnosis and Differential Diagnosis I: Mood, Anxiety, Trauma, OCD, and Psychotic Disorders</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10</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1</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9</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V05 / A03 / QR05</w:t>
            </w:r>
          </w:p>
        </w:tc>
      </w:tr>
      <w:tr>
        <w:trPr>
          <w:cantSplit/>
        </w:trPr>
        <w:tc>
          <w:tcPr>
            <w:tcW w:type="dxa" w:w="7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WB6</w:t>
            </w:r>
          </w:p>
        </w:tc>
        <w:tc>
          <w:tcPr>
            <w:tcW w:type="dxa" w:w="54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Diagnosis and Differential Diagnosis II: Substance Use, Personality, Neurodevelopmental, Eating, Sleep, Somatic, Medical, and Co-Occurring Conditions</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10</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2</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8</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V06 / A03 / QR06</w:t>
            </w:r>
          </w:p>
        </w:tc>
      </w:tr>
      <w:tr>
        <w:trPr>
          <w:cantSplit/>
        </w:trPr>
        <w:tc>
          <w:tcPr>
            <w:tcW w:type="dxa" w:w="7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WB7</w:t>
            </w:r>
          </w:p>
        </w:tc>
        <w:tc>
          <w:tcPr>
            <w:tcW w:type="dxa" w:w="54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Case Conceptualization, Treatment Planning, Measurement, Progress, and Termination</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14</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17</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0</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V07 / A05 / QR07</w:t>
            </w:r>
          </w:p>
        </w:tc>
      </w:tr>
      <w:tr>
        <w:trPr>
          <w:cantSplit/>
        </w:trPr>
        <w:tc>
          <w:tcPr>
            <w:tcW w:type="dxa" w:w="7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WB8</w:t>
            </w:r>
          </w:p>
        </w:tc>
        <w:tc>
          <w:tcPr>
            <w:tcW w:type="dxa" w:w="54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Counseling Theories, Therapeutic Alliance, and Core Counseling Skills</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21</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3</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1</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V08 / A06 / QR08</w:t>
            </w:r>
          </w:p>
        </w:tc>
      </w:tr>
      <w:tr>
        <w:trPr>
          <w:cantSplit/>
        </w:trPr>
        <w:tc>
          <w:tcPr>
            <w:tcW w:type="dxa" w:w="7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WB9</w:t>
            </w:r>
          </w:p>
        </w:tc>
        <w:tc>
          <w:tcPr>
            <w:tcW w:type="dxa" w:w="54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Evidence-Based and Evidence-Informed Interventions Across Common Presenting Concerns</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10</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5</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3</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V09 / A06 / QR09</w:t>
            </w:r>
          </w:p>
        </w:tc>
      </w:tr>
      <w:tr>
        <w:trPr>
          <w:cantSplit/>
        </w:trPr>
        <w:tc>
          <w:tcPr>
            <w:tcW w:type="dxa" w:w="7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WB10</w:t>
            </w:r>
          </w:p>
        </w:tc>
        <w:tc>
          <w:tcPr>
            <w:tcW w:type="dxa" w:w="54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Multicultural, Developmental, Career, Spiritual, Disability, and Context-Responsive Counseling</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28</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6</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19</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V10 / A07 / QR10</w:t>
            </w:r>
          </w:p>
        </w:tc>
      </w:tr>
      <w:tr>
        <w:trPr>
          <w:cantSplit/>
        </w:trPr>
        <w:tc>
          <w:tcPr>
            <w:tcW w:type="dxa" w:w="7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WB11</w:t>
            </w:r>
          </w:p>
        </w:tc>
        <w:tc>
          <w:tcPr>
            <w:tcW w:type="dxa" w:w="54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Individual, Group, Couple/Family, Referral, Continuity, and Interdisciplinary Collaboration</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34</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10</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5</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5"/>
              </w:rPr>
              <w:t>V11 / A07 / QR11</w:t>
            </w:r>
          </w:p>
        </w:tc>
      </w:tr>
      <w:tr>
        <w:trPr>
          <w:cantSplit/>
        </w:trPr>
        <w:tc>
          <w:tcPr>
            <w:tcW w:type="dxa" w:w="72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WB12</w:t>
            </w:r>
          </w:p>
        </w:tc>
        <w:tc>
          <w:tcPr>
            <w:tcW w:type="dxa" w:w="547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California Legal, Ethical, Documentation, Technology, and Professional Practice</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10</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24</w:t>
            </w:r>
          </w:p>
        </w:tc>
        <w:tc>
          <w:tcPr>
            <w:tcW w:type="dxa" w:w="1440"/>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0</w:t>
            </w:r>
          </w:p>
        </w:tc>
        <w:tc>
          <w:tcPr>
            <w:tcW w:type="dxa" w:w="158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5"/>
              </w:rPr>
              <w:t>V12 / A07 / QR12</w:t>
            </w:r>
          </w:p>
        </w:tc>
      </w:tr>
    </w:tbl>
    <w:p>
      <w:pPr>
        <w:spacing w:after="0"/>
      </w:pPr>
    </w:p>
    <w:tbl>
      <w:tblPr>
        <w:tblW w:type="auto" w:w="0"/>
        <w:jc w:val="center"/>
        <w:tblLook w:firstColumn="1" w:firstRow="1" w:lastColumn="0" w:lastRow="0" w:noHBand="0" w:noVBand="1" w:val="04A0"/>
      </w:tblPr>
      <w:tblGrid>
        <w:gridCol w:w="10454"/>
      </w:tblGrid>
      <w:tr>
        <w:trPr>
          <w:cantSplit/>
          <w:tblHeader w:val="true"/>
        </w:trPr>
        <w:tc>
          <w:tcPr>
            <w:tcW w:type="dxa" w:w="10454"/>
            <w:shd w:fill="E7F2EA"/>
            <w:tcBorders>
              <w:top w:val="single" w:sz="8" w:color="6B8E70"/>
              <w:left w:val="single" w:sz="8" w:color="6B8E70"/>
              <w:bottom w:val="single" w:sz="8" w:color="6B8E70"/>
              <w:right w:val="single" w:sz="8" w:color="6B8E70"/>
            </w:tcBorders>
            <w:tcMar>
              <w:top w:w="110" w:type="dxa"/>
              <w:start w:w="135" w:type="dxa"/>
              <w:bottom w:w="110" w:type="dxa"/>
              <w:end w:w="135" w:type="dxa"/>
            </w:tcMar>
          </w:tcPr>
          <w:p>
            <w:pPr>
              <w:spacing w:after="60"/>
            </w:pPr>
            <w:r>
              <w:rPr>
                <w:rFonts w:ascii="Arial" w:hAnsi="Arial"/>
                <w:b/>
                <w:color w:val="17365D"/>
                <w:sz w:val="21"/>
              </w:rPr>
              <w:t>Coverage audit result</w:t>
            </w:r>
          </w:p>
          <w:p>
            <w:pPr>
              <w:spacing w:after="0" w:line="250" w:lineRule="auto"/>
            </w:pPr>
            <w:r>
              <w:rPr>
                <w:rFonts w:ascii="Arial" w:hAnsi="Arial"/>
                <w:color w:val="1F2937"/>
                <w:sz w:val="19"/>
              </w:rPr>
              <w:t>Complete planning coverage recorded: 173 current task/concern rows, 101 2027 work-task rows, 18 California overlay controls, 40 2027 presenting-concern clusters, 34 theoretical frameworks, and 27 tools/assessments. No official task code is left without a primary workbook placement.</w:t>
            </w:r>
          </w:p>
        </w:tc>
      </w:tr>
    </w:tbl>
    <w:p>
      <w:pPr>
        <w:spacing w:after="0"/>
      </w:pPr>
    </w:p>
    <w:p>
      <w:pPr>
        <w:pStyle w:val="Heading2"/>
      </w:pPr>
      <w:r>
        <w:t>Workbook Draft Approval Gate</w:t>
      </w:r>
    </w:p>
    <w:p>
      <w:pPr>
        <w:pStyle w:val="ListBullet"/>
        <w:spacing w:after="50" w:line="247" w:lineRule="auto"/>
      </w:pPr>
      <w:r>
        <w:rPr>
          <w:rFonts w:ascii="Arial" w:hAnsi="Arial"/>
          <w:sz w:val="19"/>
        </w:rPr>
        <w:t>Workbook title, five chapter titles, and primary/secondary blueprint placements are approved.</w:t>
      </w:r>
    </w:p>
    <w:p>
      <w:pPr>
        <w:pStyle w:val="ListBullet"/>
        <w:spacing w:after="50" w:line="247" w:lineRule="auto"/>
      </w:pPr>
      <w:r>
        <w:rPr>
          <w:rFonts w:ascii="Arial" w:hAnsi="Arial"/>
          <w:sz w:val="19"/>
        </w:rPr>
        <w:t>Every chapter objective maps to at least one current task, one 2027 task or bridge, and a California overlay when applicable.</w:t>
      </w:r>
    </w:p>
    <w:p>
      <w:pPr>
        <w:pStyle w:val="ListBullet"/>
        <w:spacing w:after="50" w:line="247" w:lineRule="auto"/>
      </w:pPr>
      <w:r>
        <w:rPr>
          <w:rFonts w:ascii="Arial" w:hAnsi="Arial"/>
          <w:sz w:val="19"/>
        </w:rPr>
        <w:t>Clinical, diagnostic, legal, and exam-policy claims have a source ID and verification date.</w:t>
      </w:r>
    </w:p>
    <w:p>
      <w:pPr>
        <w:pStyle w:val="ListBullet"/>
        <w:spacing w:after="50" w:line="247" w:lineRule="auto"/>
      </w:pPr>
      <w:r>
        <w:rPr>
          <w:rFonts w:ascii="Arial" w:hAnsi="Arial"/>
          <w:sz w:val="19"/>
        </w:rPr>
        <w:t>Profession-specific LPCC scope and assessment limits are explicit; LMFT or LCSW framing is not imported as the organizing lens.</w:t>
      </w:r>
    </w:p>
    <w:p>
      <w:pPr>
        <w:pStyle w:val="ListBullet"/>
        <w:spacing w:after="50" w:line="247" w:lineRule="auto"/>
      </w:pPr>
      <w:r>
        <w:rPr>
          <w:rFonts w:ascii="Arial" w:hAnsi="Arial"/>
          <w:sz w:val="19"/>
        </w:rPr>
        <w:t>Workbook bank blueprint identifies the 12-question mini case, five targeted items, difficulty mix, answer balance, and item codes before drafting.</w:t>
      </w:r>
    </w:p>
    <w:p>
      <w:pPr>
        <w:pStyle w:val="ListBullet"/>
        <w:spacing w:after="50" w:line="247" w:lineRule="auto"/>
      </w:pPr>
      <w:r>
        <w:rPr>
          <w:rFonts w:ascii="Arial" w:hAnsi="Arial"/>
          <w:sz w:val="19"/>
        </w:rPr>
        <w:t>Case representation plan includes varied ages, identities, cultures, disabilities/access needs, settings, levels of care, and presenting concerns without stereotyping.</w:t>
      </w:r>
    </w:p>
    <w:p>
      <w:pPr>
        <w:pStyle w:val="ListBullet"/>
        <w:spacing w:after="50" w:line="247" w:lineRule="auto"/>
      </w:pPr>
      <w:r>
        <w:rPr>
          <w:rFonts w:ascii="Arial" w:hAnsi="Arial"/>
          <w:sz w:val="19"/>
        </w:rPr>
        <w:t>Video/audio narration is drafted from one authoritative Word script and remains synchronized with captions/transcript.</w:t>
      </w:r>
    </w:p>
    <w:p>
      <w:pPr>
        <w:pStyle w:val="ListBullet"/>
        <w:spacing w:after="50" w:line="247" w:lineRule="auto"/>
      </w:pPr>
      <w:r>
        <w:rPr>
          <w:rFonts w:ascii="Arial" w:hAnsi="Arial"/>
          <w:sz w:val="19"/>
        </w:rPr>
        <w:t>Word file passes copyediting, accessibility, print, and visual-render QA before student release.</w:t>
      </w:r>
    </w:p>
    <w:p>
      <w:pPr>
        <w:pStyle w:val="Heading2"/>
      </w:pPr>
      <w:r>
        <w:t>Maintenance and Change-Control Triggers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3096"/>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6"/>
              </w:rPr>
              <w:t>Trigger</w:t>
            </w:r>
          </w:p>
        </w:tc>
        <w:tc>
          <w:tcPr>
            <w:tcW w:type="dxa" w:w="734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6"/>
              </w:rPr>
              <w:t>Required Action</w:t>
            </w:r>
          </w:p>
        </w:tc>
      </w:tr>
      <w:tr>
        <w:trPr>
          <w:cantSplit/>
        </w:trPr>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NBCC revises the current handbook or content outline</w:t>
            </w:r>
          </w:p>
        </w:tc>
        <w:tc>
          <w:tcPr>
            <w:tcW w:type="dxa" w:w="73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Freeze publication; compare format, tasks, weights, and scoring; update S2/S3 and affected rows.</w:t>
            </w:r>
          </w:p>
        </w:tc>
      </w:tr>
      <w:tr>
        <w:trPr>
          <w:cantSplit/>
        </w:trPr>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NBCC publishes a new 2027 handbook/FAQ</w:t>
            </w:r>
          </w:p>
        </w:tc>
        <w:tc>
          <w:tcPr>
            <w:tcW w:type="dxa" w:w="73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Update QR14, WB1, Form A/B v2.0, score language, and navigation simulation.</w:t>
            </w:r>
          </w:p>
        </w:tc>
      </w:tr>
      <w:tr>
        <w:trPr>
          <w:cantSplit/>
        </w:trPr>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California law changes</w:t>
            </w:r>
          </w:p>
        </w:tc>
        <w:tc>
          <w:tcPr>
            <w:tcW w:type="dxa" w:w="73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Legal review updates California overlay and all affected chapters/items; record effective date.</w:t>
            </w:r>
          </w:p>
        </w:tc>
      </w:tr>
      <w:tr>
        <w:trPr>
          <w:cantSplit/>
        </w:trPr>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CTA changes workbook titles or order</w:t>
            </w:r>
          </w:p>
        </w:tc>
        <w:tc>
          <w:tcPr>
            <w:tcW w:type="dxa" w:w="73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Re-run current/future row counts, item coding, media map, and simulation coverage.</w:t>
            </w:r>
          </w:p>
        </w:tc>
      </w:tr>
      <w:tr>
        <w:trPr>
          <w:cantSplit/>
        </w:trPr>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New item is drafted</w:t>
            </w:r>
          </w:p>
        </w:tc>
        <w:tc>
          <w:tcPr>
            <w:tcW w:type="dxa" w:w="73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Assign all required codes before approval; no uncoded item enters a student bank or simulation.</w:t>
            </w:r>
          </w:p>
        </w:tc>
      </w:tr>
      <w:tr>
        <w:trPr>
          <w:cantSplit/>
        </w:trPr>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Item is used in a form</w:t>
            </w:r>
          </w:p>
        </w:tc>
        <w:tc>
          <w:tcPr>
            <w:tcW w:type="dxa" w:w="73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shd w:fill="F2F4F7"/>
          </w:tcPr>
          <w:p>
            <w:pPr>
              <w:spacing w:after="0" w:line="235" w:lineRule="auto"/>
            </w:pPr>
            <w:r>
              <w:rPr>
                <w:rFonts w:ascii="Arial" w:hAnsi="Arial"/>
                <w:color w:val="1F2937"/>
                <w:sz w:val="16"/>
              </w:rPr>
              <w:t>Update exposure log and prevent unintended reuse between Form A and Form B.</w:t>
            </w:r>
          </w:p>
        </w:tc>
      </w:tr>
      <w:tr>
        <w:trPr>
          <w:cantSplit/>
        </w:trPr>
        <w:tc>
          <w:tcPr>
            <w:tcW w:type="dxa" w:w="3096"/>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Official sources conflict</w:t>
            </w:r>
          </w:p>
        </w:tc>
        <w:tc>
          <w:tcPr>
            <w:tcW w:type="dxa" w:w="734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6"/>
              </w:rPr>
              <w:t>Use source hierarchy; document the conflict; do not silently choose the more convenient claim.</w:t>
            </w:r>
          </w:p>
        </w:tc>
      </w:tr>
    </w:tbl>
    <w:p>
      <w:pPr>
        <w:spacing w:after="0"/>
      </w:pPr>
    </w:p>
    <w:p>
      <w:pPr>
        <w:pStyle w:val="Heading2"/>
      </w:pPr>
      <w:r>
        <w:t>Approval Record</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312"/>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8"/>
              </w:rPr>
              <w:t>Review Role</w:t>
            </w:r>
          </w:p>
        </w:tc>
        <w:tc>
          <w:tcPr>
            <w:tcW w:type="dxa" w:w="44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8"/>
              </w:rPr>
              <w:t>Approval</w:t>
            </w:r>
          </w:p>
        </w:tc>
        <w:tc>
          <w:tcPr>
            <w:tcW w:type="dxa" w:w="2664"/>
            <w:shd w:fill="17365D"/>
            <w:tcMar>
              <w:top w:w="60" w:type="dxa"/>
              <w:start w:w="65" w:type="dxa"/>
              <w:bottom w:w="60" w:type="dxa"/>
              <w:end w:w="65" w:type="dxa"/>
            </w:tcMar>
            <w:tcBorders>
              <w:top w:val="single" w:sz="4" w:color="495057"/>
              <w:left w:val="single" w:sz="4" w:color="495057"/>
              <w:bottom w:val="single" w:sz="4" w:color="495057"/>
              <w:right w:val="single" w:sz="4" w:color="495057"/>
            </w:tcBorders>
            <w:vAlign w:val="center"/>
          </w:tcPr>
          <w:p>
            <w:pPr>
              <w:spacing w:after="0" w:line="240" w:lineRule="auto"/>
              <w:jc w:val="center"/>
            </w:pPr>
            <w:r>
              <w:rPr>
                <w:rFonts w:ascii="Arial" w:hAnsi="Arial"/>
                <w:b/>
                <w:color w:val="FFFFFF"/>
                <w:sz w:val="18"/>
              </w:rPr>
              <w:t>Date</w:t>
            </w:r>
          </w:p>
        </w:tc>
      </w:tr>
      <w:tr>
        <w:trPr>
          <w:cantSplit/>
        </w:trPr>
        <w:tc>
          <w:tcPr>
            <w:tcW w:type="dxa" w:w="33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Program Administrator</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__________________________________</w:t>
            </w:r>
          </w:p>
        </w:tc>
        <w:tc>
          <w:tcPr>
            <w:tcW w:type="dxa" w:w="26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Date: _______________</w:t>
            </w:r>
          </w:p>
        </w:tc>
      </w:tr>
      <w:tr>
        <w:trPr>
          <w:cantSplit/>
        </w:trPr>
        <w:tc>
          <w:tcPr>
            <w:tcW w:type="dxa" w:w="33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LPCC/Clinical Content Review</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__________________________________</w:t>
            </w:r>
          </w:p>
        </w:tc>
        <w:tc>
          <w:tcPr>
            <w:tcW w:type="dxa" w:w="26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Date: _______________</w:t>
            </w:r>
          </w:p>
        </w:tc>
      </w:tr>
      <w:tr>
        <w:trPr>
          <w:cantSplit/>
        </w:trPr>
        <w:tc>
          <w:tcPr>
            <w:tcW w:type="dxa" w:w="33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California Legal Review</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__________________________________</w:t>
            </w:r>
          </w:p>
        </w:tc>
        <w:tc>
          <w:tcPr>
            <w:tcW w:type="dxa" w:w="26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Date: _______________</w:t>
            </w:r>
          </w:p>
        </w:tc>
      </w:tr>
      <w:tr>
        <w:trPr>
          <w:cantSplit/>
        </w:trPr>
        <w:tc>
          <w:tcPr>
            <w:tcW w:type="dxa" w:w="33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Assessment/Psychometric Review</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__________________________________</w:t>
            </w:r>
          </w:p>
        </w:tc>
        <w:tc>
          <w:tcPr>
            <w:tcW w:type="dxa" w:w="26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Date: _______________</w:t>
            </w:r>
          </w:p>
        </w:tc>
      </w:tr>
      <w:tr>
        <w:trPr>
          <w:cantSplit/>
        </w:trPr>
        <w:tc>
          <w:tcPr>
            <w:tcW w:type="dxa" w:w="3312"/>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Editorial/Accessibility Review</w:t>
            </w:r>
          </w:p>
        </w:tc>
        <w:tc>
          <w:tcPr>
            <w:tcW w:type="dxa" w:w="44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__________________________________</w:t>
            </w:r>
          </w:p>
        </w:tc>
        <w:tc>
          <w:tcPr>
            <w:tcW w:type="dxa" w:w="2664"/>
            <w:tcMar>
              <w:top w:w="45" w:type="dxa"/>
              <w:start w:w="55" w:type="dxa"/>
              <w:bottom w:w="45" w:type="dxa"/>
              <w:end w:w="55" w:type="dxa"/>
            </w:tcMar>
            <w:tcBorders>
              <w:top w:val="single" w:sz="3" w:color="AAB2BD"/>
              <w:left w:val="single" w:sz="3" w:color="AAB2BD"/>
              <w:bottom w:val="single" w:sz="3" w:color="AAB2BD"/>
              <w:right w:val="single" w:sz="3" w:color="AAB2BD"/>
            </w:tcBorders>
            <w:vAlign w:val="center"/>
          </w:tcPr>
          <w:p>
            <w:pPr>
              <w:spacing w:after="0" w:line="235" w:lineRule="auto"/>
            </w:pPr>
            <w:r>
              <w:rPr>
                <w:rFonts w:ascii="Arial" w:hAnsi="Arial"/>
                <w:color w:val="1F2937"/>
                <w:sz w:val="18"/>
              </w:rPr>
              <w:t>Date: _______________</w:t>
            </w:r>
          </w:p>
        </w:tc>
      </w:tr>
    </w:tbl>
    <w:p>
      <w:pPr>
        <w:spacing w:after="0"/>
      </w:pPr>
    </w:p>
    <w:p>
      <w:pPr>
        <w:pStyle w:val="Heading2"/>
      </w:pPr>
      <w:r>
        <w:t>Official Source Links</w:t>
      </w:r>
    </w:p>
    <w:p>
      <w:pPr>
        <w:pStyle w:val="CTASmall"/>
        <w:spacing w:after="40"/>
      </w:pPr>
      <w:r>
        <w:rPr>
          <w:rFonts w:ascii="Arial" w:hAnsi="Arial"/>
          <w:b/>
          <w:color w:val="17365D"/>
          <w:sz w:val="16"/>
        </w:rPr>
        <w:t xml:space="preserve">California BBS — LPCC Clinical Examination: </w:t>
      </w:r>
      <w:hyperlink r:id="rId16">
        <w:r>
          <w:rPr>
            <w:color w:val="159C9C"/>
            <w:u w:val="single"/>
            <w:rFonts w:ascii="Arial" w:hAnsi="Arial"/>
          </w:rPr>
          <w:t>https://www.bbs.ca.gov/exams/lpcc.html</w:t>
        </w:r>
      </w:hyperlink>
    </w:p>
    <w:p>
      <w:pPr>
        <w:pStyle w:val="CTASmall"/>
        <w:spacing w:after="40"/>
      </w:pPr>
      <w:r>
        <w:rPr>
          <w:rFonts w:ascii="Arial" w:hAnsi="Arial"/>
          <w:b/>
          <w:color w:val="17365D"/>
          <w:sz w:val="16"/>
        </w:rPr>
        <w:t xml:space="preserve">NBCC — NCMHCE information page: </w:t>
      </w:r>
      <w:hyperlink r:id="rId17">
        <w:r>
          <w:rPr>
            <w:color w:val="159C9C"/>
            <w:u w:val="single"/>
            <w:rFonts w:ascii="Arial" w:hAnsi="Arial"/>
          </w:rPr>
          <w:t>https://www.nbcc.org/exams/ncmhce/</w:t>
        </w:r>
      </w:hyperlink>
    </w:p>
    <w:p>
      <w:pPr>
        <w:pStyle w:val="CTASmall"/>
        <w:spacing w:after="40"/>
      </w:pPr>
      <w:r>
        <w:rPr>
          <w:rFonts w:ascii="Arial" w:hAnsi="Arial"/>
          <w:b/>
          <w:color w:val="17365D"/>
          <w:sz w:val="16"/>
        </w:rPr>
        <w:t xml:space="preserve">NBCC — Current NCMHCE Content Outline: </w:t>
      </w:r>
      <w:hyperlink r:id="rId18">
        <w:r>
          <w:rPr>
            <w:color w:val="159C9C"/>
            <w:u w:val="single"/>
            <w:rFonts w:ascii="Arial" w:hAnsi="Arial"/>
          </w:rPr>
          <w:t>https://www.nbcc.org/assets/exam/ncmhce_content_outline.pdf</w:t>
        </w:r>
      </w:hyperlink>
    </w:p>
    <w:p>
      <w:pPr>
        <w:pStyle w:val="CTASmall"/>
        <w:spacing w:after="40"/>
      </w:pPr>
      <w:r>
        <w:rPr>
          <w:rFonts w:ascii="Arial" w:hAnsi="Arial"/>
          <w:b/>
          <w:color w:val="17365D"/>
          <w:sz w:val="16"/>
        </w:rPr>
        <w:t xml:space="preserve">NBCC — 2027 Examination Specifications: </w:t>
      </w:r>
      <w:hyperlink r:id="rId19">
        <w:r>
          <w:rPr>
            <w:color w:val="159C9C"/>
            <w:u w:val="single"/>
            <w:rFonts w:ascii="Arial" w:hAnsi="Arial"/>
          </w:rPr>
          <w:t>https://www.nbcc.org/assets/exam/NCMHCE_exam_spec_2027.pdf</w:t>
        </w:r>
      </w:hyperlink>
    </w:p>
    <w:p>
      <w:pPr>
        <w:pStyle w:val="CTASmall"/>
        <w:spacing w:after="40"/>
      </w:pPr>
      <w:r>
        <w:rPr>
          <w:rFonts w:ascii="Arial" w:hAnsi="Arial"/>
          <w:b/>
          <w:color w:val="17365D"/>
          <w:sz w:val="16"/>
        </w:rPr>
        <w:t xml:space="preserve">California BPC §4999.20: </w:t>
      </w:r>
      <w:hyperlink r:id="rId20">
        <w:r>
          <w:rPr>
            <w:color w:val="159C9C"/>
            <w:u w:val="single"/>
            <w:rFonts w:ascii="Arial" w:hAnsi="Arial"/>
          </w:rPr>
          <w:t>https://leginfo.legislature.ca.gov/faces/codes_displaySection.xhtml?lawCode=BPC&amp;sectionNum=4999.20.</w:t>
        </w:r>
      </w:hyperlink>
    </w:p>
    <w:p>
      <w:pPr>
        <w:pStyle w:val="CTASmall"/>
        <w:spacing w:after="40"/>
      </w:pPr>
      <w:r>
        <w:rPr>
          <w:rFonts w:ascii="Arial" w:hAnsi="Arial"/>
          <w:b/>
          <w:color w:val="17365D"/>
          <w:sz w:val="16"/>
        </w:rPr>
        <w:t xml:space="preserve">California BPC §4999.32: </w:t>
      </w:r>
      <w:hyperlink r:id="rId21">
        <w:r>
          <w:rPr>
            <w:color w:val="159C9C"/>
            <w:u w:val="single"/>
            <w:rFonts w:ascii="Arial" w:hAnsi="Arial"/>
          </w:rPr>
          <w:t>https://leginfo.legislature.ca.gov/faces/codes_displaySection.xhtml?lawCode=BPC&amp;sectionNum=4999.32.</w:t>
        </w:r>
      </w:hyperlink>
    </w:p>
    <w:tbl>
      <w:tblPr>
        <w:tblW w:type="auto" w:w="0"/>
        <w:jc w:val="center"/>
        <w:tblLook w:firstColumn="1" w:firstRow="1" w:lastColumn="0" w:lastRow="0" w:noHBand="0" w:noVBand="1" w:val="04A0"/>
      </w:tblPr>
      <w:tblGrid>
        <w:gridCol w:w="10454"/>
      </w:tblGrid>
      <w:tr>
        <w:trPr>
          <w:cantSplit/>
          <w:tblHeader w:val="true"/>
        </w:trPr>
        <w:tc>
          <w:tcPr>
            <w:tcW w:type="dxa" w:w="10454"/>
            <w:shd w:fill="E7F2EA"/>
            <w:tcBorders>
              <w:top w:val="single" w:sz="8" w:color="6B8E70"/>
              <w:left w:val="single" w:sz="8" w:color="6B8E70"/>
              <w:bottom w:val="single" w:sz="8" w:color="6B8E70"/>
              <w:right w:val="single" w:sz="8" w:color="6B8E70"/>
            </w:tcBorders>
            <w:tcMar>
              <w:top w:w="110" w:type="dxa"/>
              <w:start w:w="135" w:type="dxa"/>
              <w:bottom w:w="110" w:type="dxa"/>
              <w:end w:w="135" w:type="dxa"/>
            </w:tcMar>
          </w:tcPr>
          <w:p>
            <w:pPr>
              <w:spacing w:after="60"/>
            </w:pPr>
            <w:r>
              <w:rPr>
                <w:rFonts w:ascii="Arial" w:hAnsi="Arial"/>
                <w:b/>
                <w:color w:val="17365D"/>
                <w:sz w:val="21"/>
              </w:rPr>
              <w:t>Next controlled development action</w:t>
            </w:r>
          </w:p>
          <w:p>
            <w:pPr>
              <w:spacing w:after="0" w:line="250" w:lineRule="auto"/>
            </w:pPr>
            <w:r>
              <w:rPr>
                <w:rFonts w:ascii="Arial" w:hAnsi="Arial"/>
                <w:color w:val="1F2937"/>
                <w:sz w:val="19"/>
              </w:rPr>
              <w:t>After approval of this matrix, draft Workbook 1: NCMHCE Case-Study Strategy and Applied Clinical Counselor Reasoning. Develop the student workbook first, then its separate 17-question bank and rationale file, using the codes in this document.</w:t>
            </w:r>
          </w:p>
        </w:tc>
      </w:tr>
    </w:tbl>
    <w:p>
      <w:pPr>
        <w:spacing w:after="0"/>
      </w:pPr>
    </w:p>
    <w:p>
      <w:pPr>
        <w:pStyle w:val="CTASmall"/>
        <w:spacing w:before="240" w:after="0" w:line="252" w:lineRule="auto"/>
        <w:jc w:val="center"/>
      </w:pPr>
      <w:r>
        <w:rPr>
          <w:rFonts w:ascii="Arial" w:hAnsi="Arial"/>
        </w:rPr>
        <w:t>END OF MASTER BLUEPRINT CROSSWALK</w:t>
      </w:r>
    </w:p>
    <w:sectPr w:rsidR="00FC693F" w:rsidRPr="0006063C" w:rsidSect="00034616">
      <w:headerReference w:type="default" r:id="rId14"/>
      <w:footerReference w:type="default" r:id="rId15"/>
      <w:pgSz w:w="12240" w:h="15840"/>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E5B6B"/>
        <w:sz w:val="18"/>
      </w:rPr>
      <w:t xml:space="preserve">Clinical Training Academy  |  </w:t>
    </w:r>
    <w:r>
      <w:rPr>
        <w:rFonts w:ascii="Arial" w:hAnsi="Arial"/>
        <w:color w:val="4E5B6B"/>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E5B6B"/>
        <w:sz w:val="18"/>
      </w:rPr>
      <w:t xml:space="preserve">Clinical Training Academy  |  </w:t>
    </w:r>
    <w:r>
      <w:rPr>
        <w:rFonts w:ascii="Arial" w:hAnsi="Arial"/>
        <w:color w:val="4E5B6B"/>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E5B6B"/>
        <w:sz w:val="18"/>
      </w:rPr>
      <w:t xml:space="preserve">Clinical Training Academy  |  </w:t>
    </w:r>
    <w:r>
      <w:rPr>
        <w:rFonts w:ascii="Arial" w:hAnsi="Arial"/>
        <w:color w:val="4E5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159C9C"/>
        <w:sz w:val="17"/>
      </w:rPr>
      <w:t>LPCC MASTER BLUEPRINT CROSSWALK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159C9C"/>
        <w:sz w:val="17"/>
      </w:rPr>
      <w:t>LPCC MASTER BLUEPRINT CROSSWALK</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159C9C"/>
        <w:sz w:val="17"/>
      </w:rPr>
      <w:t>LPCC MASTER BLUEPRINT CROSSWALK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7365D"/>
      <w:sz w:val="3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59C9C"/>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80"/>
    </w:pPr>
    <w:rPr>
      <w:rFonts w:asciiTheme="majorHAnsi" w:eastAsiaTheme="majorEastAsia" w:hAnsiTheme="majorHAnsi" w:cstheme="majorBidi" w:ascii="Arial" w:hAnsi="Arial"/>
      <w:b/>
      <w:i/>
      <w:iCs/>
      <w:color w:val="159C9C"/>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rial" w:hAnsi="Arial"/>
      <w:color w:val="4E5B6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https://www.bbs.ca.gov/exams/lpcc.html" TargetMode="External"/><Relationship Id="rId17" Type="http://schemas.openxmlformats.org/officeDocument/2006/relationships/hyperlink" Target="https://www.nbcc.org/exams/ncmhce/" TargetMode="External"/><Relationship Id="rId18" Type="http://schemas.openxmlformats.org/officeDocument/2006/relationships/hyperlink" Target="https://www.nbcc.org/assets/exam/ncmhce_content_outline.pdf" TargetMode="External"/><Relationship Id="rId19" Type="http://schemas.openxmlformats.org/officeDocument/2006/relationships/hyperlink" Target="https://www.nbcc.org/assets/exam/NCMHCE_exam_spec_2027.pdf" TargetMode="External"/><Relationship Id="rId20" Type="http://schemas.openxmlformats.org/officeDocument/2006/relationships/hyperlink" Target="https://leginfo.legislature.ca.gov/faces/codes_displaySection.xhtml?lawCode=BPC&amp;sectionNum=4999.20." TargetMode="External"/><Relationship Id="rId21" Type="http://schemas.openxmlformats.org/officeDocument/2006/relationships/hyperlink" Target="https://leginfo.legislature.ca.gov/faces/codes_displaySection.xhtml?lawCode=BPC&amp;sectionNum=4999.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Master Blueprint Crosswalk and Content-Control Matrix</dc:title>
  <dc:subject>Current and 2027 NCMHCE task mapping, California LPCC scope overlay, workbook placement, and production controls</dc:subject>
  <dc:creator>Clinical Training Academy</dc:creator>
  <cp:keywords>LPCC, APCC, NCMHCE, California, blueprint crosswalk, content control, exam preparation</cp:keywords>
  <dc:description>Internal curriculum-development control resource. Verified July 26, 2026.</dc:description>
  <cp:lastModifiedBy/>
  <cp:revision>1</cp:revision>
  <dcterms:created xsi:type="dcterms:W3CDTF">2013-12-23T23:15:00Z</dcterms:created>
  <dcterms:modified xsi:type="dcterms:W3CDTF">2013-12-23T23:15:00Z</dcterms:modified>
  <cp:category/>
</cp:coreProperties>
</file>