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971800" cy="987923"/>
            <wp:docPr id="1" name="Picture 1" descr="Image: image1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Logo (Final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87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CTA LPCC NCMHCE EXAM PREPARATION PROGRAM</w:t>
      </w:r>
    </w:p>
    <w:p>
      <w:pPr>
        <w:pStyle w:val="Title"/>
        <w:jc w:val="center"/>
      </w:pPr>
      <w:r>
        <w:t>NCMHCE 2027 Update Register</w:t>
      </w:r>
    </w:p>
    <w:p>
      <w:pPr>
        <w:pStyle w:val="Subtitle"/>
        <w:jc w:val="center"/>
      </w:pPr>
      <w:r>
        <w:t>Controlled Review and Replacement Plan</w:t>
      </w:r>
    </w:p>
    <w:p>
      <w:pPr>
        <w:jc w:val="center"/>
      </w:pPr>
      <w:r>
        <w:rPr>
          <w:color w:val="5F6B76"/>
        </w:rPr>
        <w:t>Version 1.0 | August 3, 2026</w:t>
      </w:r>
    </w:p>
    <w:p>
      <w:pPr>
        <w:jc w:val="center"/>
      </w:pPr>
      <w:r>
        <w:rPr>
          <w:i/>
          <w:color w:val="159A9C"/>
        </w:rPr>
        <w:t>Teaching Clinicians How to Think.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6F6"/>
            <w:tcBorders>
              <w:top w:val="single" w:sz="10" w:color="159A9C"/>
              <w:left w:val="single" w:sz="10" w:color="159A9C"/>
              <w:bottom w:val="single" w:sz="10" w:color="159A9C"/>
              <w:right w:val="single" w:sz="10" w:color="159A9C"/>
            </w:tcBorders>
          </w:tcPr>
          <w:p>
            <w:r>
              <w:rPr>
                <w:b/>
                <w:color w:val="142B4F"/>
              </w:rPr>
              <w:t>PURPOSE</w:t>
            </w:r>
            <w:r>
              <w:br/>
              <w:t>Protect current learners and prevent outdated exam-format claims by scheduling the transition from the current 11-case NCMHCE to the specifications effective July 1, 2027.</w:t>
            </w:r>
          </w:p>
        </w:tc>
        <w:trPr>
          <w:tblHeader/>
        </w:trPr>
      </w:tr>
    </w:tbl>
    <w:p/>
    <w:p>
      <w:pPr>
        <w:pStyle w:val="Heading1"/>
      </w:pPr>
      <w:r>
        <w:t>1. Controlling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142B4F"/>
          </w:tcPr>
          <w:p>
            <w:pPr>
              <w:jc w:val="left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320"/>
            <w:shd w:fill="142B4F"/>
          </w:tcPr>
          <w:p>
            <w:pPr>
              <w:jc w:val="left"/>
            </w:pPr>
            <w:r>
              <w:rPr>
                <w:b/>
                <w:color w:val="FFFFFF"/>
              </w:rPr>
              <w:t>Approved Entry</w:t>
            </w:r>
          </w:p>
        </w:tc>
      </w:tr>
      <w:tr>
        <w:tc>
          <w:tcPr>
            <w:tcW w:type="dxa" w:w="4320"/>
            <w:vAlign w:val="top"/>
          </w:tcPr>
          <w:p>
            <w:r>
              <w:t>Effective date</w:t>
            </w:r>
          </w:p>
        </w:tc>
        <w:tc>
          <w:tcPr>
            <w:tcW w:type="dxa" w:w="4320"/>
            <w:vAlign w:val="top"/>
          </w:tcPr>
          <w:p>
            <w:r>
              <w:t>July 1, 2027</w:t>
            </w:r>
          </w:p>
        </w:tc>
      </w:tr>
      <w:tr>
        <w:tc>
          <w:tcPr>
            <w:tcW w:type="dxa" w:w="4320"/>
            <w:vAlign w:val="top"/>
          </w:tcPr>
          <w:p>
            <w:r>
              <w:t>Case structure</w:t>
            </w:r>
          </w:p>
        </w:tc>
        <w:tc>
          <w:tcPr>
            <w:tcW w:type="dxa" w:w="4320"/>
            <w:vAlign w:val="top"/>
          </w:tcPr>
          <w:p>
            <w:r>
              <w:t>10 case studies; each case remains divided into three sections.</w:t>
            </w:r>
          </w:p>
        </w:tc>
      </w:tr>
      <w:tr>
        <w:tc>
          <w:tcPr>
            <w:tcW w:type="dxa" w:w="4320"/>
            <w:vAlign w:val="top"/>
          </w:tcPr>
          <w:p>
            <w:r>
              <w:t>Item count</w:t>
            </w:r>
          </w:p>
        </w:tc>
        <w:tc>
          <w:tcPr>
            <w:tcW w:type="dxa" w:w="4320"/>
            <w:vAlign w:val="top"/>
          </w:tcPr>
          <w:p>
            <w:r>
              <w:t>130-150 total items, including 30-50 field-test items.</w:t>
            </w:r>
          </w:p>
        </w:tc>
      </w:tr>
      <w:tr>
        <w:tc>
          <w:tcPr>
            <w:tcW w:type="dxa" w:w="4320"/>
            <w:vAlign w:val="top"/>
          </w:tcPr>
          <w:p>
            <w:r>
              <w:t>Testing time</w:t>
            </w:r>
          </w:p>
        </w:tc>
        <w:tc>
          <w:tcPr>
            <w:tcW w:type="dxa" w:w="4320"/>
            <w:vAlign w:val="top"/>
          </w:tcPr>
          <w:p>
            <w:r>
              <w:t>225 minutes for examination items; optional 15-minute break halfway through the examination.</w:t>
            </w:r>
          </w:p>
        </w:tc>
      </w:tr>
      <w:tr>
        <w:tc>
          <w:tcPr>
            <w:tcW w:type="dxa" w:w="4320"/>
            <w:vAlign w:val="top"/>
          </w:tcPr>
          <w:p>
            <w:r>
              <w:t>Review control</w:t>
            </w:r>
          </w:p>
        </w:tc>
        <w:tc>
          <w:tcPr>
            <w:tcW w:type="dxa" w:w="4320"/>
            <w:vAlign w:val="top"/>
          </w:tcPr>
          <w:p>
            <w:r>
              <w:t>Candidates may review within each half; after submitting the first half and beginning the break, they cannot return.</w:t>
            </w:r>
          </w:p>
        </w:tc>
      </w:tr>
      <w:tr>
        <w:tc>
          <w:tcPr>
            <w:tcW w:type="dxa" w:w="4320"/>
            <w:vAlign w:val="top"/>
          </w:tcPr>
          <w:p>
            <w:r>
              <w:t>Score reporting</w:t>
            </w:r>
          </w:p>
        </w:tc>
        <w:tc>
          <w:tcPr>
            <w:tcW w:type="dxa" w:w="4320"/>
            <w:vAlign w:val="top"/>
          </w:tcPr>
          <w:p>
            <w:r>
              <w:t>Scaled score range 100-500; passing point 360.</w:t>
            </w:r>
          </w:p>
        </w:tc>
      </w:tr>
    </w:tbl>
    <w:p>
      <w:pPr>
        <w:pStyle w:val="Heading1"/>
      </w:pPr>
      <w:r>
        <w:t>2. New Domain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142B4F"/>
          </w:tcPr>
          <w:p>
            <w:pPr>
              <w:jc w:val="left"/>
            </w:pPr>
            <w:r>
              <w:rPr>
                <w:b/>
                <w:color w:val="FFFFFF"/>
              </w:rPr>
              <w:t>Domain</w:t>
            </w:r>
          </w:p>
        </w:tc>
        <w:tc>
          <w:tcPr>
            <w:tcW w:type="dxa" w:w="4320"/>
            <w:shd w:fill="142B4F"/>
          </w:tcPr>
          <w:p>
            <w:pPr>
              <w:jc w:val="left"/>
            </w:pPr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4320"/>
            <w:vAlign w:val="top"/>
          </w:tcPr>
          <w:p>
            <w:r>
              <w:t>Professional Development &amp; Counselor Self-Awareness</w:t>
            </w:r>
          </w:p>
        </w:tc>
        <w:tc>
          <w:tcPr>
            <w:tcW w:type="dxa" w:w="4320"/>
            <w:vAlign w:val="top"/>
          </w:tcPr>
          <w:p>
            <w:r>
              <w:t>15%</w:t>
            </w:r>
          </w:p>
        </w:tc>
      </w:tr>
      <w:tr>
        <w:tc>
          <w:tcPr>
            <w:tcW w:type="dxa" w:w="4320"/>
            <w:vAlign w:val="top"/>
          </w:tcPr>
          <w:p>
            <w:r>
              <w:t>Intake &amp; Assessment</w:t>
            </w:r>
          </w:p>
        </w:tc>
        <w:tc>
          <w:tcPr>
            <w:tcW w:type="dxa" w:w="4320"/>
            <w:vAlign w:val="top"/>
          </w:tcPr>
          <w:p>
            <w:r>
              <w:t>18%</w:t>
            </w:r>
          </w:p>
        </w:tc>
      </w:tr>
      <w:tr>
        <w:tc>
          <w:tcPr>
            <w:tcW w:type="dxa" w:w="4320"/>
            <w:vAlign w:val="top"/>
          </w:tcPr>
          <w:p>
            <w:r>
              <w:t>Treatment Planning &amp; Continuity of Care</w:t>
            </w:r>
          </w:p>
        </w:tc>
        <w:tc>
          <w:tcPr>
            <w:tcW w:type="dxa" w:w="4320"/>
            <w:vAlign w:val="top"/>
          </w:tcPr>
          <w:p>
            <w:r>
              <w:t>15%</w:t>
            </w:r>
          </w:p>
        </w:tc>
      </w:tr>
      <w:tr>
        <w:tc>
          <w:tcPr>
            <w:tcW w:type="dxa" w:w="4320"/>
            <w:vAlign w:val="top"/>
          </w:tcPr>
          <w:p>
            <w:r>
              <w:t>Provision of Counseling Interventions</w:t>
            </w:r>
          </w:p>
        </w:tc>
        <w:tc>
          <w:tcPr>
            <w:tcW w:type="dxa" w:w="4320"/>
            <w:vAlign w:val="top"/>
          </w:tcPr>
          <w:p>
            <w:r>
              <w:t>20%</w:t>
            </w:r>
          </w:p>
        </w:tc>
      </w:tr>
      <w:tr>
        <w:tc>
          <w:tcPr>
            <w:tcW w:type="dxa" w:w="4320"/>
            <w:vAlign w:val="top"/>
          </w:tcPr>
          <w:p>
            <w:r>
              <w:t>Indirect Client Care</w:t>
            </w:r>
          </w:p>
        </w:tc>
        <w:tc>
          <w:tcPr>
            <w:tcW w:type="dxa" w:w="4320"/>
            <w:vAlign w:val="top"/>
          </w:tcPr>
          <w:p>
            <w:r>
              <w:t>12%</w:t>
            </w:r>
          </w:p>
        </w:tc>
      </w:tr>
      <w:tr>
        <w:tc>
          <w:tcPr>
            <w:tcW w:type="dxa" w:w="4320"/>
            <w:vAlign w:val="top"/>
          </w:tcPr>
          <w:p>
            <w:r>
              <w:t>Legal &amp; Ethical Compliance</w:t>
            </w:r>
          </w:p>
        </w:tc>
        <w:tc>
          <w:tcPr>
            <w:tcW w:type="dxa" w:w="4320"/>
            <w:vAlign w:val="top"/>
          </w:tcPr>
          <w:p>
            <w:r>
              <w:t>20%</w:t>
            </w:r>
          </w:p>
        </w:tc>
      </w:tr>
    </w:tbl>
    <w:p>
      <w:pPr>
        <w:pStyle w:val="Heading1"/>
      </w:pPr>
      <w:r>
        <w:t>3. Assets Requiring Review or Replacement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142B4F"/>
          </w:tcPr>
          <w:p>
            <w:r>
              <w:rPr>
                <w:b/>
                <w:color w:val="FFFFFF"/>
              </w:rPr>
              <w:t>Asset group</w:t>
            </w:r>
          </w:p>
        </w:tc>
        <w:tc>
          <w:tcPr>
            <w:tcW w:type="dxa" w:w="2880"/>
            <w:shd w:fill="142B4F"/>
          </w:tcPr>
          <w:p>
            <w:r>
              <w:rPr>
                <w:b/>
                <w:color w:val="FFFFFF"/>
              </w:rPr>
              <w:t>Required action</w:t>
            </w:r>
          </w:p>
        </w:tc>
        <w:tc>
          <w:tcPr>
            <w:tcW w:type="dxa" w:w="2880"/>
            <w:shd w:fill="142B4F"/>
          </w:tcPr>
          <w:p>
            <w:r>
              <w:rPr>
                <w:b/>
                <w:color w:val="FFFFFF"/>
              </w:rPr>
              <w:t>Release control</w:t>
            </w:r>
          </w:p>
        </w:tc>
      </w:tr>
      <w:tr>
        <w:tc>
          <w:tcPr>
            <w:tcW w:type="dxa" w:w="2880"/>
          </w:tcPr>
          <w:p>
            <w:r>
              <w:t>WB1 exam strategy</w:t>
            </w:r>
          </w:p>
        </w:tc>
        <w:tc>
          <w:tcPr>
            <w:tcW w:type="dxa" w:w="2880"/>
          </w:tcPr>
          <w:p>
            <w:r>
              <w:t>Replace current 11-case and section-by-section navigation instructions with 10-case and half-exam review controls.</w:t>
            </w:r>
          </w:p>
        </w:tc>
        <w:tc>
          <w:tcPr>
            <w:tcW w:type="dxa" w:w="2880"/>
          </w:tcPr>
          <w:p>
            <w:r>
              <w:t>New edition required</w:t>
            </w:r>
          </w:p>
        </w:tc>
      </w:tr>
      <w:tr>
        <w:tc>
          <w:tcPr>
            <w:tcW w:type="dxa" w:w="2880"/>
          </w:tcPr>
          <w:p>
            <w:r>
              <w:t>WB2-WB12 workbooks</w:t>
            </w:r>
          </w:p>
        </w:tc>
        <w:tc>
          <w:tcPr>
            <w:tcW w:type="dxa" w:w="2880"/>
          </w:tcPr>
          <w:p>
            <w:r>
              <w:t>Map each objective, framework, example, and knowledge check to the six new domains; update domain language where applicable.</w:t>
            </w:r>
          </w:p>
        </w:tc>
        <w:tc>
          <w:tcPr>
            <w:tcW w:type="dxa" w:w="2880"/>
          </w:tcPr>
          <w:p>
            <w:r>
              <w:t>Content review and version update</w:t>
            </w:r>
          </w:p>
        </w:tc>
      </w:tr>
      <w:tr>
        <w:tc>
          <w:tcPr>
            <w:tcW w:type="dxa" w:w="2880"/>
          </w:tcPr>
          <w:p>
            <w:r>
              <w:t>12 workbook banks</w:t>
            </w:r>
          </w:p>
        </w:tc>
        <w:tc>
          <w:tcPr>
            <w:tcW w:type="dxa" w:w="2880"/>
          </w:tcPr>
          <w:p>
            <w:r>
              <w:t>Retag each item to the new domain blueprint and confirm one-best-answer quality under the revised specifications.</w:t>
            </w:r>
          </w:p>
        </w:tc>
        <w:tc>
          <w:tcPr>
            <w:tcW w:type="dxa" w:w="2880"/>
          </w:tcPr>
          <w:p>
            <w:r>
              <w:t>New controlled metadata</w:t>
            </w:r>
          </w:p>
        </w:tc>
      </w:tr>
      <w:tr>
        <w:tc>
          <w:tcPr>
            <w:tcW w:type="dxa" w:w="2880"/>
          </w:tcPr>
          <w:p>
            <w:r>
              <w:t>Checkpoints 1-3</w:t>
            </w:r>
          </w:p>
        </w:tc>
        <w:tc>
          <w:tcPr>
            <w:tcW w:type="dxa" w:w="2880"/>
          </w:tcPr>
          <w:p>
            <w:r>
              <w:t>Rebalance cumulative coverage to the new domains without introducing future simulation items.</w:t>
            </w:r>
          </w:p>
        </w:tc>
        <w:tc>
          <w:tcPr>
            <w:tcW w:type="dxa" w:w="2880"/>
          </w:tcPr>
          <w:p>
            <w:r>
              <w:t>Rebuild or formally revalidate</w:t>
            </w:r>
          </w:p>
        </w:tc>
      </w:tr>
      <w:tr>
        <w:tc>
          <w:tcPr>
            <w:tcW w:type="dxa" w:w="2880"/>
          </w:tcPr>
          <w:p>
            <w:r>
              <w:t>Forms A and B</w:t>
            </w:r>
          </w:p>
        </w:tc>
        <w:tc>
          <w:tcPr>
            <w:tcW w:type="dxa" w:w="2880"/>
          </w:tcPr>
          <w:p>
            <w:r>
              <w:t>Replace 11-case current-format forms with 10-case forms, half-exam review control, new domain weights, and 100-500 practice-score explanation.</w:t>
            </w:r>
          </w:p>
        </w:tc>
        <w:tc>
          <w:tcPr>
            <w:tcW w:type="dxa" w:w="2880"/>
          </w:tcPr>
          <w:p>
            <w:r>
              <w:t>New forms required</w:t>
            </w:r>
          </w:p>
        </w:tc>
      </w:tr>
      <w:tr>
        <w:tc>
          <w:tcPr>
            <w:tcW w:type="dxa" w:w="2880"/>
          </w:tcPr>
          <w:p>
            <w:r>
              <w:t>Form A remediation</w:t>
            </w:r>
          </w:p>
        </w:tc>
        <w:tc>
          <w:tcPr>
            <w:tcW w:type="dxa" w:w="2880"/>
          </w:tcPr>
          <w:p>
            <w:r>
              <w:t>Update domain scoring, case mapping, and corrected-rule prompts.</w:t>
            </w:r>
          </w:p>
        </w:tc>
        <w:tc>
          <w:tcPr>
            <w:tcW w:type="dxa" w:w="2880"/>
          </w:tcPr>
          <w:p>
            <w:r>
              <w:t>Revision required</w:t>
            </w:r>
          </w:p>
        </w:tc>
      </w:tr>
      <w:tr>
        <w:tc>
          <w:tcPr>
            <w:tcW w:type="dxa" w:w="2880"/>
          </w:tcPr>
          <w:p>
            <w:r>
              <w:t>Quick reference, tracker, roadmap, FAQ</w:t>
            </w:r>
          </w:p>
        </w:tc>
        <w:tc>
          <w:tcPr>
            <w:tcW w:type="dxa" w:w="2880"/>
          </w:tcPr>
          <w:p>
            <w:r>
              <w:t>Replace all dated structure, timing, break, review-lock, domain, and scoring claims.</w:t>
            </w:r>
          </w:p>
        </w:tc>
        <w:tc>
          <w:tcPr>
            <w:tcW w:type="dxa" w:w="2880"/>
          </w:tcPr>
          <w:p>
            <w:r>
              <w:t>Revision required</w:t>
            </w:r>
          </w:p>
        </w:tc>
      </w:tr>
      <w:tr>
        <w:tc>
          <w:tcPr>
            <w:tcW w:type="dxa" w:w="2880"/>
          </w:tcPr>
          <w:p>
            <w:r>
              <w:t>Website/LMS copy</w:t>
            </w:r>
          </w:p>
        </w:tc>
        <w:tc>
          <w:tcPr>
            <w:tcW w:type="dxa" w:w="2880"/>
          </w:tcPr>
          <w:p>
            <w:r>
              <w:t>Update inclusions, exam facts, FAQs, SEO, and effective-date notices before selling to July 2027 examinees.</w:t>
            </w:r>
          </w:p>
        </w:tc>
        <w:tc>
          <w:tcPr>
            <w:tcW w:type="dxa" w:w="2880"/>
          </w:tcPr>
          <w:p>
            <w:r>
              <w:t>Publication blocker</w:t>
            </w:r>
          </w:p>
        </w:tc>
      </w:tr>
    </w:tbl>
    <w:p>
      <w:pPr>
        <w:pStyle w:val="Heading1"/>
      </w:pPr>
      <w:r>
        <w:t>4. Controlled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fill="142B4F"/>
          </w:tcPr>
          <w:p>
            <w:r>
              <w:rPr>
                <w:b/>
                <w:color w:val="FFFFFF"/>
              </w:rPr>
              <w:t>Target date</w:t>
            </w:r>
          </w:p>
        </w:tc>
        <w:tc>
          <w:tcPr>
            <w:tcW w:type="dxa" w:w="2880"/>
            <w:shd w:fill="142B4F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880"/>
            <w:shd w:fill="142B4F"/>
          </w:tcPr>
          <w:p>
            <w:r>
              <w:rPr>
                <w:b/>
                <w:color w:val="FFFFFF"/>
              </w:rPr>
              <w:t>Completion evidence</w:t>
            </w:r>
          </w:p>
        </w:tc>
      </w:tr>
      <w:tr>
        <w:tc>
          <w:tcPr>
            <w:tcW w:type="dxa" w:w="2880"/>
          </w:tcPr>
          <w:p>
            <w:r>
              <w:t>November 2026</w:t>
            </w:r>
          </w:p>
        </w:tc>
        <w:tc>
          <w:tcPr>
            <w:tcW w:type="dxa" w:w="2880"/>
          </w:tcPr>
          <w:p>
            <w:r>
              <w:t>Quarterly official-source check. Confirm no interim NBCC changes.</w:t>
            </w:r>
          </w:p>
        </w:tc>
        <w:tc>
          <w:tcPr>
            <w:tcW w:type="dxa" w:w="2880"/>
          </w:tcPr>
          <w:p>
            <w:r>
              <w:t>Source-control log</w:t>
            </w:r>
          </w:p>
        </w:tc>
      </w:tr>
      <w:tr>
        <w:tc>
          <w:tcPr>
            <w:tcW w:type="dxa" w:w="2880"/>
          </w:tcPr>
          <w:p>
            <w:r>
              <w:t>February 2027</w:t>
            </w:r>
          </w:p>
        </w:tc>
        <w:tc>
          <w:tcPr>
            <w:tcW w:type="dxa" w:w="2880"/>
          </w:tcPr>
          <w:p>
            <w:r>
              <w:t>Second official-source check; freeze the affected-asset inventory.</w:t>
            </w:r>
          </w:p>
        </w:tc>
        <w:tc>
          <w:tcPr>
            <w:tcW w:type="dxa" w:w="2880"/>
          </w:tcPr>
          <w:p>
            <w:r>
              <w:t>Approved transition inventory</w:t>
            </w:r>
          </w:p>
        </w:tc>
      </w:tr>
      <w:tr>
        <w:tc>
          <w:tcPr>
            <w:tcW w:type="dxa" w:w="2880"/>
          </w:tcPr>
          <w:p>
            <w:r>
              <w:t>March 2027</w:t>
            </w:r>
          </w:p>
        </w:tc>
        <w:tc>
          <w:tcPr>
            <w:tcW w:type="dxa" w:w="2880"/>
          </w:tcPr>
          <w:p>
            <w:r>
              <w:t>Complete new-domain crosswalk and workbook revision blueprint.</w:t>
            </w:r>
          </w:p>
        </w:tc>
        <w:tc>
          <w:tcPr>
            <w:tcW w:type="dxa" w:w="2880"/>
          </w:tcPr>
          <w:p>
            <w:r>
              <w:t>Crosswalk and change list</w:t>
            </w:r>
          </w:p>
        </w:tc>
      </w:tr>
      <w:tr>
        <w:tc>
          <w:tcPr>
            <w:tcW w:type="dxa" w:w="2880"/>
          </w:tcPr>
          <w:p>
            <w:r>
              <w:t>April 2027</w:t>
            </w:r>
          </w:p>
        </w:tc>
        <w:tc>
          <w:tcPr>
            <w:tcW w:type="dxa" w:w="2880"/>
          </w:tcPr>
          <w:p>
            <w:r>
              <w:t>Revise workbooks, banks, checkpoints, and support tools.</w:t>
            </w:r>
          </w:p>
        </w:tc>
        <w:tc>
          <w:tcPr>
            <w:tcW w:type="dxa" w:w="2880"/>
          </w:tcPr>
          <w:p>
            <w:r>
              <w:t>Draft replacement set</w:t>
            </w:r>
          </w:p>
        </w:tc>
      </w:tr>
      <w:tr>
        <w:tc>
          <w:tcPr>
            <w:tcW w:type="dxa" w:w="2880"/>
          </w:tcPr>
          <w:p>
            <w:r>
              <w:t>May 2027</w:t>
            </w:r>
          </w:p>
        </w:tc>
        <w:tc>
          <w:tcPr>
            <w:tcW w:type="dxa" w:w="2880"/>
          </w:tcPr>
          <w:p>
            <w:r>
              <w:t>Build new 10-case Forms A and B, rationales, scoring tools, and remediation.</w:t>
            </w:r>
          </w:p>
        </w:tc>
        <w:tc>
          <w:tcPr>
            <w:tcW w:type="dxa" w:w="2880"/>
          </w:tcPr>
          <w:p>
            <w:r>
              <w:t>Synchronized simulation set</w:t>
            </w:r>
          </w:p>
        </w:tc>
      </w:tr>
      <w:tr>
        <w:tc>
          <w:tcPr>
            <w:tcW w:type="dxa" w:w="2880"/>
          </w:tcPr>
          <w:p>
            <w:r>
              <w:t>June 2027</w:t>
            </w:r>
          </w:p>
        </w:tc>
        <w:tc>
          <w:tcPr>
            <w:tcW w:type="dxa" w:w="2880"/>
          </w:tcPr>
          <w:p>
            <w:r>
              <w:t>Render, accessibility review, source verification, LMS testing, and cutover rehearsal.</w:t>
            </w:r>
          </w:p>
        </w:tc>
        <w:tc>
          <w:tcPr>
            <w:tcW w:type="dxa" w:w="2880"/>
          </w:tcPr>
          <w:p>
            <w:r>
              <w:t>Final QA and implementation report</w:t>
            </w:r>
          </w:p>
        </w:tc>
      </w:tr>
      <w:tr>
        <w:tc>
          <w:tcPr>
            <w:tcW w:type="dxa" w:w="2880"/>
          </w:tcPr>
          <w:p>
            <w:r>
              <w:t>July 1, 2027</w:t>
            </w:r>
          </w:p>
        </w:tc>
        <w:tc>
          <w:tcPr>
            <w:tcW w:type="dxa" w:w="2880"/>
          </w:tcPr>
          <w:p>
            <w:r>
              <w:t>Publish the revised edition and archive current-format files from learner view.</w:t>
            </w:r>
          </w:p>
        </w:tc>
        <w:tc>
          <w:tcPr>
            <w:tcW w:type="dxa" w:w="2880"/>
          </w:tcPr>
          <w:p>
            <w:r>
              <w:t>Owner approval and launch record</w:t>
            </w:r>
          </w:p>
        </w:tc>
      </w:tr>
    </w:tbl>
    <w:p>
      <w:pPr>
        <w:pStyle w:val="Heading1"/>
      </w:pPr>
      <w:r>
        <w:t>5. Learner and Sales Controls</w:t>
      </w:r>
    </w:p>
    <w:p>
      <w:pPr>
        <w:pStyle w:val="ListBullet"/>
      </w:pPr>
      <w:r>
        <w:t>Do not market the current-format edition to a candidate whose examination date is on or after July 1, 2027 unless the revised edition has been released.</w:t>
      </w:r>
    </w:p>
    <w:p>
      <w:pPr>
        <w:pStyle w:val="ListBullet"/>
      </w:pPr>
      <w:r>
        <w:t>During the transition, display the examination-date question before enrollment or provide a clear routing notice.</w:t>
      </w:r>
    </w:p>
    <w:p>
      <w:pPr>
        <w:pStyle w:val="ListBullet"/>
      </w:pPr>
      <w:r>
        <w:t>Keep current-format and 2027-format simulations, keys, trackers, and score reports in separate controlled folders.</w:t>
      </w:r>
    </w:p>
    <w:p>
      <w:pPr>
        <w:pStyle w:val="ListBullet"/>
      </w:pPr>
      <w:r>
        <w:t>Do not interpret a CTA raw score as an NBCC scaled score. The official 2027 scale is 100-500 with a passing point of 360.</w:t>
      </w:r>
    </w:p>
    <w:p>
      <w:pPr>
        <w:pStyle w:val="ListBullet"/>
      </w:pPr>
      <w:r>
        <w:t>Record every replacement filename, version, approval date, and archive action in the file-control register.</w:t>
      </w:r>
    </w:p>
    <w:p>
      <w:pPr>
        <w:pStyle w:val="Heading1"/>
      </w:pPr>
      <w:r>
        <w:t>6. Final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fill="142B4F"/>
          </w:tcPr>
          <w:p>
            <w:pPr>
              <w:jc w:val="left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20"/>
            <w:shd w:fill="142B4F"/>
          </w:tcPr>
          <w:p>
            <w:pPr>
              <w:jc w:val="left"/>
            </w:pPr>
            <w:r>
              <w:rPr>
                <w:b/>
                <w:color w:val="FFFFFF"/>
              </w:rPr>
              <w:t>Entry</w:t>
            </w:r>
          </w:p>
        </w:tc>
      </w:tr>
      <w:tr>
        <w:tc>
          <w:tcPr>
            <w:tcW w:type="dxa" w:w="4320"/>
            <w:vAlign w:val="top"/>
          </w:tcPr>
          <w:p>
            <w:r>
              <w:t>Transition owner</w:t>
            </w:r>
          </w:p>
        </w:tc>
        <w:tc>
          <w:tcPr>
            <w:tcW w:type="dxa" w:w="4320"/>
            <w:vAlign w:val="top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  <w:vAlign w:val="top"/>
          </w:tcPr>
          <w:p>
            <w:r>
              <w:t>Content reviewer</w:t>
            </w:r>
          </w:p>
        </w:tc>
        <w:tc>
          <w:tcPr>
            <w:tcW w:type="dxa" w:w="4320"/>
            <w:vAlign w:val="top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  <w:vAlign w:val="top"/>
          </w:tcPr>
          <w:p>
            <w:r>
              <w:t>Source verification date</w:t>
            </w:r>
          </w:p>
        </w:tc>
        <w:tc>
          <w:tcPr>
            <w:tcW w:type="dxa" w:w="4320"/>
            <w:vAlign w:val="top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  <w:vAlign w:val="top"/>
          </w:tcPr>
          <w:p>
            <w:r>
              <w:t>Revised package version</w:t>
            </w:r>
          </w:p>
        </w:tc>
        <w:tc>
          <w:tcPr>
            <w:tcW w:type="dxa" w:w="4320"/>
            <w:vAlign w:val="top"/>
          </w:tcPr>
          <w:p>
            <w:r>
              <w:t>________________________________________</w:t>
            </w:r>
          </w:p>
        </w:tc>
      </w:tr>
      <w:tr>
        <w:tc>
          <w:tcPr>
            <w:tcW w:type="dxa" w:w="4320"/>
            <w:vAlign w:val="top"/>
          </w:tcPr>
          <w:p>
            <w:r>
              <w:t>Owner approval</w:t>
            </w:r>
          </w:p>
        </w:tc>
        <w:tc>
          <w:tcPr>
            <w:tcW w:type="dxa" w:w="4320"/>
            <w:vAlign w:val="top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6"/>
        <w:sz w:val="16"/>
      </w:rPr>
      <w:t>Clinical Training and Supervision Academy  |  Exam Preparation Only - No CE Credit</w:t>
    </w:r>
  </w:p>
  <w:p>
    <w:pPr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143000" cy="379970"/>
          <wp:docPr id="1" name="Picture 1" descr="Image: item1.xm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imary Logo (Final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37997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42B4F"/>
        <w:sz w:val="16"/>
      </w:rPr>
      <w:t xml:space="preserve">   LPCC NCMHCE 2027 UPDATE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42B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59A9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42B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42B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b/>
      <w:i/>
      <w:iCs/>
      <w:color w:val="159A9C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LPCC NCMHCE 2027 Update Register</dc:title>
  <dc:subject>Controlled review and replacement plan for specifications effective July 1, 2027</dc:subject>
  <dc:creator>Clinical Training and Supervision Academy</dc:creator>
  <cp:keywords/>
  <dc:description>Initial release package prepared August 3, 2026.</dc:description>
  <cp:lastModifiedBy>Clinical Training and Supervision Academy</cp:lastModifiedBy>
  <cp:revision>1</cp:revision>
  <dcterms:created xsi:type="dcterms:W3CDTF">2013-12-23T23:15:00Z</dcterms:created>
  <dcterms:modified xsi:type="dcterms:W3CDTF">2013-12-23T23:15:00Z</dcterms:modified>
  <cp:category/>
</cp:coreProperties>
</file>