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194560" cy="1509486"/>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2194560" cy="1509486"/>
                    </a:xfrm>
                    <a:prstGeom prst="rect"/>
                  </pic:spPr>
                </pic:pic>
              </a:graphicData>
            </a:graphic>
          </wp:inline>
        </w:drawing>
      </w:r>
    </w:p>
    <w:p>
      <w:pPr>
        <w:jc w:val="center"/>
      </w:pPr>
      <w:r>
        <w:rPr>
          <w:rFonts w:ascii="Noto Sans" w:hAnsi="Noto Sans"/>
          <w:b/>
          <w:color w:val="17365D"/>
          <w:sz w:val="46"/>
        </w:rPr>
        <w:t>LPCC COMPREHENSIVE SIMULATION - FORM B</w:t>
      </w:r>
    </w:p>
    <w:p>
      <w:pPr>
        <w:jc w:val="center"/>
      </w:pPr>
      <w:r>
        <w:rPr>
          <w:rFonts w:ascii="Noto Sans" w:hAnsi="Noto Sans"/>
          <w:b/>
          <w:color w:val="1AA6A6"/>
          <w:sz w:val="30"/>
        </w:rPr>
        <w:t>143-Question Candidate Examination</w:t>
      </w:r>
    </w:p>
    <w:p>
      <w:pPr>
        <w:jc w:val="center"/>
      </w:pPr>
      <w:r>
        <w:rPr>
          <w:rFonts w:ascii="Noto Sans" w:hAnsi="Noto Sans"/>
          <w:color w:val="4B5563"/>
          <w:sz w:val="18"/>
        </w:rPr>
        <w:t>Version 2.0 | August 2026 | Current-Format Edition | Exam Preparation Program | No CE Credit</w:t>
      </w:r>
    </w:p>
    <w:p>
      <w:pPr>
        <w:jc w:val="center"/>
      </w:pPr>
      <w:r>
        <w:rPr>
          <w:rFonts w:ascii="Noto Sans" w:hAnsi="Noto Sans"/>
          <w:b/>
          <w:color w:val="9B1C1C"/>
          <w:sz w:val="17"/>
        </w:rPr>
        <w:t>CTA-APPROVED PRODUCTION MASTER - EXTERNAL SME/ETHICS RELEASE GATE PENDING</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PURPOSE</w:t>
            </w:r>
          </w:p>
        </w:tc>
      </w:tr>
    </w:tbl>
    <w:p>
      <w:r>
        <w:t>Form B is a fresh, original CTA simulation designed to approximate the reasoning demands, pacing, and progressive multi-section case format of the current NCMHCE. It is an educational review resource and is not an official NBCC, CCE, Pearson VUE, or California BBS examination.</w:t>
      </w:r>
    </w:p>
    <w:p>
      <w:pPr/>
      <w:r>
        <w:t>CTA internal approval recorded August 15, 2026. External SME/ethics validation remains a separate release gate before learner publication.</w:t>
      </w:r>
    </w:p>
    <w:p>
      <w:pPr>
        <w:pStyle w:val="Heading1"/>
      </w:pPr>
      <w:r>
        <w:t>Administration Instructions</w:t>
      </w:r>
    </w:p>
    <w:p>
      <w:pPr>
        <w:pStyle w:val="ListBullet"/>
      </w:pPr>
      <w:r>
        <w:t>Complete all 11 cases in one sitting when feasible.</w:t>
      </w:r>
    </w:p>
    <w:p>
      <w:pPr>
        <w:pStyle w:val="ListBullet"/>
      </w:pPr>
      <w:r>
        <w:t>Use 225 minutes for the examination questions, with one 15-minute scheduled break after Case 5.</w:t>
      </w:r>
    </w:p>
    <w:p>
      <w:pPr>
        <w:pStyle w:val="ListBullet"/>
      </w:pPr>
      <w:r>
        <w:t>Each case is divided into three sections. In simulation mode, review within the current section only. After advancing, do not return to prior sections or completed cases.</w:t>
      </w:r>
    </w:p>
    <w:p>
      <w:pPr>
        <w:pStyle w:val="ListBullet"/>
      </w:pPr>
      <w:r>
        <w:t>Select one best answer for every question and do not leave items blank.</w:t>
      </w:r>
    </w:p>
    <w:p>
      <w:pPr>
        <w:pStyle w:val="ListBullet"/>
      </w:pPr>
      <w:r>
        <w:t>Record confidence from 1 (guessing) to 5 (high confidence) for later remediation.</w:t>
      </w:r>
    </w:p>
    <w:p>
      <w:pPr>
        <w:pStyle w:val="ListBullet"/>
      </w:pPr>
      <w:r>
        <w:t>Do not open the controlled answer-and-rationales form until the examination is complete.</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CURRENCY CONTROL</w:t>
            </w:r>
          </w:p>
        </w:tc>
      </w:tr>
    </w:tbl>
    <w:p>
      <w:r>
        <w:t>This is the current-format edition. CTA must review and update the simulation before use with examinations administered under the revised NCMHCE specifications effective July 1, 2027.</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BLUEPRINT</w:t>
            </w:r>
          </w:p>
        </w:tc>
      </w:tr>
    </w:tbl>
    <w:p>
      <w:r>
        <w:t>Form B contains 11 three-part cases and 143 questions. The controlled scoring map contains 100 scored-style items distributed to the current NCMHCE domains and 43 field-test-style items. Field-test-style items are not identified in the candidate form; answer every item.</w:t>
      </w:r>
    </w:p>
    <w:p>
      <w:r>
        <w:br w:type="page"/>
      </w:r>
    </w:p>
    <w:p>
      <w:pPr>
        <w:pStyle w:val="Heading1"/>
      </w:pPr>
      <w:r>
        <w:t>Candidate Answer Sheet</w:t>
      </w:r>
    </w:p>
    <w:tbl>
      <w:tblPr>
        <w:tblStyle w:val="TableGrid"/>
        <w:tblW w:type="auto" w:w="0"/>
        <w:jc w:val="center"/>
        <w:tblLook w:firstColumn="1" w:firstRow="1" w:lastColumn="0" w:lastRow="0" w:noHBand="0" w:noVBand="1" w:val="04A0"/>
      </w:tblPr>
      <w:tblGrid>
        <w:gridCol w:w="871"/>
        <w:gridCol w:w="871"/>
        <w:gridCol w:w="871"/>
        <w:gridCol w:w="871"/>
        <w:gridCol w:w="871"/>
        <w:gridCol w:w="871"/>
        <w:gridCol w:w="871"/>
        <w:gridCol w:w="871"/>
        <w:gridCol w:w="871"/>
        <w:gridCol w:w="871"/>
        <w:gridCol w:w="871"/>
        <w:gridCol w:w="871"/>
      </w:tblGrid>
      <w:tr>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c>
          <w:tcPr>
            <w:tcW w:type="dxa" w:w="871"/>
            <w:shd w:fill="17365D"/>
            <w:vAlign w:val="center"/>
          </w:tcPr>
          <w:p>
            <w:r>
              <w:rPr>
                <w:rFonts w:ascii="Noto Sans" w:hAnsi="Noto Sans"/>
                <w:b/>
                <w:color w:val="FFFFFF"/>
                <w:sz w:val="17"/>
              </w:rPr>
              <w:t>Q</w:t>
            </w:r>
          </w:p>
        </w:tc>
        <w:tc>
          <w:tcPr>
            <w:tcW w:type="dxa" w:w="871"/>
            <w:shd w:fill="17365D"/>
            <w:vAlign w:val="center"/>
          </w:tcPr>
          <w:p>
            <w:r>
              <w:rPr>
                <w:rFonts w:ascii="Noto Sans" w:hAnsi="Noto Sans"/>
                <w:b/>
                <w:color w:val="FFFFFF"/>
                <w:sz w:val="17"/>
              </w:rPr>
              <w:t>Ans</w:t>
            </w:r>
          </w:p>
        </w:tc>
      </w:tr>
      <w:tr>
        <w:tc>
          <w:tcPr>
            <w:tcW w:type="dxa" w:w="871"/>
            <w:vAlign w:val="center"/>
          </w:tcPr>
          <w:p>
            <w:r>
              <w:rPr>
                <w:rFonts w:ascii="Noto Sans" w:hAnsi="Noto Sans"/>
                <w:sz w:val="17"/>
              </w:rPr>
              <w:t>1</w:t>
            </w:r>
          </w:p>
        </w:tc>
        <w:tc>
          <w:tcPr>
            <w:tcW w:type="dxa" w:w="871"/>
            <w:vAlign w:val="center"/>
          </w:tcPr>
          <w:p>
            <w:r>
              <w:rPr>
                <w:rFonts w:ascii="Noto Sans" w:hAnsi="Noto Sans"/>
                <w:sz w:val="17"/>
              </w:rPr>
            </w:r>
          </w:p>
        </w:tc>
        <w:tc>
          <w:tcPr>
            <w:tcW w:type="dxa" w:w="871"/>
            <w:vAlign w:val="center"/>
          </w:tcPr>
          <w:p>
            <w:r>
              <w:rPr>
                <w:rFonts w:ascii="Noto Sans" w:hAnsi="Noto Sans"/>
                <w:sz w:val="17"/>
              </w:rPr>
              <w:t>25</w:t>
            </w:r>
          </w:p>
        </w:tc>
        <w:tc>
          <w:tcPr>
            <w:tcW w:type="dxa" w:w="871"/>
            <w:vAlign w:val="center"/>
          </w:tcPr>
          <w:p>
            <w:r>
              <w:rPr>
                <w:rFonts w:ascii="Noto Sans" w:hAnsi="Noto Sans"/>
                <w:sz w:val="17"/>
              </w:rPr>
            </w:r>
          </w:p>
        </w:tc>
        <w:tc>
          <w:tcPr>
            <w:tcW w:type="dxa" w:w="871"/>
            <w:vAlign w:val="center"/>
          </w:tcPr>
          <w:p>
            <w:r>
              <w:rPr>
                <w:rFonts w:ascii="Noto Sans" w:hAnsi="Noto Sans"/>
                <w:sz w:val="17"/>
              </w:rPr>
              <w:t>49</w:t>
            </w:r>
          </w:p>
        </w:tc>
        <w:tc>
          <w:tcPr>
            <w:tcW w:type="dxa" w:w="871"/>
            <w:vAlign w:val="center"/>
          </w:tcPr>
          <w:p>
            <w:r>
              <w:rPr>
                <w:rFonts w:ascii="Noto Sans" w:hAnsi="Noto Sans"/>
                <w:sz w:val="17"/>
              </w:rPr>
            </w:r>
          </w:p>
        </w:tc>
        <w:tc>
          <w:tcPr>
            <w:tcW w:type="dxa" w:w="871"/>
            <w:vAlign w:val="center"/>
          </w:tcPr>
          <w:p>
            <w:r>
              <w:rPr>
                <w:rFonts w:ascii="Noto Sans" w:hAnsi="Noto Sans"/>
                <w:sz w:val="17"/>
              </w:rPr>
              <w:t>73</w:t>
            </w:r>
          </w:p>
        </w:tc>
        <w:tc>
          <w:tcPr>
            <w:tcW w:type="dxa" w:w="871"/>
            <w:vAlign w:val="center"/>
          </w:tcPr>
          <w:p>
            <w:r>
              <w:rPr>
                <w:rFonts w:ascii="Noto Sans" w:hAnsi="Noto Sans"/>
                <w:sz w:val="17"/>
              </w:rPr>
            </w:r>
          </w:p>
        </w:tc>
        <w:tc>
          <w:tcPr>
            <w:tcW w:type="dxa" w:w="871"/>
            <w:vAlign w:val="center"/>
          </w:tcPr>
          <w:p>
            <w:r>
              <w:rPr>
                <w:rFonts w:ascii="Noto Sans" w:hAnsi="Noto Sans"/>
                <w:sz w:val="17"/>
              </w:rPr>
              <w:t>97</w:t>
            </w:r>
          </w:p>
        </w:tc>
        <w:tc>
          <w:tcPr>
            <w:tcW w:type="dxa" w:w="871"/>
            <w:vAlign w:val="center"/>
          </w:tcPr>
          <w:p>
            <w:r>
              <w:rPr>
                <w:rFonts w:ascii="Noto Sans" w:hAnsi="Noto Sans"/>
                <w:sz w:val="17"/>
              </w:rPr>
            </w:r>
          </w:p>
        </w:tc>
        <w:tc>
          <w:tcPr>
            <w:tcW w:type="dxa" w:w="871"/>
            <w:vAlign w:val="center"/>
          </w:tcPr>
          <w:p>
            <w:r>
              <w:rPr>
                <w:rFonts w:ascii="Noto Sans" w:hAnsi="Noto Sans"/>
                <w:sz w:val="17"/>
              </w:rPr>
              <w:t>121</w:t>
            </w:r>
          </w:p>
        </w:tc>
        <w:tc>
          <w:tcPr>
            <w:tcW w:type="dxa" w:w="871"/>
            <w:vAlign w:val="center"/>
          </w:tcPr>
          <w:p>
            <w:r>
              <w:rPr>
                <w:rFonts w:ascii="Noto Sans" w:hAnsi="Noto Sans"/>
                <w:sz w:val="17"/>
              </w:rPr>
            </w:r>
          </w:p>
        </w:tc>
      </w:tr>
      <w:tr>
        <w:tc>
          <w:tcPr>
            <w:tcW w:type="dxa" w:w="871"/>
            <w:vAlign w:val="center"/>
          </w:tcPr>
          <w:p>
            <w:r>
              <w:rPr>
                <w:rFonts w:ascii="Noto Sans" w:hAnsi="Noto Sans"/>
                <w:sz w:val="17"/>
              </w:rPr>
              <w:t>2</w:t>
            </w:r>
          </w:p>
        </w:tc>
        <w:tc>
          <w:tcPr>
            <w:tcW w:type="dxa" w:w="871"/>
            <w:vAlign w:val="center"/>
          </w:tcPr>
          <w:p>
            <w:r>
              <w:rPr>
                <w:rFonts w:ascii="Noto Sans" w:hAnsi="Noto Sans"/>
                <w:sz w:val="17"/>
              </w:rPr>
            </w:r>
          </w:p>
        </w:tc>
        <w:tc>
          <w:tcPr>
            <w:tcW w:type="dxa" w:w="871"/>
            <w:vAlign w:val="center"/>
          </w:tcPr>
          <w:p>
            <w:r>
              <w:rPr>
                <w:rFonts w:ascii="Noto Sans" w:hAnsi="Noto Sans"/>
                <w:sz w:val="17"/>
              </w:rPr>
              <w:t>26</w:t>
            </w:r>
          </w:p>
        </w:tc>
        <w:tc>
          <w:tcPr>
            <w:tcW w:type="dxa" w:w="871"/>
            <w:vAlign w:val="center"/>
          </w:tcPr>
          <w:p>
            <w:r>
              <w:rPr>
                <w:rFonts w:ascii="Noto Sans" w:hAnsi="Noto Sans"/>
                <w:sz w:val="17"/>
              </w:rPr>
            </w:r>
          </w:p>
        </w:tc>
        <w:tc>
          <w:tcPr>
            <w:tcW w:type="dxa" w:w="871"/>
            <w:vAlign w:val="center"/>
          </w:tcPr>
          <w:p>
            <w:r>
              <w:rPr>
                <w:rFonts w:ascii="Noto Sans" w:hAnsi="Noto Sans"/>
                <w:sz w:val="17"/>
              </w:rPr>
              <w:t>50</w:t>
            </w:r>
          </w:p>
        </w:tc>
        <w:tc>
          <w:tcPr>
            <w:tcW w:type="dxa" w:w="871"/>
            <w:vAlign w:val="center"/>
          </w:tcPr>
          <w:p>
            <w:r>
              <w:rPr>
                <w:rFonts w:ascii="Noto Sans" w:hAnsi="Noto Sans"/>
                <w:sz w:val="17"/>
              </w:rPr>
            </w:r>
          </w:p>
        </w:tc>
        <w:tc>
          <w:tcPr>
            <w:tcW w:type="dxa" w:w="871"/>
            <w:vAlign w:val="center"/>
          </w:tcPr>
          <w:p>
            <w:r>
              <w:rPr>
                <w:rFonts w:ascii="Noto Sans" w:hAnsi="Noto Sans"/>
                <w:sz w:val="17"/>
              </w:rPr>
              <w:t>74</w:t>
            </w:r>
          </w:p>
        </w:tc>
        <w:tc>
          <w:tcPr>
            <w:tcW w:type="dxa" w:w="871"/>
            <w:vAlign w:val="center"/>
          </w:tcPr>
          <w:p>
            <w:r>
              <w:rPr>
                <w:rFonts w:ascii="Noto Sans" w:hAnsi="Noto Sans"/>
                <w:sz w:val="17"/>
              </w:rPr>
            </w:r>
          </w:p>
        </w:tc>
        <w:tc>
          <w:tcPr>
            <w:tcW w:type="dxa" w:w="871"/>
            <w:vAlign w:val="center"/>
          </w:tcPr>
          <w:p>
            <w:r>
              <w:rPr>
                <w:rFonts w:ascii="Noto Sans" w:hAnsi="Noto Sans"/>
                <w:sz w:val="17"/>
              </w:rPr>
              <w:t>98</w:t>
            </w:r>
          </w:p>
        </w:tc>
        <w:tc>
          <w:tcPr>
            <w:tcW w:type="dxa" w:w="871"/>
            <w:vAlign w:val="center"/>
          </w:tcPr>
          <w:p>
            <w:r>
              <w:rPr>
                <w:rFonts w:ascii="Noto Sans" w:hAnsi="Noto Sans"/>
                <w:sz w:val="17"/>
              </w:rPr>
            </w:r>
          </w:p>
        </w:tc>
        <w:tc>
          <w:tcPr>
            <w:tcW w:type="dxa" w:w="871"/>
            <w:vAlign w:val="center"/>
          </w:tcPr>
          <w:p>
            <w:r>
              <w:rPr>
                <w:rFonts w:ascii="Noto Sans" w:hAnsi="Noto Sans"/>
                <w:sz w:val="17"/>
              </w:rPr>
              <w:t>122</w:t>
            </w:r>
          </w:p>
        </w:tc>
        <w:tc>
          <w:tcPr>
            <w:tcW w:type="dxa" w:w="871"/>
            <w:vAlign w:val="center"/>
          </w:tcPr>
          <w:p>
            <w:r>
              <w:rPr>
                <w:rFonts w:ascii="Noto Sans" w:hAnsi="Noto Sans"/>
                <w:sz w:val="17"/>
              </w:rPr>
            </w:r>
          </w:p>
        </w:tc>
      </w:tr>
      <w:tr>
        <w:tc>
          <w:tcPr>
            <w:tcW w:type="dxa" w:w="871"/>
            <w:vAlign w:val="center"/>
          </w:tcPr>
          <w:p>
            <w:r>
              <w:rPr>
                <w:rFonts w:ascii="Noto Sans" w:hAnsi="Noto Sans"/>
                <w:sz w:val="17"/>
              </w:rPr>
              <w:t>3</w:t>
            </w:r>
          </w:p>
        </w:tc>
        <w:tc>
          <w:tcPr>
            <w:tcW w:type="dxa" w:w="871"/>
            <w:vAlign w:val="center"/>
          </w:tcPr>
          <w:p>
            <w:r>
              <w:rPr>
                <w:rFonts w:ascii="Noto Sans" w:hAnsi="Noto Sans"/>
                <w:sz w:val="17"/>
              </w:rPr>
            </w:r>
          </w:p>
        </w:tc>
        <w:tc>
          <w:tcPr>
            <w:tcW w:type="dxa" w:w="871"/>
            <w:vAlign w:val="center"/>
          </w:tcPr>
          <w:p>
            <w:r>
              <w:rPr>
                <w:rFonts w:ascii="Noto Sans" w:hAnsi="Noto Sans"/>
                <w:sz w:val="17"/>
              </w:rPr>
              <w:t>27</w:t>
            </w:r>
          </w:p>
        </w:tc>
        <w:tc>
          <w:tcPr>
            <w:tcW w:type="dxa" w:w="871"/>
            <w:vAlign w:val="center"/>
          </w:tcPr>
          <w:p>
            <w:r>
              <w:rPr>
                <w:rFonts w:ascii="Noto Sans" w:hAnsi="Noto Sans"/>
                <w:sz w:val="17"/>
              </w:rPr>
            </w:r>
          </w:p>
        </w:tc>
        <w:tc>
          <w:tcPr>
            <w:tcW w:type="dxa" w:w="871"/>
            <w:vAlign w:val="center"/>
          </w:tcPr>
          <w:p>
            <w:r>
              <w:rPr>
                <w:rFonts w:ascii="Noto Sans" w:hAnsi="Noto Sans"/>
                <w:sz w:val="17"/>
              </w:rPr>
              <w:t>51</w:t>
            </w:r>
          </w:p>
        </w:tc>
        <w:tc>
          <w:tcPr>
            <w:tcW w:type="dxa" w:w="871"/>
            <w:vAlign w:val="center"/>
          </w:tcPr>
          <w:p>
            <w:r>
              <w:rPr>
                <w:rFonts w:ascii="Noto Sans" w:hAnsi="Noto Sans"/>
                <w:sz w:val="17"/>
              </w:rPr>
            </w:r>
          </w:p>
        </w:tc>
        <w:tc>
          <w:tcPr>
            <w:tcW w:type="dxa" w:w="871"/>
            <w:vAlign w:val="center"/>
          </w:tcPr>
          <w:p>
            <w:r>
              <w:rPr>
                <w:rFonts w:ascii="Noto Sans" w:hAnsi="Noto Sans"/>
                <w:sz w:val="17"/>
              </w:rPr>
              <w:t>75</w:t>
            </w:r>
          </w:p>
        </w:tc>
        <w:tc>
          <w:tcPr>
            <w:tcW w:type="dxa" w:w="871"/>
            <w:vAlign w:val="center"/>
          </w:tcPr>
          <w:p>
            <w:r>
              <w:rPr>
                <w:rFonts w:ascii="Noto Sans" w:hAnsi="Noto Sans"/>
                <w:sz w:val="17"/>
              </w:rPr>
            </w:r>
          </w:p>
        </w:tc>
        <w:tc>
          <w:tcPr>
            <w:tcW w:type="dxa" w:w="871"/>
            <w:vAlign w:val="center"/>
          </w:tcPr>
          <w:p>
            <w:r>
              <w:rPr>
                <w:rFonts w:ascii="Noto Sans" w:hAnsi="Noto Sans"/>
                <w:sz w:val="17"/>
              </w:rPr>
              <w:t>99</w:t>
            </w:r>
          </w:p>
        </w:tc>
        <w:tc>
          <w:tcPr>
            <w:tcW w:type="dxa" w:w="871"/>
            <w:vAlign w:val="center"/>
          </w:tcPr>
          <w:p>
            <w:r>
              <w:rPr>
                <w:rFonts w:ascii="Noto Sans" w:hAnsi="Noto Sans"/>
                <w:sz w:val="17"/>
              </w:rPr>
            </w:r>
          </w:p>
        </w:tc>
        <w:tc>
          <w:tcPr>
            <w:tcW w:type="dxa" w:w="871"/>
            <w:vAlign w:val="center"/>
          </w:tcPr>
          <w:p>
            <w:r>
              <w:rPr>
                <w:rFonts w:ascii="Noto Sans" w:hAnsi="Noto Sans"/>
                <w:sz w:val="17"/>
              </w:rPr>
              <w:t>123</w:t>
            </w:r>
          </w:p>
        </w:tc>
        <w:tc>
          <w:tcPr>
            <w:tcW w:type="dxa" w:w="871"/>
            <w:vAlign w:val="center"/>
          </w:tcPr>
          <w:p>
            <w:r>
              <w:rPr>
                <w:rFonts w:ascii="Noto Sans" w:hAnsi="Noto Sans"/>
                <w:sz w:val="17"/>
              </w:rPr>
            </w:r>
          </w:p>
        </w:tc>
      </w:tr>
      <w:tr>
        <w:tc>
          <w:tcPr>
            <w:tcW w:type="dxa" w:w="871"/>
            <w:vAlign w:val="center"/>
          </w:tcPr>
          <w:p>
            <w:r>
              <w:rPr>
                <w:rFonts w:ascii="Noto Sans" w:hAnsi="Noto Sans"/>
                <w:sz w:val="17"/>
              </w:rPr>
              <w:t>4</w:t>
            </w:r>
          </w:p>
        </w:tc>
        <w:tc>
          <w:tcPr>
            <w:tcW w:type="dxa" w:w="871"/>
            <w:vAlign w:val="center"/>
          </w:tcPr>
          <w:p>
            <w:r>
              <w:rPr>
                <w:rFonts w:ascii="Noto Sans" w:hAnsi="Noto Sans"/>
                <w:sz w:val="17"/>
              </w:rPr>
            </w:r>
          </w:p>
        </w:tc>
        <w:tc>
          <w:tcPr>
            <w:tcW w:type="dxa" w:w="871"/>
            <w:vAlign w:val="center"/>
          </w:tcPr>
          <w:p>
            <w:r>
              <w:rPr>
                <w:rFonts w:ascii="Noto Sans" w:hAnsi="Noto Sans"/>
                <w:sz w:val="17"/>
              </w:rPr>
              <w:t>28</w:t>
            </w:r>
          </w:p>
        </w:tc>
        <w:tc>
          <w:tcPr>
            <w:tcW w:type="dxa" w:w="871"/>
            <w:vAlign w:val="center"/>
          </w:tcPr>
          <w:p>
            <w:r>
              <w:rPr>
                <w:rFonts w:ascii="Noto Sans" w:hAnsi="Noto Sans"/>
                <w:sz w:val="17"/>
              </w:rPr>
            </w:r>
          </w:p>
        </w:tc>
        <w:tc>
          <w:tcPr>
            <w:tcW w:type="dxa" w:w="871"/>
            <w:vAlign w:val="center"/>
          </w:tcPr>
          <w:p>
            <w:r>
              <w:rPr>
                <w:rFonts w:ascii="Noto Sans" w:hAnsi="Noto Sans"/>
                <w:sz w:val="17"/>
              </w:rPr>
              <w:t>52</w:t>
            </w:r>
          </w:p>
        </w:tc>
        <w:tc>
          <w:tcPr>
            <w:tcW w:type="dxa" w:w="871"/>
            <w:vAlign w:val="center"/>
          </w:tcPr>
          <w:p>
            <w:r>
              <w:rPr>
                <w:rFonts w:ascii="Noto Sans" w:hAnsi="Noto Sans"/>
                <w:sz w:val="17"/>
              </w:rPr>
            </w:r>
          </w:p>
        </w:tc>
        <w:tc>
          <w:tcPr>
            <w:tcW w:type="dxa" w:w="871"/>
            <w:vAlign w:val="center"/>
          </w:tcPr>
          <w:p>
            <w:r>
              <w:rPr>
                <w:rFonts w:ascii="Noto Sans" w:hAnsi="Noto Sans"/>
                <w:sz w:val="17"/>
              </w:rPr>
              <w:t>76</w:t>
            </w:r>
          </w:p>
        </w:tc>
        <w:tc>
          <w:tcPr>
            <w:tcW w:type="dxa" w:w="871"/>
            <w:vAlign w:val="center"/>
          </w:tcPr>
          <w:p>
            <w:r>
              <w:rPr>
                <w:rFonts w:ascii="Noto Sans" w:hAnsi="Noto Sans"/>
                <w:sz w:val="17"/>
              </w:rPr>
            </w:r>
          </w:p>
        </w:tc>
        <w:tc>
          <w:tcPr>
            <w:tcW w:type="dxa" w:w="871"/>
            <w:vAlign w:val="center"/>
          </w:tcPr>
          <w:p>
            <w:r>
              <w:rPr>
                <w:rFonts w:ascii="Noto Sans" w:hAnsi="Noto Sans"/>
                <w:sz w:val="17"/>
              </w:rPr>
              <w:t>100</w:t>
            </w:r>
          </w:p>
        </w:tc>
        <w:tc>
          <w:tcPr>
            <w:tcW w:type="dxa" w:w="871"/>
            <w:vAlign w:val="center"/>
          </w:tcPr>
          <w:p>
            <w:r>
              <w:rPr>
                <w:rFonts w:ascii="Noto Sans" w:hAnsi="Noto Sans"/>
                <w:sz w:val="17"/>
              </w:rPr>
            </w:r>
          </w:p>
        </w:tc>
        <w:tc>
          <w:tcPr>
            <w:tcW w:type="dxa" w:w="871"/>
            <w:vAlign w:val="center"/>
          </w:tcPr>
          <w:p>
            <w:r>
              <w:rPr>
                <w:rFonts w:ascii="Noto Sans" w:hAnsi="Noto Sans"/>
                <w:sz w:val="17"/>
              </w:rPr>
              <w:t>124</w:t>
            </w:r>
          </w:p>
        </w:tc>
        <w:tc>
          <w:tcPr>
            <w:tcW w:type="dxa" w:w="871"/>
            <w:vAlign w:val="center"/>
          </w:tcPr>
          <w:p>
            <w:r>
              <w:rPr>
                <w:rFonts w:ascii="Noto Sans" w:hAnsi="Noto Sans"/>
                <w:sz w:val="17"/>
              </w:rPr>
            </w:r>
          </w:p>
        </w:tc>
      </w:tr>
      <w:tr>
        <w:tc>
          <w:tcPr>
            <w:tcW w:type="dxa" w:w="871"/>
            <w:vAlign w:val="center"/>
          </w:tcPr>
          <w:p>
            <w:r>
              <w:rPr>
                <w:rFonts w:ascii="Noto Sans" w:hAnsi="Noto Sans"/>
                <w:sz w:val="17"/>
              </w:rPr>
              <w:t>5</w:t>
            </w:r>
          </w:p>
        </w:tc>
        <w:tc>
          <w:tcPr>
            <w:tcW w:type="dxa" w:w="871"/>
            <w:vAlign w:val="center"/>
          </w:tcPr>
          <w:p>
            <w:r>
              <w:rPr>
                <w:rFonts w:ascii="Noto Sans" w:hAnsi="Noto Sans"/>
                <w:sz w:val="17"/>
              </w:rPr>
            </w:r>
          </w:p>
        </w:tc>
        <w:tc>
          <w:tcPr>
            <w:tcW w:type="dxa" w:w="871"/>
            <w:vAlign w:val="center"/>
          </w:tcPr>
          <w:p>
            <w:r>
              <w:rPr>
                <w:rFonts w:ascii="Noto Sans" w:hAnsi="Noto Sans"/>
                <w:sz w:val="17"/>
              </w:rPr>
              <w:t>29</w:t>
            </w:r>
          </w:p>
        </w:tc>
        <w:tc>
          <w:tcPr>
            <w:tcW w:type="dxa" w:w="871"/>
            <w:vAlign w:val="center"/>
          </w:tcPr>
          <w:p>
            <w:r>
              <w:rPr>
                <w:rFonts w:ascii="Noto Sans" w:hAnsi="Noto Sans"/>
                <w:sz w:val="17"/>
              </w:rPr>
            </w:r>
          </w:p>
        </w:tc>
        <w:tc>
          <w:tcPr>
            <w:tcW w:type="dxa" w:w="871"/>
            <w:vAlign w:val="center"/>
          </w:tcPr>
          <w:p>
            <w:r>
              <w:rPr>
                <w:rFonts w:ascii="Noto Sans" w:hAnsi="Noto Sans"/>
                <w:sz w:val="17"/>
              </w:rPr>
              <w:t>53</w:t>
            </w:r>
          </w:p>
        </w:tc>
        <w:tc>
          <w:tcPr>
            <w:tcW w:type="dxa" w:w="871"/>
            <w:vAlign w:val="center"/>
          </w:tcPr>
          <w:p>
            <w:r>
              <w:rPr>
                <w:rFonts w:ascii="Noto Sans" w:hAnsi="Noto Sans"/>
                <w:sz w:val="17"/>
              </w:rPr>
            </w:r>
          </w:p>
        </w:tc>
        <w:tc>
          <w:tcPr>
            <w:tcW w:type="dxa" w:w="871"/>
            <w:vAlign w:val="center"/>
          </w:tcPr>
          <w:p>
            <w:r>
              <w:rPr>
                <w:rFonts w:ascii="Noto Sans" w:hAnsi="Noto Sans"/>
                <w:sz w:val="17"/>
              </w:rPr>
              <w:t>77</w:t>
            </w:r>
          </w:p>
        </w:tc>
        <w:tc>
          <w:tcPr>
            <w:tcW w:type="dxa" w:w="871"/>
            <w:vAlign w:val="center"/>
          </w:tcPr>
          <w:p>
            <w:r>
              <w:rPr>
                <w:rFonts w:ascii="Noto Sans" w:hAnsi="Noto Sans"/>
                <w:sz w:val="17"/>
              </w:rPr>
            </w:r>
          </w:p>
        </w:tc>
        <w:tc>
          <w:tcPr>
            <w:tcW w:type="dxa" w:w="871"/>
            <w:vAlign w:val="center"/>
          </w:tcPr>
          <w:p>
            <w:r>
              <w:rPr>
                <w:rFonts w:ascii="Noto Sans" w:hAnsi="Noto Sans"/>
                <w:sz w:val="17"/>
              </w:rPr>
              <w:t>101</w:t>
            </w:r>
          </w:p>
        </w:tc>
        <w:tc>
          <w:tcPr>
            <w:tcW w:type="dxa" w:w="871"/>
            <w:vAlign w:val="center"/>
          </w:tcPr>
          <w:p>
            <w:r>
              <w:rPr>
                <w:rFonts w:ascii="Noto Sans" w:hAnsi="Noto Sans"/>
                <w:sz w:val="17"/>
              </w:rPr>
            </w:r>
          </w:p>
        </w:tc>
        <w:tc>
          <w:tcPr>
            <w:tcW w:type="dxa" w:w="871"/>
            <w:vAlign w:val="center"/>
          </w:tcPr>
          <w:p>
            <w:r>
              <w:rPr>
                <w:rFonts w:ascii="Noto Sans" w:hAnsi="Noto Sans"/>
                <w:sz w:val="17"/>
              </w:rPr>
              <w:t>125</w:t>
            </w:r>
          </w:p>
        </w:tc>
        <w:tc>
          <w:tcPr>
            <w:tcW w:type="dxa" w:w="871"/>
            <w:vAlign w:val="center"/>
          </w:tcPr>
          <w:p>
            <w:r>
              <w:rPr>
                <w:rFonts w:ascii="Noto Sans" w:hAnsi="Noto Sans"/>
                <w:sz w:val="17"/>
              </w:rPr>
            </w:r>
          </w:p>
        </w:tc>
      </w:tr>
      <w:tr>
        <w:tc>
          <w:tcPr>
            <w:tcW w:type="dxa" w:w="871"/>
            <w:vAlign w:val="center"/>
          </w:tcPr>
          <w:p>
            <w:r>
              <w:rPr>
                <w:rFonts w:ascii="Noto Sans" w:hAnsi="Noto Sans"/>
                <w:sz w:val="17"/>
              </w:rPr>
              <w:t>6</w:t>
            </w:r>
          </w:p>
        </w:tc>
        <w:tc>
          <w:tcPr>
            <w:tcW w:type="dxa" w:w="871"/>
            <w:vAlign w:val="center"/>
          </w:tcPr>
          <w:p>
            <w:r>
              <w:rPr>
                <w:rFonts w:ascii="Noto Sans" w:hAnsi="Noto Sans"/>
                <w:sz w:val="17"/>
              </w:rPr>
            </w:r>
          </w:p>
        </w:tc>
        <w:tc>
          <w:tcPr>
            <w:tcW w:type="dxa" w:w="871"/>
            <w:vAlign w:val="center"/>
          </w:tcPr>
          <w:p>
            <w:r>
              <w:rPr>
                <w:rFonts w:ascii="Noto Sans" w:hAnsi="Noto Sans"/>
                <w:sz w:val="17"/>
              </w:rPr>
              <w:t>30</w:t>
            </w:r>
          </w:p>
        </w:tc>
        <w:tc>
          <w:tcPr>
            <w:tcW w:type="dxa" w:w="871"/>
            <w:vAlign w:val="center"/>
          </w:tcPr>
          <w:p>
            <w:r>
              <w:rPr>
                <w:rFonts w:ascii="Noto Sans" w:hAnsi="Noto Sans"/>
                <w:sz w:val="17"/>
              </w:rPr>
            </w:r>
          </w:p>
        </w:tc>
        <w:tc>
          <w:tcPr>
            <w:tcW w:type="dxa" w:w="871"/>
            <w:vAlign w:val="center"/>
          </w:tcPr>
          <w:p>
            <w:r>
              <w:rPr>
                <w:rFonts w:ascii="Noto Sans" w:hAnsi="Noto Sans"/>
                <w:sz w:val="17"/>
              </w:rPr>
              <w:t>54</w:t>
            </w:r>
          </w:p>
        </w:tc>
        <w:tc>
          <w:tcPr>
            <w:tcW w:type="dxa" w:w="871"/>
            <w:vAlign w:val="center"/>
          </w:tcPr>
          <w:p>
            <w:r>
              <w:rPr>
                <w:rFonts w:ascii="Noto Sans" w:hAnsi="Noto Sans"/>
                <w:sz w:val="17"/>
              </w:rPr>
            </w:r>
          </w:p>
        </w:tc>
        <w:tc>
          <w:tcPr>
            <w:tcW w:type="dxa" w:w="871"/>
            <w:vAlign w:val="center"/>
          </w:tcPr>
          <w:p>
            <w:r>
              <w:rPr>
                <w:rFonts w:ascii="Noto Sans" w:hAnsi="Noto Sans"/>
                <w:sz w:val="17"/>
              </w:rPr>
              <w:t>78</w:t>
            </w:r>
          </w:p>
        </w:tc>
        <w:tc>
          <w:tcPr>
            <w:tcW w:type="dxa" w:w="871"/>
            <w:vAlign w:val="center"/>
          </w:tcPr>
          <w:p>
            <w:r>
              <w:rPr>
                <w:rFonts w:ascii="Noto Sans" w:hAnsi="Noto Sans"/>
                <w:sz w:val="17"/>
              </w:rPr>
            </w:r>
          </w:p>
        </w:tc>
        <w:tc>
          <w:tcPr>
            <w:tcW w:type="dxa" w:w="871"/>
            <w:vAlign w:val="center"/>
          </w:tcPr>
          <w:p>
            <w:r>
              <w:rPr>
                <w:rFonts w:ascii="Noto Sans" w:hAnsi="Noto Sans"/>
                <w:sz w:val="17"/>
              </w:rPr>
              <w:t>102</w:t>
            </w:r>
          </w:p>
        </w:tc>
        <w:tc>
          <w:tcPr>
            <w:tcW w:type="dxa" w:w="871"/>
            <w:vAlign w:val="center"/>
          </w:tcPr>
          <w:p>
            <w:r>
              <w:rPr>
                <w:rFonts w:ascii="Noto Sans" w:hAnsi="Noto Sans"/>
                <w:sz w:val="17"/>
              </w:rPr>
            </w:r>
          </w:p>
        </w:tc>
        <w:tc>
          <w:tcPr>
            <w:tcW w:type="dxa" w:w="871"/>
            <w:vAlign w:val="center"/>
          </w:tcPr>
          <w:p>
            <w:r>
              <w:rPr>
                <w:rFonts w:ascii="Noto Sans" w:hAnsi="Noto Sans"/>
                <w:sz w:val="17"/>
              </w:rPr>
              <w:t>126</w:t>
            </w:r>
          </w:p>
        </w:tc>
        <w:tc>
          <w:tcPr>
            <w:tcW w:type="dxa" w:w="871"/>
            <w:vAlign w:val="center"/>
          </w:tcPr>
          <w:p>
            <w:r>
              <w:rPr>
                <w:rFonts w:ascii="Noto Sans" w:hAnsi="Noto Sans"/>
                <w:sz w:val="17"/>
              </w:rPr>
            </w:r>
          </w:p>
        </w:tc>
      </w:tr>
      <w:tr>
        <w:tc>
          <w:tcPr>
            <w:tcW w:type="dxa" w:w="871"/>
            <w:vAlign w:val="center"/>
          </w:tcPr>
          <w:p>
            <w:r>
              <w:rPr>
                <w:rFonts w:ascii="Noto Sans" w:hAnsi="Noto Sans"/>
                <w:sz w:val="17"/>
              </w:rPr>
              <w:t>7</w:t>
            </w:r>
          </w:p>
        </w:tc>
        <w:tc>
          <w:tcPr>
            <w:tcW w:type="dxa" w:w="871"/>
            <w:vAlign w:val="center"/>
          </w:tcPr>
          <w:p>
            <w:r>
              <w:rPr>
                <w:rFonts w:ascii="Noto Sans" w:hAnsi="Noto Sans"/>
                <w:sz w:val="17"/>
              </w:rPr>
            </w:r>
          </w:p>
        </w:tc>
        <w:tc>
          <w:tcPr>
            <w:tcW w:type="dxa" w:w="871"/>
            <w:vAlign w:val="center"/>
          </w:tcPr>
          <w:p>
            <w:r>
              <w:rPr>
                <w:rFonts w:ascii="Noto Sans" w:hAnsi="Noto Sans"/>
                <w:sz w:val="17"/>
              </w:rPr>
              <w:t>31</w:t>
            </w:r>
          </w:p>
        </w:tc>
        <w:tc>
          <w:tcPr>
            <w:tcW w:type="dxa" w:w="871"/>
            <w:vAlign w:val="center"/>
          </w:tcPr>
          <w:p>
            <w:r>
              <w:rPr>
                <w:rFonts w:ascii="Noto Sans" w:hAnsi="Noto Sans"/>
                <w:sz w:val="17"/>
              </w:rPr>
            </w:r>
          </w:p>
        </w:tc>
        <w:tc>
          <w:tcPr>
            <w:tcW w:type="dxa" w:w="871"/>
            <w:vAlign w:val="center"/>
          </w:tcPr>
          <w:p>
            <w:r>
              <w:rPr>
                <w:rFonts w:ascii="Noto Sans" w:hAnsi="Noto Sans"/>
                <w:sz w:val="17"/>
              </w:rPr>
              <w:t>55</w:t>
            </w:r>
          </w:p>
        </w:tc>
        <w:tc>
          <w:tcPr>
            <w:tcW w:type="dxa" w:w="871"/>
            <w:vAlign w:val="center"/>
          </w:tcPr>
          <w:p>
            <w:r>
              <w:rPr>
                <w:rFonts w:ascii="Noto Sans" w:hAnsi="Noto Sans"/>
                <w:sz w:val="17"/>
              </w:rPr>
            </w:r>
          </w:p>
        </w:tc>
        <w:tc>
          <w:tcPr>
            <w:tcW w:type="dxa" w:w="871"/>
            <w:vAlign w:val="center"/>
          </w:tcPr>
          <w:p>
            <w:r>
              <w:rPr>
                <w:rFonts w:ascii="Noto Sans" w:hAnsi="Noto Sans"/>
                <w:sz w:val="17"/>
              </w:rPr>
              <w:t>79</w:t>
            </w:r>
          </w:p>
        </w:tc>
        <w:tc>
          <w:tcPr>
            <w:tcW w:type="dxa" w:w="871"/>
            <w:vAlign w:val="center"/>
          </w:tcPr>
          <w:p>
            <w:r>
              <w:rPr>
                <w:rFonts w:ascii="Noto Sans" w:hAnsi="Noto Sans"/>
                <w:sz w:val="17"/>
              </w:rPr>
            </w:r>
          </w:p>
        </w:tc>
        <w:tc>
          <w:tcPr>
            <w:tcW w:type="dxa" w:w="871"/>
            <w:vAlign w:val="center"/>
          </w:tcPr>
          <w:p>
            <w:r>
              <w:rPr>
                <w:rFonts w:ascii="Noto Sans" w:hAnsi="Noto Sans"/>
                <w:sz w:val="17"/>
              </w:rPr>
              <w:t>103</w:t>
            </w:r>
          </w:p>
        </w:tc>
        <w:tc>
          <w:tcPr>
            <w:tcW w:type="dxa" w:w="871"/>
            <w:vAlign w:val="center"/>
          </w:tcPr>
          <w:p>
            <w:r>
              <w:rPr>
                <w:rFonts w:ascii="Noto Sans" w:hAnsi="Noto Sans"/>
                <w:sz w:val="17"/>
              </w:rPr>
            </w:r>
          </w:p>
        </w:tc>
        <w:tc>
          <w:tcPr>
            <w:tcW w:type="dxa" w:w="871"/>
            <w:vAlign w:val="center"/>
          </w:tcPr>
          <w:p>
            <w:r>
              <w:rPr>
                <w:rFonts w:ascii="Noto Sans" w:hAnsi="Noto Sans"/>
                <w:sz w:val="17"/>
              </w:rPr>
              <w:t>127</w:t>
            </w:r>
          </w:p>
        </w:tc>
        <w:tc>
          <w:tcPr>
            <w:tcW w:type="dxa" w:w="871"/>
            <w:vAlign w:val="center"/>
          </w:tcPr>
          <w:p>
            <w:r>
              <w:rPr>
                <w:rFonts w:ascii="Noto Sans" w:hAnsi="Noto Sans"/>
                <w:sz w:val="17"/>
              </w:rPr>
            </w:r>
          </w:p>
        </w:tc>
      </w:tr>
      <w:tr>
        <w:tc>
          <w:tcPr>
            <w:tcW w:type="dxa" w:w="871"/>
            <w:vAlign w:val="center"/>
          </w:tcPr>
          <w:p>
            <w:r>
              <w:rPr>
                <w:rFonts w:ascii="Noto Sans" w:hAnsi="Noto Sans"/>
                <w:sz w:val="17"/>
              </w:rPr>
              <w:t>8</w:t>
            </w:r>
          </w:p>
        </w:tc>
        <w:tc>
          <w:tcPr>
            <w:tcW w:type="dxa" w:w="871"/>
            <w:vAlign w:val="center"/>
          </w:tcPr>
          <w:p>
            <w:r>
              <w:rPr>
                <w:rFonts w:ascii="Noto Sans" w:hAnsi="Noto Sans"/>
                <w:sz w:val="17"/>
              </w:rPr>
            </w:r>
          </w:p>
        </w:tc>
        <w:tc>
          <w:tcPr>
            <w:tcW w:type="dxa" w:w="871"/>
            <w:vAlign w:val="center"/>
          </w:tcPr>
          <w:p>
            <w:r>
              <w:rPr>
                <w:rFonts w:ascii="Noto Sans" w:hAnsi="Noto Sans"/>
                <w:sz w:val="17"/>
              </w:rPr>
              <w:t>32</w:t>
            </w:r>
          </w:p>
        </w:tc>
        <w:tc>
          <w:tcPr>
            <w:tcW w:type="dxa" w:w="871"/>
            <w:vAlign w:val="center"/>
          </w:tcPr>
          <w:p>
            <w:r>
              <w:rPr>
                <w:rFonts w:ascii="Noto Sans" w:hAnsi="Noto Sans"/>
                <w:sz w:val="17"/>
              </w:rPr>
            </w:r>
          </w:p>
        </w:tc>
        <w:tc>
          <w:tcPr>
            <w:tcW w:type="dxa" w:w="871"/>
            <w:vAlign w:val="center"/>
          </w:tcPr>
          <w:p>
            <w:r>
              <w:rPr>
                <w:rFonts w:ascii="Noto Sans" w:hAnsi="Noto Sans"/>
                <w:sz w:val="17"/>
              </w:rPr>
              <w:t>56</w:t>
            </w:r>
          </w:p>
        </w:tc>
        <w:tc>
          <w:tcPr>
            <w:tcW w:type="dxa" w:w="871"/>
            <w:vAlign w:val="center"/>
          </w:tcPr>
          <w:p>
            <w:r>
              <w:rPr>
                <w:rFonts w:ascii="Noto Sans" w:hAnsi="Noto Sans"/>
                <w:sz w:val="17"/>
              </w:rPr>
            </w:r>
          </w:p>
        </w:tc>
        <w:tc>
          <w:tcPr>
            <w:tcW w:type="dxa" w:w="871"/>
            <w:vAlign w:val="center"/>
          </w:tcPr>
          <w:p>
            <w:r>
              <w:rPr>
                <w:rFonts w:ascii="Noto Sans" w:hAnsi="Noto Sans"/>
                <w:sz w:val="17"/>
              </w:rPr>
              <w:t>80</w:t>
            </w:r>
          </w:p>
        </w:tc>
        <w:tc>
          <w:tcPr>
            <w:tcW w:type="dxa" w:w="871"/>
            <w:vAlign w:val="center"/>
          </w:tcPr>
          <w:p>
            <w:r>
              <w:rPr>
                <w:rFonts w:ascii="Noto Sans" w:hAnsi="Noto Sans"/>
                <w:sz w:val="17"/>
              </w:rPr>
            </w:r>
          </w:p>
        </w:tc>
        <w:tc>
          <w:tcPr>
            <w:tcW w:type="dxa" w:w="871"/>
            <w:vAlign w:val="center"/>
          </w:tcPr>
          <w:p>
            <w:r>
              <w:rPr>
                <w:rFonts w:ascii="Noto Sans" w:hAnsi="Noto Sans"/>
                <w:sz w:val="17"/>
              </w:rPr>
              <w:t>104</w:t>
            </w:r>
          </w:p>
        </w:tc>
        <w:tc>
          <w:tcPr>
            <w:tcW w:type="dxa" w:w="871"/>
            <w:vAlign w:val="center"/>
          </w:tcPr>
          <w:p>
            <w:r>
              <w:rPr>
                <w:rFonts w:ascii="Noto Sans" w:hAnsi="Noto Sans"/>
                <w:sz w:val="17"/>
              </w:rPr>
            </w:r>
          </w:p>
        </w:tc>
        <w:tc>
          <w:tcPr>
            <w:tcW w:type="dxa" w:w="871"/>
            <w:vAlign w:val="center"/>
          </w:tcPr>
          <w:p>
            <w:r>
              <w:rPr>
                <w:rFonts w:ascii="Noto Sans" w:hAnsi="Noto Sans"/>
                <w:sz w:val="17"/>
              </w:rPr>
              <w:t>128</w:t>
            </w:r>
          </w:p>
        </w:tc>
        <w:tc>
          <w:tcPr>
            <w:tcW w:type="dxa" w:w="871"/>
            <w:vAlign w:val="center"/>
          </w:tcPr>
          <w:p>
            <w:r>
              <w:rPr>
                <w:rFonts w:ascii="Noto Sans" w:hAnsi="Noto Sans"/>
                <w:sz w:val="17"/>
              </w:rPr>
            </w:r>
          </w:p>
        </w:tc>
      </w:tr>
      <w:tr>
        <w:tc>
          <w:tcPr>
            <w:tcW w:type="dxa" w:w="871"/>
            <w:vAlign w:val="center"/>
          </w:tcPr>
          <w:p>
            <w:r>
              <w:rPr>
                <w:rFonts w:ascii="Noto Sans" w:hAnsi="Noto Sans"/>
                <w:sz w:val="17"/>
              </w:rPr>
              <w:t>9</w:t>
            </w:r>
          </w:p>
        </w:tc>
        <w:tc>
          <w:tcPr>
            <w:tcW w:type="dxa" w:w="871"/>
            <w:vAlign w:val="center"/>
          </w:tcPr>
          <w:p>
            <w:r>
              <w:rPr>
                <w:rFonts w:ascii="Noto Sans" w:hAnsi="Noto Sans"/>
                <w:sz w:val="17"/>
              </w:rPr>
            </w:r>
          </w:p>
        </w:tc>
        <w:tc>
          <w:tcPr>
            <w:tcW w:type="dxa" w:w="871"/>
            <w:vAlign w:val="center"/>
          </w:tcPr>
          <w:p>
            <w:r>
              <w:rPr>
                <w:rFonts w:ascii="Noto Sans" w:hAnsi="Noto Sans"/>
                <w:sz w:val="17"/>
              </w:rPr>
              <w:t>33</w:t>
            </w:r>
          </w:p>
        </w:tc>
        <w:tc>
          <w:tcPr>
            <w:tcW w:type="dxa" w:w="871"/>
            <w:vAlign w:val="center"/>
          </w:tcPr>
          <w:p>
            <w:r>
              <w:rPr>
                <w:rFonts w:ascii="Noto Sans" w:hAnsi="Noto Sans"/>
                <w:sz w:val="17"/>
              </w:rPr>
            </w:r>
          </w:p>
        </w:tc>
        <w:tc>
          <w:tcPr>
            <w:tcW w:type="dxa" w:w="871"/>
            <w:vAlign w:val="center"/>
          </w:tcPr>
          <w:p>
            <w:r>
              <w:rPr>
                <w:rFonts w:ascii="Noto Sans" w:hAnsi="Noto Sans"/>
                <w:sz w:val="17"/>
              </w:rPr>
              <w:t>57</w:t>
            </w:r>
          </w:p>
        </w:tc>
        <w:tc>
          <w:tcPr>
            <w:tcW w:type="dxa" w:w="871"/>
            <w:vAlign w:val="center"/>
          </w:tcPr>
          <w:p>
            <w:r>
              <w:rPr>
                <w:rFonts w:ascii="Noto Sans" w:hAnsi="Noto Sans"/>
                <w:sz w:val="17"/>
              </w:rPr>
            </w:r>
          </w:p>
        </w:tc>
        <w:tc>
          <w:tcPr>
            <w:tcW w:type="dxa" w:w="871"/>
            <w:vAlign w:val="center"/>
          </w:tcPr>
          <w:p>
            <w:r>
              <w:rPr>
                <w:rFonts w:ascii="Noto Sans" w:hAnsi="Noto Sans"/>
                <w:sz w:val="17"/>
              </w:rPr>
              <w:t>81</w:t>
            </w:r>
          </w:p>
        </w:tc>
        <w:tc>
          <w:tcPr>
            <w:tcW w:type="dxa" w:w="871"/>
            <w:vAlign w:val="center"/>
          </w:tcPr>
          <w:p>
            <w:r>
              <w:rPr>
                <w:rFonts w:ascii="Noto Sans" w:hAnsi="Noto Sans"/>
                <w:sz w:val="17"/>
              </w:rPr>
            </w:r>
          </w:p>
        </w:tc>
        <w:tc>
          <w:tcPr>
            <w:tcW w:type="dxa" w:w="871"/>
            <w:vAlign w:val="center"/>
          </w:tcPr>
          <w:p>
            <w:r>
              <w:rPr>
                <w:rFonts w:ascii="Noto Sans" w:hAnsi="Noto Sans"/>
                <w:sz w:val="17"/>
              </w:rPr>
              <w:t>105</w:t>
            </w:r>
          </w:p>
        </w:tc>
        <w:tc>
          <w:tcPr>
            <w:tcW w:type="dxa" w:w="871"/>
            <w:vAlign w:val="center"/>
          </w:tcPr>
          <w:p>
            <w:r>
              <w:rPr>
                <w:rFonts w:ascii="Noto Sans" w:hAnsi="Noto Sans"/>
                <w:sz w:val="17"/>
              </w:rPr>
            </w:r>
          </w:p>
        </w:tc>
        <w:tc>
          <w:tcPr>
            <w:tcW w:type="dxa" w:w="871"/>
            <w:vAlign w:val="center"/>
          </w:tcPr>
          <w:p>
            <w:r>
              <w:rPr>
                <w:rFonts w:ascii="Noto Sans" w:hAnsi="Noto Sans"/>
                <w:sz w:val="17"/>
              </w:rPr>
              <w:t>129</w:t>
            </w:r>
          </w:p>
        </w:tc>
        <w:tc>
          <w:tcPr>
            <w:tcW w:type="dxa" w:w="871"/>
            <w:vAlign w:val="center"/>
          </w:tcPr>
          <w:p>
            <w:r>
              <w:rPr>
                <w:rFonts w:ascii="Noto Sans" w:hAnsi="Noto Sans"/>
                <w:sz w:val="17"/>
              </w:rPr>
            </w:r>
          </w:p>
        </w:tc>
      </w:tr>
      <w:tr>
        <w:tc>
          <w:tcPr>
            <w:tcW w:type="dxa" w:w="871"/>
            <w:vAlign w:val="center"/>
          </w:tcPr>
          <w:p>
            <w:r>
              <w:rPr>
                <w:rFonts w:ascii="Noto Sans" w:hAnsi="Noto Sans"/>
                <w:sz w:val="17"/>
              </w:rPr>
              <w:t>10</w:t>
            </w:r>
          </w:p>
        </w:tc>
        <w:tc>
          <w:tcPr>
            <w:tcW w:type="dxa" w:w="871"/>
            <w:vAlign w:val="center"/>
          </w:tcPr>
          <w:p>
            <w:r>
              <w:rPr>
                <w:rFonts w:ascii="Noto Sans" w:hAnsi="Noto Sans"/>
                <w:sz w:val="17"/>
              </w:rPr>
            </w:r>
          </w:p>
        </w:tc>
        <w:tc>
          <w:tcPr>
            <w:tcW w:type="dxa" w:w="871"/>
            <w:vAlign w:val="center"/>
          </w:tcPr>
          <w:p>
            <w:r>
              <w:rPr>
                <w:rFonts w:ascii="Noto Sans" w:hAnsi="Noto Sans"/>
                <w:sz w:val="17"/>
              </w:rPr>
              <w:t>34</w:t>
            </w:r>
          </w:p>
        </w:tc>
        <w:tc>
          <w:tcPr>
            <w:tcW w:type="dxa" w:w="871"/>
            <w:vAlign w:val="center"/>
          </w:tcPr>
          <w:p>
            <w:r>
              <w:rPr>
                <w:rFonts w:ascii="Noto Sans" w:hAnsi="Noto Sans"/>
                <w:sz w:val="17"/>
              </w:rPr>
            </w:r>
          </w:p>
        </w:tc>
        <w:tc>
          <w:tcPr>
            <w:tcW w:type="dxa" w:w="871"/>
            <w:vAlign w:val="center"/>
          </w:tcPr>
          <w:p>
            <w:r>
              <w:rPr>
                <w:rFonts w:ascii="Noto Sans" w:hAnsi="Noto Sans"/>
                <w:sz w:val="17"/>
              </w:rPr>
              <w:t>58</w:t>
            </w:r>
          </w:p>
        </w:tc>
        <w:tc>
          <w:tcPr>
            <w:tcW w:type="dxa" w:w="871"/>
            <w:vAlign w:val="center"/>
          </w:tcPr>
          <w:p>
            <w:r>
              <w:rPr>
                <w:rFonts w:ascii="Noto Sans" w:hAnsi="Noto Sans"/>
                <w:sz w:val="17"/>
              </w:rPr>
            </w:r>
          </w:p>
        </w:tc>
        <w:tc>
          <w:tcPr>
            <w:tcW w:type="dxa" w:w="871"/>
            <w:vAlign w:val="center"/>
          </w:tcPr>
          <w:p>
            <w:r>
              <w:rPr>
                <w:rFonts w:ascii="Noto Sans" w:hAnsi="Noto Sans"/>
                <w:sz w:val="17"/>
              </w:rPr>
              <w:t>82</w:t>
            </w:r>
          </w:p>
        </w:tc>
        <w:tc>
          <w:tcPr>
            <w:tcW w:type="dxa" w:w="871"/>
            <w:vAlign w:val="center"/>
          </w:tcPr>
          <w:p>
            <w:r>
              <w:rPr>
                <w:rFonts w:ascii="Noto Sans" w:hAnsi="Noto Sans"/>
                <w:sz w:val="17"/>
              </w:rPr>
            </w:r>
          </w:p>
        </w:tc>
        <w:tc>
          <w:tcPr>
            <w:tcW w:type="dxa" w:w="871"/>
            <w:vAlign w:val="center"/>
          </w:tcPr>
          <w:p>
            <w:r>
              <w:rPr>
                <w:rFonts w:ascii="Noto Sans" w:hAnsi="Noto Sans"/>
                <w:sz w:val="17"/>
              </w:rPr>
              <w:t>106</w:t>
            </w:r>
          </w:p>
        </w:tc>
        <w:tc>
          <w:tcPr>
            <w:tcW w:type="dxa" w:w="871"/>
            <w:vAlign w:val="center"/>
          </w:tcPr>
          <w:p>
            <w:r>
              <w:rPr>
                <w:rFonts w:ascii="Noto Sans" w:hAnsi="Noto Sans"/>
                <w:sz w:val="17"/>
              </w:rPr>
            </w:r>
          </w:p>
        </w:tc>
        <w:tc>
          <w:tcPr>
            <w:tcW w:type="dxa" w:w="871"/>
            <w:vAlign w:val="center"/>
          </w:tcPr>
          <w:p>
            <w:r>
              <w:rPr>
                <w:rFonts w:ascii="Noto Sans" w:hAnsi="Noto Sans"/>
                <w:sz w:val="17"/>
              </w:rPr>
              <w:t>130</w:t>
            </w:r>
          </w:p>
        </w:tc>
        <w:tc>
          <w:tcPr>
            <w:tcW w:type="dxa" w:w="871"/>
            <w:vAlign w:val="center"/>
          </w:tcPr>
          <w:p>
            <w:r>
              <w:rPr>
                <w:rFonts w:ascii="Noto Sans" w:hAnsi="Noto Sans"/>
                <w:sz w:val="17"/>
              </w:rPr>
            </w:r>
          </w:p>
        </w:tc>
      </w:tr>
      <w:tr>
        <w:tc>
          <w:tcPr>
            <w:tcW w:type="dxa" w:w="871"/>
            <w:vAlign w:val="center"/>
          </w:tcPr>
          <w:p>
            <w:r>
              <w:rPr>
                <w:rFonts w:ascii="Noto Sans" w:hAnsi="Noto Sans"/>
                <w:sz w:val="17"/>
              </w:rPr>
              <w:t>11</w:t>
            </w:r>
          </w:p>
        </w:tc>
        <w:tc>
          <w:tcPr>
            <w:tcW w:type="dxa" w:w="871"/>
            <w:vAlign w:val="center"/>
          </w:tcPr>
          <w:p>
            <w:r>
              <w:rPr>
                <w:rFonts w:ascii="Noto Sans" w:hAnsi="Noto Sans"/>
                <w:sz w:val="17"/>
              </w:rPr>
            </w:r>
          </w:p>
        </w:tc>
        <w:tc>
          <w:tcPr>
            <w:tcW w:type="dxa" w:w="871"/>
            <w:vAlign w:val="center"/>
          </w:tcPr>
          <w:p>
            <w:r>
              <w:rPr>
                <w:rFonts w:ascii="Noto Sans" w:hAnsi="Noto Sans"/>
                <w:sz w:val="17"/>
              </w:rPr>
              <w:t>35</w:t>
            </w:r>
          </w:p>
        </w:tc>
        <w:tc>
          <w:tcPr>
            <w:tcW w:type="dxa" w:w="871"/>
            <w:vAlign w:val="center"/>
          </w:tcPr>
          <w:p>
            <w:r>
              <w:rPr>
                <w:rFonts w:ascii="Noto Sans" w:hAnsi="Noto Sans"/>
                <w:sz w:val="17"/>
              </w:rPr>
            </w:r>
          </w:p>
        </w:tc>
        <w:tc>
          <w:tcPr>
            <w:tcW w:type="dxa" w:w="871"/>
            <w:vAlign w:val="center"/>
          </w:tcPr>
          <w:p>
            <w:r>
              <w:rPr>
                <w:rFonts w:ascii="Noto Sans" w:hAnsi="Noto Sans"/>
                <w:sz w:val="17"/>
              </w:rPr>
              <w:t>59</w:t>
            </w:r>
          </w:p>
        </w:tc>
        <w:tc>
          <w:tcPr>
            <w:tcW w:type="dxa" w:w="871"/>
            <w:vAlign w:val="center"/>
          </w:tcPr>
          <w:p>
            <w:r>
              <w:rPr>
                <w:rFonts w:ascii="Noto Sans" w:hAnsi="Noto Sans"/>
                <w:sz w:val="17"/>
              </w:rPr>
            </w:r>
          </w:p>
        </w:tc>
        <w:tc>
          <w:tcPr>
            <w:tcW w:type="dxa" w:w="871"/>
            <w:vAlign w:val="center"/>
          </w:tcPr>
          <w:p>
            <w:r>
              <w:rPr>
                <w:rFonts w:ascii="Noto Sans" w:hAnsi="Noto Sans"/>
                <w:sz w:val="17"/>
              </w:rPr>
              <w:t>83</w:t>
            </w:r>
          </w:p>
        </w:tc>
        <w:tc>
          <w:tcPr>
            <w:tcW w:type="dxa" w:w="871"/>
            <w:vAlign w:val="center"/>
          </w:tcPr>
          <w:p>
            <w:r>
              <w:rPr>
                <w:rFonts w:ascii="Noto Sans" w:hAnsi="Noto Sans"/>
                <w:sz w:val="17"/>
              </w:rPr>
            </w:r>
          </w:p>
        </w:tc>
        <w:tc>
          <w:tcPr>
            <w:tcW w:type="dxa" w:w="871"/>
            <w:vAlign w:val="center"/>
          </w:tcPr>
          <w:p>
            <w:r>
              <w:rPr>
                <w:rFonts w:ascii="Noto Sans" w:hAnsi="Noto Sans"/>
                <w:sz w:val="17"/>
              </w:rPr>
              <w:t>107</w:t>
            </w:r>
          </w:p>
        </w:tc>
        <w:tc>
          <w:tcPr>
            <w:tcW w:type="dxa" w:w="871"/>
            <w:vAlign w:val="center"/>
          </w:tcPr>
          <w:p>
            <w:r>
              <w:rPr>
                <w:rFonts w:ascii="Noto Sans" w:hAnsi="Noto Sans"/>
                <w:sz w:val="17"/>
              </w:rPr>
            </w:r>
          </w:p>
        </w:tc>
        <w:tc>
          <w:tcPr>
            <w:tcW w:type="dxa" w:w="871"/>
            <w:vAlign w:val="center"/>
          </w:tcPr>
          <w:p>
            <w:r>
              <w:rPr>
                <w:rFonts w:ascii="Noto Sans" w:hAnsi="Noto Sans"/>
                <w:sz w:val="17"/>
              </w:rPr>
              <w:t>131</w:t>
            </w:r>
          </w:p>
        </w:tc>
        <w:tc>
          <w:tcPr>
            <w:tcW w:type="dxa" w:w="871"/>
            <w:vAlign w:val="center"/>
          </w:tcPr>
          <w:p>
            <w:r>
              <w:rPr>
                <w:rFonts w:ascii="Noto Sans" w:hAnsi="Noto Sans"/>
                <w:sz w:val="17"/>
              </w:rPr>
            </w:r>
          </w:p>
        </w:tc>
      </w:tr>
      <w:tr>
        <w:tc>
          <w:tcPr>
            <w:tcW w:type="dxa" w:w="871"/>
            <w:vAlign w:val="center"/>
          </w:tcPr>
          <w:p>
            <w:r>
              <w:rPr>
                <w:rFonts w:ascii="Noto Sans" w:hAnsi="Noto Sans"/>
                <w:sz w:val="17"/>
              </w:rPr>
              <w:t>12</w:t>
            </w:r>
          </w:p>
        </w:tc>
        <w:tc>
          <w:tcPr>
            <w:tcW w:type="dxa" w:w="871"/>
            <w:vAlign w:val="center"/>
          </w:tcPr>
          <w:p>
            <w:r>
              <w:rPr>
                <w:rFonts w:ascii="Noto Sans" w:hAnsi="Noto Sans"/>
                <w:sz w:val="17"/>
              </w:rPr>
            </w:r>
          </w:p>
        </w:tc>
        <w:tc>
          <w:tcPr>
            <w:tcW w:type="dxa" w:w="871"/>
            <w:vAlign w:val="center"/>
          </w:tcPr>
          <w:p>
            <w:r>
              <w:rPr>
                <w:rFonts w:ascii="Noto Sans" w:hAnsi="Noto Sans"/>
                <w:sz w:val="17"/>
              </w:rPr>
              <w:t>36</w:t>
            </w:r>
          </w:p>
        </w:tc>
        <w:tc>
          <w:tcPr>
            <w:tcW w:type="dxa" w:w="871"/>
            <w:vAlign w:val="center"/>
          </w:tcPr>
          <w:p>
            <w:r>
              <w:rPr>
                <w:rFonts w:ascii="Noto Sans" w:hAnsi="Noto Sans"/>
                <w:sz w:val="17"/>
              </w:rPr>
            </w:r>
          </w:p>
        </w:tc>
        <w:tc>
          <w:tcPr>
            <w:tcW w:type="dxa" w:w="871"/>
            <w:vAlign w:val="center"/>
          </w:tcPr>
          <w:p>
            <w:r>
              <w:rPr>
                <w:rFonts w:ascii="Noto Sans" w:hAnsi="Noto Sans"/>
                <w:sz w:val="17"/>
              </w:rPr>
              <w:t>60</w:t>
            </w:r>
          </w:p>
        </w:tc>
        <w:tc>
          <w:tcPr>
            <w:tcW w:type="dxa" w:w="871"/>
            <w:vAlign w:val="center"/>
          </w:tcPr>
          <w:p>
            <w:r>
              <w:rPr>
                <w:rFonts w:ascii="Noto Sans" w:hAnsi="Noto Sans"/>
                <w:sz w:val="17"/>
              </w:rPr>
            </w:r>
          </w:p>
        </w:tc>
        <w:tc>
          <w:tcPr>
            <w:tcW w:type="dxa" w:w="871"/>
            <w:vAlign w:val="center"/>
          </w:tcPr>
          <w:p>
            <w:r>
              <w:rPr>
                <w:rFonts w:ascii="Noto Sans" w:hAnsi="Noto Sans"/>
                <w:sz w:val="17"/>
              </w:rPr>
              <w:t>84</w:t>
            </w:r>
          </w:p>
        </w:tc>
        <w:tc>
          <w:tcPr>
            <w:tcW w:type="dxa" w:w="871"/>
            <w:vAlign w:val="center"/>
          </w:tcPr>
          <w:p>
            <w:r>
              <w:rPr>
                <w:rFonts w:ascii="Noto Sans" w:hAnsi="Noto Sans"/>
                <w:sz w:val="17"/>
              </w:rPr>
            </w:r>
          </w:p>
        </w:tc>
        <w:tc>
          <w:tcPr>
            <w:tcW w:type="dxa" w:w="871"/>
            <w:vAlign w:val="center"/>
          </w:tcPr>
          <w:p>
            <w:r>
              <w:rPr>
                <w:rFonts w:ascii="Noto Sans" w:hAnsi="Noto Sans"/>
                <w:sz w:val="17"/>
              </w:rPr>
              <w:t>108</w:t>
            </w:r>
          </w:p>
        </w:tc>
        <w:tc>
          <w:tcPr>
            <w:tcW w:type="dxa" w:w="871"/>
            <w:vAlign w:val="center"/>
          </w:tcPr>
          <w:p>
            <w:r>
              <w:rPr>
                <w:rFonts w:ascii="Noto Sans" w:hAnsi="Noto Sans"/>
                <w:sz w:val="17"/>
              </w:rPr>
            </w:r>
          </w:p>
        </w:tc>
        <w:tc>
          <w:tcPr>
            <w:tcW w:type="dxa" w:w="871"/>
            <w:vAlign w:val="center"/>
          </w:tcPr>
          <w:p>
            <w:r>
              <w:rPr>
                <w:rFonts w:ascii="Noto Sans" w:hAnsi="Noto Sans"/>
                <w:sz w:val="17"/>
              </w:rPr>
              <w:t>132</w:t>
            </w:r>
          </w:p>
        </w:tc>
        <w:tc>
          <w:tcPr>
            <w:tcW w:type="dxa" w:w="871"/>
            <w:vAlign w:val="center"/>
          </w:tcPr>
          <w:p>
            <w:r>
              <w:rPr>
                <w:rFonts w:ascii="Noto Sans" w:hAnsi="Noto Sans"/>
                <w:sz w:val="17"/>
              </w:rPr>
            </w:r>
          </w:p>
        </w:tc>
      </w:tr>
      <w:tr>
        <w:tc>
          <w:tcPr>
            <w:tcW w:type="dxa" w:w="871"/>
            <w:vAlign w:val="center"/>
          </w:tcPr>
          <w:p>
            <w:r>
              <w:rPr>
                <w:rFonts w:ascii="Noto Sans" w:hAnsi="Noto Sans"/>
                <w:sz w:val="17"/>
              </w:rPr>
              <w:t>13</w:t>
            </w:r>
          </w:p>
        </w:tc>
        <w:tc>
          <w:tcPr>
            <w:tcW w:type="dxa" w:w="871"/>
            <w:vAlign w:val="center"/>
          </w:tcPr>
          <w:p>
            <w:r>
              <w:rPr>
                <w:rFonts w:ascii="Noto Sans" w:hAnsi="Noto Sans"/>
                <w:sz w:val="17"/>
              </w:rPr>
            </w:r>
          </w:p>
        </w:tc>
        <w:tc>
          <w:tcPr>
            <w:tcW w:type="dxa" w:w="871"/>
            <w:vAlign w:val="center"/>
          </w:tcPr>
          <w:p>
            <w:r>
              <w:rPr>
                <w:rFonts w:ascii="Noto Sans" w:hAnsi="Noto Sans"/>
                <w:sz w:val="17"/>
              </w:rPr>
              <w:t>37</w:t>
            </w:r>
          </w:p>
        </w:tc>
        <w:tc>
          <w:tcPr>
            <w:tcW w:type="dxa" w:w="871"/>
            <w:vAlign w:val="center"/>
          </w:tcPr>
          <w:p>
            <w:r>
              <w:rPr>
                <w:rFonts w:ascii="Noto Sans" w:hAnsi="Noto Sans"/>
                <w:sz w:val="17"/>
              </w:rPr>
            </w:r>
          </w:p>
        </w:tc>
        <w:tc>
          <w:tcPr>
            <w:tcW w:type="dxa" w:w="871"/>
            <w:vAlign w:val="center"/>
          </w:tcPr>
          <w:p>
            <w:r>
              <w:rPr>
                <w:rFonts w:ascii="Noto Sans" w:hAnsi="Noto Sans"/>
                <w:sz w:val="17"/>
              </w:rPr>
              <w:t>61</w:t>
            </w:r>
          </w:p>
        </w:tc>
        <w:tc>
          <w:tcPr>
            <w:tcW w:type="dxa" w:w="871"/>
            <w:vAlign w:val="center"/>
          </w:tcPr>
          <w:p>
            <w:r>
              <w:rPr>
                <w:rFonts w:ascii="Noto Sans" w:hAnsi="Noto Sans"/>
                <w:sz w:val="17"/>
              </w:rPr>
            </w:r>
          </w:p>
        </w:tc>
        <w:tc>
          <w:tcPr>
            <w:tcW w:type="dxa" w:w="871"/>
            <w:vAlign w:val="center"/>
          </w:tcPr>
          <w:p>
            <w:r>
              <w:rPr>
                <w:rFonts w:ascii="Noto Sans" w:hAnsi="Noto Sans"/>
                <w:sz w:val="17"/>
              </w:rPr>
              <w:t>85</w:t>
            </w:r>
          </w:p>
        </w:tc>
        <w:tc>
          <w:tcPr>
            <w:tcW w:type="dxa" w:w="871"/>
            <w:vAlign w:val="center"/>
          </w:tcPr>
          <w:p>
            <w:r>
              <w:rPr>
                <w:rFonts w:ascii="Noto Sans" w:hAnsi="Noto Sans"/>
                <w:sz w:val="17"/>
              </w:rPr>
            </w:r>
          </w:p>
        </w:tc>
        <w:tc>
          <w:tcPr>
            <w:tcW w:type="dxa" w:w="871"/>
            <w:vAlign w:val="center"/>
          </w:tcPr>
          <w:p>
            <w:r>
              <w:rPr>
                <w:rFonts w:ascii="Noto Sans" w:hAnsi="Noto Sans"/>
                <w:sz w:val="17"/>
              </w:rPr>
              <w:t>109</w:t>
            </w:r>
          </w:p>
        </w:tc>
        <w:tc>
          <w:tcPr>
            <w:tcW w:type="dxa" w:w="871"/>
            <w:vAlign w:val="center"/>
          </w:tcPr>
          <w:p>
            <w:r>
              <w:rPr>
                <w:rFonts w:ascii="Noto Sans" w:hAnsi="Noto Sans"/>
                <w:sz w:val="17"/>
              </w:rPr>
            </w:r>
          </w:p>
        </w:tc>
        <w:tc>
          <w:tcPr>
            <w:tcW w:type="dxa" w:w="871"/>
            <w:vAlign w:val="center"/>
          </w:tcPr>
          <w:p>
            <w:r>
              <w:rPr>
                <w:rFonts w:ascii="Noto Sans" w:hAnsi="Noto Sans"/>
                <w:sz w:val="17"/>
              </w:rPr>
              <w:t>133</w:t>
            </w:r>
          </w:p>
        </w:tc>
        <w:tc>
          <w:tcPr>
            <w:tcW w:type="dxa" w:w="871"/>
            <w:vAlign w:val="center"/>
          </w:tcPr>
          <w:p>
            <w:r>
              <w:rPr>
                <w:rFonts w:ascii="Noto Sans" w:hAnsi="Noto Sans"/>
                <w:sz w:val="17"/>
              </w:rPr>
            </w:r>
          </w:p>
        </w:tc>
      </w:tr>
      <w:tr>
        <w:tc>
          <w:tcPr>
            <w:tcW w:type="dxa" w:w="871"/>
            <w:vAlign w:val="center"/>
          </w:tcPr>
          <w:p>
            <w:r>
              <w:rPr>
                <w:rFonts w:ascii="Noto Sans" w:hAnsi="Noto Sans"/>
                <w:sz w:val="17"/>
              </w:rPr>
              <w:t>14</w:t>
            </w:r>
          </w:p>
        </w:tc>
        <w:tc>
          <w:tcPr>
            <w:tcW w:type="dxa" w:w="871"/>
            <w:vAlign w:val="center"/>
          </w:tcPr>
          <w:p>
            <w:r>
              <w:rPr>
                <w:rFonts w:ascii="Noto Sans" w:hAnsi="Noto Sans"/>
                <w:sz w:val="17"/>
              </w:rPr>
            </w:r>
          </w:p>
        </w:tc>
        <w:tc>
          <w:tcPr>
            <w:tcW w:type="dxa" w:w="871"/>
            <w:vAlign w:val="center"/>
          </w:tcPr>
          <w:p>
            <w:r>
              <w:rPr>
                <w:rFonts w:ascii="Noto Sans" w:hAnsi="Noto Sans"/>
                <w:sz w:val="17"/>
              </w:rPr>
              <w:t>38</w:t>
            </w:r>
          </w:p>
        </w:tc>
        <w:tc>
          <w:tcPr>
            <w:tcW w:type="dxa" w:w="871"/>
            <w:vAlign w:val="center"/>
          </w:tcPr>
          <w:p>
            <w:r>
              <w:rPr>
                <w:rFonts w:ascii="Noto Sans" w:hAnsi="Noto Sans"/>
                <w:sz w:val="17"/>
              </w:rPr>
            </w:r>
          </w:p>
        </w:tc>
        <w:tc>
          <w:tcPr>
            <w:tcW w:type="dxa" w:w="871"/>
            <w:vAlign w:val="center"/>
          </w:tcPr>
          <w:p>
            <w:r>
              <w:rPr>
                <w:rFonts w:ascii="Noto Sans" w:hAnsi="Noto Sans"/>
                <w:sz w:val="17"/>
              </w:rPr>
              <w:t>62</w:t>
            </w:r>
          </w:p>
        </w:tc>
        <w:tc>
          <w:tcPr>
            <w:tcW w:type="dxa" w:w="871"/>
            <w:vAlign w:val="center"/>
          </w:tcPr>
          <w:p>
            <w:r>
              <w:rPr>
                <w:rFonts w:ascii="Noto Sans" w:hAnsi="Noto Sans"/>
                <w:sz w:val="17"/>
              </w:rPr>
            </w:r>
          </w:p>
        </w:tc>
        <w:tc>
          <w:tcPr>
            <w:tcW w:type="dxa" w:w="871"/>
            <w:vAlign w:val="center"/>
          </w:tcPr>
          <w:p>
            <w:r>
              <w:rPr>
                <w:rFonts w:ascii="Noto Sans" w:hAnsi="Noto Sans"/>
                <w:sz w:val="17"/>
              </w:rPr>
              <w:t>86</w:t>
            </w:r>
          </w:p>
        </w:tc>
        <w:tc>
          <w:tcPr>
            <w:tcW w:type="dxa" w:w="871"/>
            <w:vAlign w:val="center"/>
          </w:tcPr>
          <w:p>
            <w:r>
              <w:rPr>
                <w:rFonts w:ascii="Noto Sans" w:hAnsi="Noto Sans"/>
                <w:sz w:val="17"/>
              </w:rPr>
            </w:r>
          </w:p>
        </w:tc>
        <w:tc>
          <w:tcPr>
            <w:tcW w:type="dxa" w:w="871"/>
            <w:vAlign w:val="center"/>
          </w:tcPr>
          <w:p>
            <w:r>
              <w:rPr>
                <w:rFonts w:ascii="Noto Sans" w:hAnsi="Noto Sans"/>
                <w:sz w:val="17"/>
              </w:rPr>
              <w:t>110</w:t>
            </w:r>
          </w:p>
        </w:tc>
        <w:tc>
          <w:tcPr>
            <w:tcW w:type="dxa" w:w="871"/>
            <w:vAlign w:val="center"/>
          </w:tcPr>
          <w:p>
            <w:r>
              <w:rPr>
                <w:rFonts w:ascii="Noto Sans" w:hAnsi="Noto Sans"/>
                <w:sz w:val="17"/>
              </w:rPr>
            </w:r>
          </w:p>
        </w:tc>
        <w:tc>
          <w:tcPr>
            <w:tcW w:type="dxa" w:w="871"/>
            <w:vAlign w:val="center"/>
          </w:tcPr>
          <w:p>
            <w:r>
              <w:rPr>
                <w:rFonts w:ascii="Noto Sans" w:hAnsi="Noto Sans"/>
                <w:sz w:val="17"/>
              </w:rPr>
              <w:t>134</w:t>
            </w:r>
          </w:p>
        </w:tc>
        <w:tc>
          <w:tcPr>
            <w:tcW w:type="dxa" w:w="871"/>
            <w:vAlign w:val="center"/>
          </w:tcPr>
          <w:p>
            <w:r>
              <w:rPr>
                <w:rFonts w:ascii="Noto Sans" w:hAnsi="Noto Sans"/>
                <w:sz w:val="17"/>
              </w:rPr>
            </w:r>
          </w:p>
        </w:tc>
      </w:tr>
      <w:tr>
        <w:tc>
          <w:tcPr>
            <w:tcW w:type="dxa" w:w="871"/>
            <w:vAlign w:val="center"/>
          </w:tcPr>
          <w:p>
            <w:r>
              <w:rPr>
                <w:rFonts w:ascii="Noto Sans" w:hAnsi="Noto Sans"/>
                <w:sz w:val="17"/>
              </w:rPr>
              <w:t>15</w:t>
            </w:r>
          </w:p>
        </w:tc>
        <w:tc>
          <w:tcPr>
            <w:tcW w:type="dxa" w:w="871"/>
            <w:vAlign w:val="center"/>
          </w:tcPr>
          <w:p>
            <w:r>
              <w:rPr>
                <w:rFonts w:ascii="Noto Sans" w:hAnsi="Noto Sans"/>
                <w:sz w:val="17"/>
              </w:rPr>
            </w:r>
          </w:p>
        </w:tc>
        <w:tc>
          <w:tcPr>
            <w:tcW w:type="dxa" w:w="871"/>
            <w:vAlign w:val="center"/>
          </w:tcPr>
          <w:p>
            <w:r>
              <w:rPr>
                <w:rFonts w:ascii="Noto Sans" w:hAnsi="Noto Sans"/>
                <w:sz w:val="17"/>
              </w:rPr>
              <w:t>39</w:t>
            </w:r>
          </w:p>
        </w:tc>
        <w:tc>
          <w:tcPr>
            <w:tcW w:type="dxa" w:w="871"/>
            <w:vAlign w:val="center"/>
          </w:tcPr>
          <w:p>
            <w:r>
              <w:rPr>
                <w:rFonts w:ascii="Noto Sans" w:hAnsi="Noto Sans"/>
                <w:sz w:val="17"/>
              </w:rPr>
            </w:r>
          </w:p>
        </w:tc>
        <w:tc>
          <w:tcPr>
            <w:tcW w:type="dxa" w:w="871"/>
            <w:vAlign w:val="center"/>
          </w:tcPr>
          <w:p>
            <w:r>
              <w:rPr>
                <w:rFonts w:ascii="Noto Sans" w:hAnsi="Noto Sans"/>
                <w:sz w:val="17"/>
              </w:rPr>
              <w:t>63</w:t>
            </w:r>
          </w:p>
        </w:tc>
        <w:tc>
          <w:tcPr>
            <w:tcW w:type="dxa" w:w="871"/>
            <w:vAlign w:val="center"/>
          </w:tcPr>
          <w:p>
            <w:r>
              <w:rPr>
                <w:rFonts w:ascii="Noto Sans" w:hAnsi="Noto Sans"/>
                <w:sz w:val="17"/>
              </w:rPr>
            </w:r>
          </w:p>
        </w:tc>
        <w:tc>
          <w:tcPr>
            <w:tcW w:type="dxa" w:w="871"/>
            <w:vAlign w:val="center"/>
          </w:tcPr>
          <w:p>
            <w:r>
              <w:rPr>
                <w:rFonts w:ascii="Noto Sans" w:hAnsi="Noto Sans"/>
                <w:sz w:val="17"/>
              </w:rPr>
              <w:t>87</w:t>
            </w:r>
          </w:p>
        </w:tc>
        <w:tc>
          <w:tcPr>
            <w:tcW w:type="dxa" w:w="871"/>
            <w:vAlign w:val="center"/>
          </w:tcPr>
          <w:p>
            <w:r>
              <w:rPr>
                <w:rFonts w:ascii="Noto Sans" w:hAnsi="Noto Sans"/>
                <w:sz w:val="17"/>
              </w:rPr>
            </w:r>
          </w:p>
        </w:tc>
        <w:tc>
          <w:tcPr>
            <w:tcW w:type="dxa" w:w="871"/>
            <w:vAlign w:val="center"/>
          </w:tcPr>
          <w:p>
            <w:r>
              <w:rPr>
                <w:rFonts w:ascii="Noto Sans" w:hAnsi="Noto Sans"/>
                <w:sz w:val="17"/>
              </w:rPr>
              <w:t>111</w:t>
            </w:r>
          </w:p>
        </w:tc>
        <w:tc>
          <w:tcPr>
            <w:tcW w:type="dxa" w:w="871"/>
            <w:vAlign w:val="center"/>
          </w:tcPr>
          <w:p>
            <w:r>
              <w:rPr>
                <w:rFonts w:ascii="Noto Sans" w:hAnsi="Noto Sans"/>
                <w:sz w:val="17"/>
              </w:rPr>
            </w:r>
          </w:p>
        </w:tc>
        <w:tc>
          <w:tcPr>
            <w:tcW w:type="dxa" w:w="871"/>
            <w:vAlign w:val="center"/>
          </w:tcPr>
          <w:p>
            <w:r>
              <w:rPr>
                <w:rFonts w:ascii="Noto Sans" w:hAnsi="Noto Sans"/>
                <w:sz w:val="17"/>
              </w:rPr>
              <w:t>135</w:t>
            </w:r>
          </w:p>
        </w:tc>
        <w:tc>
          <w:tcPr>
            <w:tcW w:type="dxa" w:w="871"/>
            <w:vAlign w:val="center"/>
          </w:tcPr>
          <w:p>
            <w:r>
              <w:rPr>
                <w:rFonts w:ascii="Noto Sans" w:hAnsi="Noto Sans"/>
                <w:sz w:val="17"/>
              </w:rPr>
            </w:r>
          </w:p>
        </w:tc>
      </w:tr>
      <w:tr>
        <w:tc>
          <w:tcPr>
            <w:tcW w:type="dxa" w:w="871"/>
            <w:vAlign w:val="center"/>
          </w:tcPr>
          <w:p>
            <w:r>
              <w:rPr>
                <w:rFonts w:ascii="Noto Sans" w:hAnsi="Noto Sans"/>
                <w:sz w:val="17"/>
              </w:rPr>
              <w:t>16</w:t>
            </w:r>
          </w:p>
        </w:tc>
        <w:tc>
          <w:tcPr>
            <w:tcW w:type="dxa" w:w="871"/>
            <w:vAlign w:val="center"/>
          </w:tcPr>
          <w:p>
            <w:r>
              <w:rPr>
                <w:rFonts w:ascii="Noto Sans" w:hAnsi="Noto Sans"/>
                <w:sz w:val="17"/>
              </w:rPr>
            </w:r>
          </w:p>
        </w:tc>
        <w:tc>
          <w:tcPr>
            <w:tcW w:type="dxa" w:w="871"/>
            <w:vAlign w:val="center"/>
          </w:tcPr>
          <w:p>
            <w:r>
              <w:rPr>
                <w:rFonts w:ascii="Noto Sans" w:hAnsi="Noto Sans"/>
                <w:sz w:val="17"/>
              </w:rPr>
              <w:t>40</w:t>
            </w:r>
          </w:p>
        </w:tc>
        <w:tc>
          <w:tcPr>
            <w:tcW w:type="dxa" w:w="871"/>
            <w:vAlign w:val="center"/>
          </w:tcPr>
          <w:p>
            <w:r>
              <w:rPr>
                <w:rFonts w:ascii="Noto Sans" w:hAnsi="Noto Sans"/>
                <w:sz w:val="17"/>
              </w:rPr>
            </w:r>
          </w:p>
        </w:tc>
        <w:tc>
          <w:tcPr>
            <w:tcW w:type="dxa" w:w="871"/>
            <w:vAlign w:val="center"/>
          </w:tcPr>
          <w:p>
            <w:r>
              <w:rPr>
                <w:rFonts w:ascii="Noto Sans" w:hAnsi="Noto Sans"/>
                <w:sz w:val="17"/>
              </w:rPr>
              <w:t>64</w:t>
            </w:r>
          </w:p>
        </w:tc>
        <w:tc>
          <w:tcPr>
            <w:tcW w:type="dxa" w:w="871"/>
            <w:vAlign w:val="center"/>
          </w:tcPr>
          <w:p>
            <w:r>
              <w:rPr>
                <w:rFonts w:ascii="Noto Sans" w:hAnsi="Noto Sans"/>
                <w:sz w:val="17"/>
              </w:rPr>
            </w:r>
          </w:p>
        </w:tc>
        <w:tc>
          <w:tcPr>
            <w:tcW w:type="dxa" w:w="871"/>
            <w:vAlign w:val="center"/>
          </w:tcPr>
          <w:p>
            <w:r>
              <w:rPr>
                <w:rFonts w:ascii="Noto Sans" w:hAnsi="Noto Sans"/>
                <w:sz w:val="17"/>
              </w:rPr>
              <w:t>88</w:t>
            </w:r>
          </w:p>
        </w:tc>
        <w:tc>
          <w:tcPr>
            <w:tcW w:type="dxa" w:w="871"/>
            <w:vAlign w:val="center"/>
          </w:tcPr>
          <w:p>
            <w:r>
              <w:rPr>
                <w:rFonts w:ascii="Noto Sans" w:hAnsi="Noto Sans"/>
                <w:sz w:val="17"/>
              </w:rPr>
            </w:r>
          </w:p>
        </w:tc>
        <w:tc>
          <w:tcPr>
            <w:tcW w:type="dxa" w:w="871"/>
            <w:vAlign w:val="center"/>
          </w:tcPr>
          <w:p>
            <w:r>
              <w:rPr>
                <w:rFonts w:ascii="Noto Sans" w:hAnsi="Noto Sans"/>
                <w:sz w:val="17"/>
              </w:rPr>
              <w:t>112</w:t>
            </w:r>
          </w:p>
        </w:tc>
        <w:tc>
          <w:tcPr>
            <w:tcW w:type="dxa" w:w="871"/>
            <w:vAlign w:val="center"/>
          </w:tcPr>
          <w:p>
            <w:r>
              <w:rPr>
                <w:rFonts w:ascii="Noto Sans" w:hAnsi="Noto Sans"/>
                <w:sz w:val="17"/>
              </w:rPr>
            </w:r>
          </w:p>
        </w:tc>
        <w:tc>
          <w:tcPr>
            <w:tcW w:type="dxa" w:w="871"/>
            <w:vAlign w:val="center"/>
          </w:tcPr>
          <w:p>
            <w:r>
              <w:rPr>
                <w:rFonts w:ascii="Noto Sans" w:hAnsi="Noto Sans"/>
                <w:sz w:val="17"/>
              </w:rPr>
              <w:t>136</w:t>
            </w:r>
          </w:p>
        </w:tc>
        <w:tc>
          <w:tcPr>
            <w:tcW w:type="dxa" w:w="871"/>
            <w:vAlign w:val="center"/>
          </w:tcPr>
          <w:p>
            <w:r>
              <w:rPr>
                <w:rFonts w:ascii="Noto Sans" w:hAnsi="Noto Sans"/>
                <w:sz w:val="17"/>
              </w:rPr>
            </w:r>
          </w:p>
        </w:tc>
      </w:tr>
      <w:tr>
        <w:tc>
          <w:tcPr>
            <w:tcW w:type="dxa" w:w="871"/>
            <w:vAlign w:val="center"/>
          </w:tcPr>
          <w:p>
            <w:r>
              <w:rPr>
                <w:rFonts w:ascii="Noto Sans" w:hAnsi="Noto Sans"/>
                <w:sz w:val="17"/>
              </w:rPr>
              <w:t>17</w:t>
            </w:r>
          </w:p>
        </w:tc>
        <w:tc>
          <w:tcPr>
            <w:tcW w:type="dxa" w:w="871"/>
            <w:vAlign w:val="center"/>
          </w:tcPr>
          <w:p>
            <w:r>
              <w:rPr>
                <w:rFonts w:ascii="Noto Sans" w:hAnsi="Noto Sans"/>
                <w:sz w:val="17"/>
              </w:rPr>
            </w:r>
          </w:p>
        </w:tc>
        <w:tc>
          <w:tcPr>
            <w:tcW w:type="dxa" w:w="871"/>
            <w:vAlign w:val="center"/>
          </w:tcPr>
          <w:p>
            <w:r>
              <w:rPr>
                <w:rFonts w:ascii="Noto Sans" w:hAnsi="Noto Sans"/>
                <w:sz w:val="17"/>
              </w:rPr>
              <w:t>41</w:t>
            </w:r>
          </w:p>
        </w:tc>
        <w:tc>
          <w:tcPr>
            <w:tcW w:type="dxa" w:w="871"/>
            <w:vAlign w:val="center"/>
          </w:tcPr>
          <w:p>
            <w:r>
              <w:rPr>
                <w:rFonts w:ascii="Noto Sans" w:hAnsi="Noto Sans"/>
                <w:sz w:val="17"/>
              </w:rPr>
            </w:r>
          </w:p>
        </w:tc>
        <w:tc>
          <w:tcPr>
            <w:tcW w:type="dxa" w:w="871"/>
            <w:vAlign w:val="center"/>
          </w:tcPr>
          <w:p>
            <w:r>
              <w:rPr>
                <w:rFonts w:ascii="Noto Sans" w:hAnsi="Noto Sans"/>
                <w:sz w:val="17"/>
              </w:rPr>
              <w:t>65</w:t>
            </w:r>
          </w:p>
        </w:tc>
        <w:tc>
          <w:tcPr>
            <w:tcW w:type="dxa" w:w="871"/>
            <w:vAlign w:val="center"/>
          </w:tcPr>
          <w:p>
            <w:r>
              <w:rPr>
                <w:rFonts w:ascii="Noto Sans" w:hAnsi="Noto Sans"/>
                <w:sz w:val="17"/>
              </w:rPr>
            </w:r>
          </w:p>
        </w:tc>
        <w:tc>
          <w:tcPr>
            <w:tcW w:type="dxa" w:w="871"/>
            <w:vAlign w:val="center"/>
          </w:tcPr>
          <w:p>
            <w:r>
              <w:rPr>
                <w:rFonts w:ascii="Noto Sans" w:hAnsi="Noto Sans"/>
                <w:sz w:val="17"/>
              </w:rPr>
              <w:t>89</w:t>
            </w:r>
          </w:p>
        </w:tc>
        <w:tc>
          <w:tcPr>
            <w:tcW w:type="dxa" w:w="871"/>
            <w:vAlign w:val="center"/>
          </w:tcPr>
          <w:p>
            <w:r>
              <w:rPr>
                <w:rFonts w:ascii="Noto Sans" w:hAnsi="Noto Sans"/>
                <w:sz w:val="17"/>
              </w:rPr>
            </w:r>
          </w:p>
        </w:tc>
        <w:tc>
          <w:tcPr>
            <w:tcW w:type="dxa" w:w="871"/>
            <w:vAlign w:val="center"/>
          </w:tcPr>
          <w:p>
            <w:r>
              <w:rPr>
                <w:rFonts w:ascii="Noto Sans" w:hAnsi="Noto Sans"/>
                <w:sz w:val="17"/>
              </w:rPr>
              <w:t>113</w:t>
            </w:r>
          </w:p>
        </w:tc>
        <w:tc>
          <w:tcPr>
            <w:tcW w:type="dxa" w:w="871"/>
            <w:vAlign w:val="center"/>
          </w:tcPr>
          <w:p>
            <w:r>
              <w:rPr>
                <w:rFonts w:ascii="Noto Sans" w:hAnsi="Noto Sans"/>
                <w:sz w:val="17"/>
              </w:rPr>
            </w:r>
          </w:p>
        </w:tc>
        <w:tc>
          <w:tcPr>
            <w:tcW w:type="dxa" w:w="871"/>
            <w:vAlign w:val="center"/>
          </w:tcPr>
          <w:p>
            <w:r>
              <w:rPr>
                <w:rFonts w:ascii="Noto Sans" w:hAnsi="Noto Sans"/>
                <w:sz w:val="17"/>
              </w:rPr>
              <w:t>137</w:t>
            </w:r>
          </w:p>
        </w:tc>
        <w:tc>
          <w:tcPr>
            <w:tcW w:type="dxa" w:w="871"/>
            <w:vAlign w:val="center"/>
          </w:tcPr>
          <w:p>
            <w:r>
              <w:rPr>
                <w:rFonts w:ascii="Noto Sans" w:hAnsi="Noto Sans"/>
                <w:sz w:val="17"/>
              </w:rPr>
            </w:r>
          </w:p>
        </w:tc>
      </w:tr>
      <w:tr>
        <w:tc>
          <w:tcPr>
            <w:tcW w:type="dxa" w:w="871"/>
            <w:vAlign w:val="center"/>
          </w:tcPr>
          <w:p>
            <w:r>
              <w:rPr>
                <w:rFonts w:ascii="Noto Sans" w:hAnsi="Noto Sans"/>
                <w:sz w:val="17"/>
              </w:rPr>
              <w:t>18</w:t>
            </w:r>
          </w:p>
        </w:tc>
        <w:tc>
          <w:tcPr>
            <w:tcW w:type="dxa" w:w="871"/>
            <w:vAlign w:val="center"/>
          </w:tcPr>
          <w:p>
            <w:r>
              <w:rPr>
                <w:rFonts w:ascii="Noto Sans" w:hAnsi="Noto Sans"/>
                <w:sz w:val="17"/>
              </w:rPr>
            </w:r>
          </w:p>
        </w:tc>
        <w:tc>
          <w:tcPr>
            <w:tcW w:type="dxa" w:w="871"/>
            <w:vAlign w:val="center"/>
          </w:tcPr>
          <w:p>
            <w:r>
              <w:rPr>
                <w:rFonts w:ascii="Noto Sans" w:hAnsi="Noto Sans"/>
                <w:sz w:val="17"/>
              </w:rPr>
              <w:t>42</w:t>
            </w:r>
          </w:p>
        </w:tc>
        <w:tc>
          <w:tcPr>
            <w:tcW w:type="dxa" w:w="871"/>
            <w:vAlign w:val="center"/>
          </w:tcPr>
          <w:p>
            <w:r>
              <w:rPr>
                <w:rFonts w:ascii="Noto Sans" w:hAnsi="Noto Sans"/>
                <w:sz w:val="17"/>
              </w:rPr>
            </w:r>
          </w:p>
        </w:tc>
        <w:tc>
          <w:tcPr>
            <w:tcW w:type="dxa" w:w="871"/>
            <w:vAlign w:val="center"/>
          </w:tcPr>
          <w:p>
            <w:r>
              <w:rPr>
                <w:rFonts w:ascii="Noto Sans" w:hAnsi="Noto Sans"/>
                <w:sz w:val="17"/>
              </w:rPr>
              <w:t>66</w:t>
            </w:r>
          </w:p>
        </w:tc>
        <w:tc>
          <w:tcPr>
            <w:tcW w:type="dxa" w:w="871"/>
            <w:vAlign w:val="center"/>
          </w:tcPr>
          <w:p>
            <w:r>
              <w:rPr>
                <w:rFonts w:ascii="Noto Sans" w:hAnsi="Noto Sans"/>
                <w:sz w:val="17"/>
              </w:rPr>
            </w:r>
          </w:p>
        </w:tc>
        <w:tc>
          <w:tcPr>
            <w:tcW w:type="dxa" w:w="871"/>
            <w:vAlign w:val="center"/>
          </w:tcPr>
          <w:p>
            <w:r>
              <w:rPr>
                <w:rFonts w:ascii="Noto Sans" w:hAnsi="Noto Sans"/>
                <w:sz w:val="17"/>
              </w:rPr>
              <w:t>90</w:t>
            </w:r>
          </w:p>
        </w:tc>
        <w:tc>
          <w:tcPr>
            <w:tcW w:type="dxa" w:w="871"/>
            <w:vAlign w:val="center"/>
          </w:tcPr>
          <w:p>
            <w:r>
              <w:rPr>
                <w:rFonts w:ascii="Noto Sans" w:hAnsi="Noto Sans"/>
                <w:sz w:val="17"/>
              </w:rPr>
            </w:r>
          </w:p>
        </w:tc>
        <w:tc>
          <w:tcPr>
            <w:tcW w:type="dxa" w:w="871"/>
            <w:vAlign w:val="center"/>
          </w:tcPr>
          <w:p>
            <w:r>
              <w:rPr>
                <w:rFonts w:ascii="Noto Sans" w:hAnsi="Noto Sans"/>
                <w:sz w:val="17"/>
              </w:rPr>
              <w:t>114</w:t>
            </w:r>
          </w:p>
        </w:tc>
        <w:tc>
          <w:tcPr>
            <w:tcW w:type="dxa" w:w="871"/>
            <w:vAlign w:val="center"/>
          </w:tcPr>
          <w:p>
            <w:r>
              <w:rPr>
                <w:rFonts w:ascii="Noto Sans" w:hAnsi="Noto Sans"/>
                <w:sz w:val="17"/>
              </w:rPr>
            </w:r>
          </w:p>
        </w:tc>
        <w:tc>
          <w:tcPr>
            <w:tcW w:type="dxa" w:w="871"/>
            <w:vAlign w:val="center"/>
          </w:tcPr>
          <w:p>
            <w:r>
              <w:rPr>
                <w:rFonts w:ascii="Noto Sans" w:hAnsi="Noto Sans"/>
                <w:sz w:val="17"/>
              </w:rPr>
              <w:t>138</w:t>
            </w:r>
          </w:p>
        </w:tc>
        <w:tc>
          <w:tcPr>
            <w:tcW w:type="dxa" w:w="871"/>
            <w:vAlign w:val="center"/>
          </w:tcPr>
          <w:p>
            <w:r>
              <w:rPr>
                <w:rFonts w:ascii="Noto Sans" w:hAnsi="Noto Sans"/>
                <w:sz w:val="17"/>
              </w:rPr>
            </w:r>
          </w:p>
        </w:tc>
      </w:tr>
      <w:tr>
        <w:tc>
          <w:tcPr>
            <w:tcW w:type="dxa" w:w="871"/>
            <w:vAlign w:val="center"/>
          </w:tcPr>
          <w:p>
            <w:r>
              <w:rPr>
                <w:rFonts w:ascii="Noto Sans" w:hAnsi="Noto Sans"/>
                <w:sz w:val="17"/>
              </w:rPr>
              <w:t>19</w:t>
            </w:r>
          </w:p>
        </w:tc>
        <w:tc>
          <w:tcPr>
            <w:tcW w:type="dxa" w:w="871"/>
            <w:vAlign w:val="center"/>
          </w:tcPr>
          <w:p>
            <w:r>
              <w:rPr>
                <w:rFonts w:ascii="Noto Sans" w:hAnsi="Noto Sans"/>
                <w:sz w:val="17"/>
              </w:rPr>
            </w:r>
          </w:p>
        </w:tc>
        <w:tc>
          <w:tcPr>
            <w:tcW w:type="dxa" w:w="871"/>
            <w:vAlign w:val="center"/>
          </w:tcPr>
          <w:p>
            <w:r>
              <w:rPr>
                <w:rFonts w:ascii="Noto Sans" w:hAnsi="Noto Sans"/>
                <w:sz w:val="17"/>
              </w:rPr>
              <w:t>43</w:t>
            </w:r>
          </w:p>
        </w:tc>
        <w:tc>
          <w:tcPr>
            <w:tcW w:type="dxa" w:w="871"/>
            <w:vAlign w:val="center"/>
          </w:tcPr>
          <w:p>
            <w:r>
              <w:rPr>
                <w:rFonts w:ascii="Noto Sans" w:hAnsi="Noto Sans"/>
                <w:sz w:val="17"/>
              </w:rPr>
            </w:r>
          </w:p>
        </w:tc>
        <w:tc>
          <w:tcPr>
            <w:tcW w:type="dxa" w:w="871"/>
            <w:vAlign w:val="center"/>
          </w:tcPr>
          <w:p>
            <w:r>
              <w:rPr>
                <w:rFonts w:ascii="Noto Sans" w:hAnsi="Noto Sans"/>
                <w:sz w:val="17"/>
              </w:rPr>
              <w:t>67</w:t>
            </w:r>
          </w:p>
        </w:tc>
        <w:tc>
          <w:tcPr>
            <w:tcW w:type="dxa" w:w="871"/>
            <w:vAlign w:val="center"/>
          </w:tcPr>
          <w:p>
            <w:r>
              <w:rPr>
                <w:rFonts w:ascii="Noto Sans" w:hAnsi="Noto Sans"/>
                <w:sz w:val="17"/>
              </w:rPr>
            </w:r>
          </w:p>
        </w:tc>
        <w:tc>
          <w:tcPr>
            <w:tcW w:type="dxa" w:w="871"/>
            <w:vAlign w:val="center"/>
          </w:tcPr>
          <w:p>
            <w:r>
              <w:rPr>
                <w:rFonts w:ascii="Noto Sans" w:hAnsi="Noto Sans"/>
                <w:sz w:val="17"/>
              </w:rPr>
              <w:t>91</w:t>
            </w:r>
          </w:p>
        </w:tc>
        <w:tc>
          <w:tcPr>
            <w:tcW w:type="dxa" w:w="871"/>
            <w:vAlign w:val="center"/>
          </w:tcPr>
          <w:p>
            <w:r>
              <w:rPr>
                <w:rFonts w:ascii="Noto Sans" w:hAnsi="Noto Sans"/>
                <w:sz w:val="17"/>
              </w:rPr>
            </w:r>
          </w:p>
        </w:tc>
        <w:tc>
          <w:tcPr>
            <w:tcW w:type="dxa" w:w="871"/>
            <w:vAlign w:val="center"/>
          </w:tcPr>
          <w:p>
            <w:r>
              <w:rPr>
                <w:rFonts w:ascii="Noto Sans" w:hAnsi="Noto Sans"/>
                <w:sz w:val="17"/>
              </w:rPr>
              <w:t>115</w:t>
            </w:r>
          </w:p>
        </w:tc>
        <w:tc>
          <w:tcPr>
            <w:tcW w:type="dxa" w:w="871"/>
            <w:vAlign w:val="center"/>
          </w:tcPr>
          <w:p>
            <w:r>
              <w:rPr>
                <w:rFonts w:ascii="Noto Sans" w:hAnsi="Noto Sans"/>
                <w:sz w:val="17"/>
              </w:rPr>
            </w:r>
          </w:p>
        </w:tc>
        <w:tc>
          <w:tcPr>
            <w:tcW w:type="dxa" w:w="871"/>
            <w:vAlign w:val="center"/>
          </w:tcPr>
          <w:p>
            <w:r>
              <w:rPr>
                <w:rFonts w:ascii="Noto Sans" w:hAnsi="Noto Sans"/>
                <w:sz w:val="17"/>
              </w:rPr>
              <w:t>139</w:t>
            </w:r>
          </w:p>
        </w:tc>
        <w:tc>
          <w:tcPr>
            <w:tcW w:type="dxa" w:w="871"/>
            <w:vAlign w:val="center"/>
          </w:tcPr>
          <w:p>
            <w:r>
              <w:rPr>
                <w:rFonts w:ascii="Noto Sans" w:hAnsi="Noto Sans"/>
                <w:sz w:val="17"/>
              </w:rPr>
            </w:r>
          </w:p>
        </w:tc>
      </w:tr>
      <w:tr>
        <w:tc>
          <w:tcPr>
            <w:tcW w:type="dxa" w:w="871"/>
            <w:vAlign w:val="center"/>
          </w:tcPr>
          <w:p>
            <w:r>
              <w:rPr>
                <w:rFonts w:ascii="Noto Sans" w:hAnsi="Noto Sans"/>
                <w:sz w:val="17"/>
              </w:rPr>
              <w:t>20</w:t>
            </w:r>
          </w:p>
        </w:tc>
        <w:tc>
          <w:tcPr>
            <w:tcW w:type="dxa" w:w="871"/>
            <w:vAlign w:val="center"/>
          </w:tcPr>
          <w:p>
            <w:r>
              <w:rPr>
                <w:rFonts w:ascii="Noto Sans" w:hAnsi="Noto Sans"/>
                <w:sz w:val="17"/>
              </w:rPr>
            </w:r>
          </w:p>
        </w:tc>
        <w:tc>
          <w:tcPr>
            <w:tcW w:type="dxa" w:w="871"/>
            <w:vAlign w:val="center"/>
          </w:tcPr>
          <w:p>
            <w:r>
              <w:rPr>
                <w:rFonts w:ascii="Noto Sans" w:hAnsi="Noto Sans"/>
                <w:sz w:val="17"/>
              </w:rPr>
              <w:t>44</w:t>
            </w:r>
          </w:p>
        </w:tc>
        <w:tc>
          <w:tcPr>
            <w:tcW w:type="dxa" w:w="871"/>
            <w:vAlign w:val="center"/>
          </w:tcPr>
          <w:p>
            <w:r>
              <w:rPr>
                <w:rFonts w:ascii="Noto Sans" w:hAnsi="Noto Sans"/>
                <w:sz w:val="17"/>
              </w:rPr>
            </w:r>
          </w:p>
        </w:tc>
        <w:tc>
          <w:tcPr>
            <w:tcW w:type="dxa" w:w="871"/>
            <w:vAlign w:val="center"/>
          </w:tcPr>
          <w:p>
            <w:r>
              <w:rPr>
                <w:rFonts w:ascii="Noto Sans" w:hAnsi="Noto Sans"/>
                <w:sz w:val="17"/>
              </w:rPr>
              <w:t>68</w:t>
            </w:r>
          </w:p>
        </w:tc>
        <w:tc>
          <w:tcPr>
            <w:tcW w:type="dxa" w:w="871"/>
            <w:vAlign w:val="center"/>
          </w:tcPr>
          <w:p>
            <w:r>
              <w:rPr>
                <w:rFonts w:ascii="Noto Sans" w:hAnsi="Noto Sans"/>
                <w:sz w:val="17"/>
              </w:rPr>
            </w:r>
          </w:p>
        </w:tc>
        <w:tc>
          <w:tcPr>
            <w:tcW w:type="dxa" w:w="871"/>
            <w:vAlign w:val="center"/>
          </w:tcPr>
          <w:p>
            <w:r>
              <w:rPr>
                <w:rFonts w:ascii="Noto Sans" w:hAnsi="Noto Sans"/>
                <w:sz w:val="17"/>
              </w:rPr>
              <w:t>92</w:t>
            </w:r>
          </w:p>
        </w:tc>
        <w:tc>
          <w:tcPr>
            <w:tcW w:type="dxa" w:w="871"/>
            <w:vAlign w:val="center"/>
          </w:tcPr>
          <w:p>
            <w:r>
              <w:rPr>
                <w:rFonts w:ascii="Noto Sans" w:hAnsi="Noto Sans"/>
                <w:sz w:val="17"/>
              </w:rPr>
            </w:r>
          </w:p>
        </w:tc>
        <w:tc>
          <w:tcPr>
            <w:tcW w:type="dxa" w:w="871"/>
            <w:vAlign w:val="center"/>
          </w:tcPr>
          <w:p>
            <w:r>
              <w:rPr>
                <w:rFonts w:ascii="Noto Sans" w:hAnsi="Noto Sans"/>
                <w:sz w:val="17"/>
              </w:rPr>
              <w:t>116</w:t>
            </w:r>
          </w:p>
        </w:tc>
        <w:tc>
          <w:tcPr>
            <w:tcW w:type="dxa" w:w="871"/>
            <w:vAlign w:val="center"/>
          </w:tcPr>
          <w:p>
            <w:r>
              <w:rPr>
                <w:rFonts w:ascii="Noto Sans" w:hAnsi="Noto Sans"/>
                <w:sz w:val="17"/>
              </w:rPr>
            </w:r>
          </w:p>
        </w:tc>
        <w:tc>
          <w:tcPr>
            <w:tcW w:type="dxa" w:w="871"/>
            <w:vAlign w:val="center"/>
          </w:tcPr>
          <w:p>
            <w:r>
              <w:rPr>
                <w:rFonts w:ascii="Noto Sans" w:hAnsi="Noto Sans"/>
                <w:sz w:val="17"/>
              </w:rPr>
              <w:t>140</w:t>
            </w:r>
          </w:p>
        </w:tc>
        <w:tc>
          <w:tcPr>
            <w:tcW w:type="dxa" w:w="871"/>
            <w:vAlign w:val="center"/>
          </w:tcPr>
          <w:p>
            <w:r>
              <w:rPr>
                <w:rFonts w:ascii="Noto Sans" w:hAnsi="Noto Sans"/>
                <w:sz w:val="17"/>
              </w:rPr>
            </w:r>
          </w:p>
        </w:tc>
      </w:tr>
      <w:tr>
        <w:tc>
          <w:tcPr>
            <w:tcW w:type="dxa" w:w="871"/>
            <w:vAlign w:val="center"/>
          </w:tcPr>
          <w:p>
            <w:r>
              <w:rPr>
                <w:rFonts w:ascii="Noto Sans" w:hAnsi="Noto Sans"/>
                <w:sz w:val="17"/>
              </w:rPr>
              <w:t>21</w:t>
            </w:r>
          </w:p>
        </w:tc>
        <w:tc>
          <w:tcPr>
            <w:tcW w:type="dxa" w:w="871"/>
            <w:vAlign w:val="center"/>
          </w:tcPr>
          <w:p>
            <w:r>
              <w:rPr>
                <w:rFonts w:ascii="Noto Sans" w:hAnsi="Noto Sans"/>
                <w:sz w:val="17"/>
              </w:rPr>
            </w:r>
          </w:p>
        </w:tc>
        <w:tc>
          <w:tcPr>
            <w:tcW w:type="dxa" w:w="871"/>
            <w:vAlign w:val="center"/>
          </w:tcPr>
          <w:p>
            <w:r>
              <w:rPr>
                <w:rFonts w:ascii="Noto Sans" w:hAnsi="Noto Sans"/>
                <w:sz w:val="17"/>
              </w:rPr>
              <w:t>45</w:t>
            </w:r>
          </w:p>
        </w:tc>
        <w:tc>
          <w:tcPr>
            <w:tcW w:type="dxa" w:w="871"/>
            <w:vAlign w:val="center"/>
          </w:tcPr>
          <w:p>
            <w:r>
              <w:rPr>
                <w:rFonts w:ascii="Noto Sans" w:hAnsi="Noto Sans"/>
                <w:sz w:val="17"/>
              </w:rPr>
            </w:r>
          </w:p>
        </w:tc>
        <w:tc>
          <w:tcPr>
            <w:tcW w:type="dxa" w:w="871"/>
            <w:vAlign w:val="center"/>
          </w:tcPr>
          <w:p>
            <w:r>
              <w:rPr>
                <w:rFonts w:ascii="Noto Sans" w:hAnsi="Noto Sans"/>
                <w:sz w:val="17"/>
              </w:rPr>
              <w:t>69</w:t>
            </w:r>
          </w:p>
        </w:tc>
        <w:tc>
          <w:tcPr>
            <w:tcW w:type="dxa" w:w="871"/>
            <w:vAlign w:val="center"/>
          </w:tcPr>
          <w:p>
            <w:r>
              <w:rPr>
                <w:rFonts w:ascii="Noto Sans" w:hAnsi="Noto Sans"/>
                <w:sz w:val="17"/>
              </w:rPr>
            </w:r>
          </w:p>
        </w:tc>
        <w:tc>
          <w:tcPr>
            <w:tcW w:type="dxa" w:w="871"/>
            <w:vAlign w:val="center"/>
          </w:tcPr>
          <w:p>
            <w:r>
              <w:rPr>
                <w:rFonts w:ascii="Noto Sans" w:hAnsi="Noto Sans"/>
                <w:sz w:val="17"/>
              </w:rPr>
              <w:t>93</w:t>
            </w:r>
          </w:p>
        </w:tc>
        <w:tc>
          <w:tcPr>
            <w:tcW w:type="dxa" w:w="871"/>
            <w:vAlign w:val="center"/>
          </w:tcPr>
          <w:p>
            <w:r>
              <w:rPr>
                <w:rFonts w:ascii="Noto Sans" w:hAnsi="Noto Sans"/>
                <w:sz w:val="17"/>
              </w:rPr>
            </w:r>
          </w:p>
        </w:tc>
        <w:tc>
          <w:tcPr>
            <w:tcW w:type="dxa" w:w="871"/>
            <w:vAlign w:val="center"/>
          </w:tcPr>
          <w:p>
            <w:r>
              <w:rPr>
                <w:rFonts w:ascii="Noto Sans" w:hAnsi="Noto Sans"/>
                <w:sz w:val="17"/>
              </w:rPr>
              <w:t>117</w:t>
            </w:r>
          </w:p>
        </w:tc>
        <w:tc>
          <w:tcPr>
            <w:tcW w:type="dxa" w:w="871"/>
            <w:vAlign w:val="center"/>
          </w:tcPr>
          <w:p>
            <w:r>
              <w:rPr>
                <w:rFonts w:ascii="Noto Sans" w:hAnsi="Noto Sans"/>
                <w:sz w:val="17"/>
              </w:rPr>
            </w:r>
          </w:p>
        </w:tc>
        <w:tc>
          <w:tcPr>
            <w:tcW w:type="dxa" w:w="871"/>
            <w:vAlign w:val="center"/>
          </w:tcPr>
          <w:p>
            <w:r>
              <w:rPr>
                <w:rFonts w:ascii="Noto Sans" w:hAnsi="Noto Sans"/>
                <w:sz w:val="17"/>
              </w:rPr>
              <w:t>141</w:t>
            </w:r>
          </w:p>
        </w:tc>
        <w:tc>
          <w:tcPr>
            <w:tcW w:type="dxa" w:w="871"/>
            <w:vAlign w:val="center"/>
          </w:tcPr>
          <w:p>
            <w:r>
              <w:rPr>
                <w:rFonts w:ascii="Noto Sans" w:hAnsi="Noto Sans"/>
                <w:sz w:val="17"/>
              </w:rPr>
            </w:r>
          </w:p>
        </w:tc>
      </w:tr>
      <w:tr>
        <w:tc>
          <w:tcPr>
            <w:tcW w:type="dxa" w:w="871"/>
            <w:vAlign w:val="center"/>
          </w:tcPr>
          <w:p>
            <w:r>
              <w:rPr>
                <w:rFonts w:ascii="Noto Sans" w:hAnsi="Noto Sans"/>
                <w:sz w:val="17"/>
              </w:rPr>
              <w:t>22</w:t>
            </w:r>
          </w:p>
        </w:tc>
        <w:tc>
          <w:tcPr>
            <w:tcW w:type="dxa" w:w="871"/>
            <w:vAlign w:val="center"/>
          </w:tcPr>
          <w:p>
            <w:r>
              <w:rPr>
                <w:rFonts w:ascii="Noto Sans" w:hAnsi="Noto Sans"/>
                <w:sz w:val="17"/>
              </w:rPr>
            </w:r>
          </w:p>
        </w:tc>
        <w:tc>
          <w:tcPr>
            <w:tcW w:type="dxa" w:w="871"/>
            <w:vAlign w:val="center"/>
          </w:tcPr>
          <w:p>
            <w:r>
              <w:rPr>
                <w:rFonts w:ascii="Noto Sans" w:hAnsi="Noto Sans"/>
                <w:sz w:val="17"/>
              </w:rPr>
              <w:t>46</w:t>
            </w:r>
          </w:p>
        </w:tc>
        <w:tc>
          <w:tcPr>
            <w:tcW w:type="dxa" w:w="871"/>
            <w:vAlign w:val="center"/>
          </w:tcPr>
          <w:p>
            <w:r>
              <w:rPr>
                <w:rFonts w:ascii="Noto Sans" w:hAnsi="Noto Sans"/>
                <w:sz w:val="17"/>
              </w:rPr>
            </w:r>
          </w:p>
        </w:tc>
        <w:tc>
          <w:tcPr>
            <w:tcW w:type="dxa" w:w="871"/>
            <w:vAlign w:val="center"/>
          </w:tcPr>
          <w:p>
            <w:r>
              <w:rPr>
                <w:rFonts w:ascii="Noto Sans" w:hAnsi="Noto Sans"/>
                <w:sz w:val="17"/>
              </w:rPr>
              <w:t>70</w:t>
            </w:r>
          </w:p>
        </w:tc>
        <w:tc>
          <w:tcPr>
            <w:tcW w:type="dxa" w:w="871"/>
            <w:vAlign w:val="center"/>
          </w:tcPr>
          <w:p>
            <w:r>
              <w:rPr>
                <w:rFonts w:ascii="Noto Sans" w:hAnsi="Noto Sans"/>
                <w:sz w:val="17"/>
              </w:rPr>
            </w:r>
          </w:p>
        </w:tc>
        <w:tc>
          <w:tcPr>
            <w:tcW w:type="dxa" w:w="871"/>
            <w:vAlign w:val="center"/>
          </w:tcPr>
          <w:p>
            <w:r>
              <w:rPr>
                <w:rFonts w:ascii="Noto Sans" w:hAnsi="Noto Sans"/>
                <w:sz w:val="17"/>
              </w:rPr>
              <w:t>94</w:t>
            </w:r>
          </w:p>
        </w:tc>
        <w:tc>
          <w:tcPr>
            <w:tcW w:type="dxa" w:w="871"/>
            <w:vAlign w:val="center"/>
          </w:tcPr>
          <w:p>
            <w:r>
              <w:rPr>
                <w:rFonts w:ascii="Noto Sans" w:hAnsi="Noto Sans"/>
                <w:sz w:val="17"/>
              </w:rPr>
            </w:r>
          </w:p>
        </w:tc>
        <w:tc>
          <w:tcPr>
            <w:tcW w:type="dxa" w:w="871"/>
            <w:vAlign w:val="center"/>
          </w:tcPr>
          <w:p>
            <w:r>
              <w:rPr>
                <w:rFonts w:ascii="Noto Sans" w:hAnsi="Noto Sans"/>
                <w:sz w:val="17"/>
              </w:rPr>
              <w:t>118</w:t>
            </w:r>
          </w:p>
        </w:tc>
        <w:tc>
          <w:tcPr>
            <w:tcW w:type="dxa" w:w="871"/>
            <w:vAlign w:val="center"/>
          </w:tcPr>
          <w:p>
            <w:r>
              <w:rPr>
                <w:rFonts w:ascii="Noto Sans" w:hAnsi="Noto Sans"/>
                <w:sz w:val="17"/>
              </w:rPr>
            </w:r>
          </w:p>
        </w:tc>
        <w:tc>
          <w:tcPr>
            <w:tcW w:type="dxa" w:w="871"/>
            <w:vAlign w:val="center"/>
          </w:tcPr>
          <w:p>
            <w:r>
              <w:rPr>
                <w:rFonts w:ascii="Noto Sans" w:hAnsi="Noto Sans"/>
                <w:sz w:val="17"/>
              </w:rPr>
              <w:t>142</w:t>
            </w:r>
          </w:p>
        </w:tc>
        <w:tc>
          <w:tcPr>
            <w:tcW w:type="dxa" w:w="871"/>
            <w:vAlign w:val="center"/>
          </w:tcPr>
          <w:p>
            <w:r>
              <w:rPr>
                <w:rFonts w:ascii="Noto Sans" w:hAnsi="Noto Sans"/>
                <w:sz w:val="17"/>
              </w:rPr>
            </w:r>
          </w:p>
        </w:tc>
      </w:tr>
      <w:tr>
        <w:tc>
          <w:tcPr>
            <w:tcW w:type="dxa" w:w="871"/>
            <w:vAlign w:val="center"/>
          </w:tcPr>
          <w:p>
            <w:r>
              <w:rPr>
                <w:rFonts w:ascii="Noto Sans" w:hAnsi="Noto Sans"/>
                <w:sz w:val="17"/>
              </w:rPr>
              <w:t>23</w:t>
            </w:r>
          </w:p>
        </w:tc>
        <w:tc>
          <w:tcPr>
            <w:tcW w:type="dxa" w:w="871"/>
            <w:vAlign w:val="center"/>
          </w:tcPr>
          <w:p>
            <w:r>
              <w:rPr>
                <w:rFonts w:ascii="Noto Sans" w:hAnsi="Noto Sans"/>
                <w:sz w:val="17"/>
              </w:rPr>
            </w:r>
          </w:p>
        </w:tc>
        <w:tc>
          <w:tcPr>
            <w:tcW w:type="dxa" w:w="871"/>
            <w:vAlign w:val="center"/>
          </w:tcPr>
          <w:p>
            <w:r>
              <w:rPr>
                <w:rFonts w:ascii="Noto Sans" w:hAnsi="Noto Sans"/>
                <w:sz w:val="17"/>
              </w:rPr>
              <w:t>47</w:t>
            </w:r>
          </w:p>
        </w:tc>
        <w:tc>
          <w:tcPr>
            <w:tcW w:type="dxa" w:w="871"/>
            <w:vAlign w:val="center"/>
          </w:tcPr>
          <w:p>
            <w:r>
              <w:rPr>
                <w:rFonts w:ascii="Noto Sans" w:hAnsi="Noto Sans"/>
                <w:sz w:val="17"/>
              </w:rPr>
            </w:r>
          </w:p>
        </w:tc>
        <w:tc>
          <w:tcPr>
            <w:tcW w:type="dxa" w:w="871"/>
            <w:vAlign w:val="center"/>
          </w:tcPr>
          <w:p>
            <w:r>
              <w:rPr>
                <w:rFonts w:ascii="Noto Sans" w:hAnsi="Noto Sans"/>
                <w:sz w:val="17"/>
              </w:rPr>
              <w:t>71</w:t>
            </w:r>
          </w:p>
        </w:tc>
        <w:tc>
          <w:tcPr>
            <w:tcW w:type="dxa" w:w="871"/>
            <w:vAlign w:val="center"/>
          </w:tcPr>
          <w:p>
            <w:r>
              <w:rPr>
                <w:rFonts w:ascii="Noto Sans" w:hAnsi="Noto Sans"/>
                <w:sz w:val="17"/>
              </w:rPr>
            </w:r>
          </w:p>
        </w:tc>
        <w:tc>
          <w:tcPr>
            <w:tcW w:type="dxa" w:w="871"/>
            <w:vAlign w:val="center"/>
          </w:tcPr>
          <w:p>
            <w:r>
              <w:rPr>
                <w:rFonts w:ascii="Noto Sans" w:hAnsi="Noto Sans"/>
                <w:sz w:val="17"/>
              </w:rPr>
              <w:t>95</w:t>
            </w:r>
          </w:p>
        </w:tc>
        <w:tc>
          <w:tcPr>
            <w:tcW w:type="dxa" w:w="871"/>
            <w:vAlign w:val="center"/>
          </w:tcPr>
          <w:p>
            <w:r>
              <w:rPr>
                <w:rFonts w:ascii="Noto Sans" w:hAnsi="Noto Sans"/>
                <w:sz w:val="17"/>
              </w:rPr>
            </w:r>
          </w:p>
        </w:tc>
        <w:tc>
          <w:tcPr>
            <w:tcW w:type="dxa" w:w="871"/>
            <w:vAlign w:val="center"/>
          </w:tcPr>
          <w:p>
            <w:r>
              <w:rPr>
                <w:rFonts w:ascii="Noto Sans" w:hAnsi="Noto Sans"/>
                <w:sz w:val="17"/>
              </w:rPr>
              <w:t>119</w:t>
            </w:r>
          </w:p>
        </w:tc>
        <w:tc>
          <w:tcPr>
            <w:tcW w:type="dxa" w:w="871"/>
            <w:vAlign w:val="center"/>
          </w:tcPr>
          <w:p>
            <w:r>
              <w:rPr>
                <w:rFonts w:ascii="Noto Sans" w:hAnsi="Noto Sans"/>
                <w:sz w:val="17"/>
              </w:rPr>
            </w:r>
          </w:p>
        </w:tc>
        <w:tc>
          <w:tcPr>
            <w:tcW w:type="dxa" w:w="871"/>
            <w:vAlign w:val="center"/>
          </w:tcPr>
          <w:p>
            <w:r>
              <w:rPr>
                <w:rFonts w:ascii="Noto Sans" w:hAnsi="Noto Sans"/>
                <w:sz w:val="17"/>
              </w:rPr>
              <w:t>143</w:t>
            </w:r>
          </w:p>
        </w:tc>
        <w:tc>
          <w:tcPr>
            <w:tcW w:type="dxa" w:w="871"/>
            <w:vAlign w:val="center"/>
          </w:tcPr>
          <w:p>
            <w:r>
              <w:rPr>
                <w:rFonts w:ascii="Noto Sans" w:hAnsi="Noto Sans"/>
                <w:sz w:val="17"/>
              </w:rPr>
            </w:r>
          </w:p>
        </w:tc>
      </w:tr>
      <w:tr>
        <w:tc>
          <w:tcPr>
            <w:tcW w:type="dxa" w:w="871"/>
            <w:vAlign w:val="center"/>
          </w:tcPr>
          <w:p>
            <w:r>
              <w:rPr>
                <w:rFonts w:ascii="Noto Sans" w:hAnsi="Noto Sans"/>
                <w:sz w:val="17"/>
              </w:rPr>
              <w:t>24</w:t>
            </w:r>
          </w:p>
        </w:tc>
        <w:tc>
          <w:tcPr>
            <w:tcW w:type="dxa" w:w="871"/>
            <w:vAlign w:val="center"/>
          </w:tcPr>
          <w:p>
            <w:r>
              <w:rPr>
                <w:rFonts w:ascii="Noto Sans" w:hAnsi="Noto Sans"/>
                <w:sz w:val="17"/>
              </w:rPr>
            </w:r>
          </w:p>
        </w:tc>
        <w:tc>
          <w:tcPr>
            <w:tcW w:type="dxa" w:w="871"/>
            <w:vAlign w:val="center"/>
          </w:tcPr>
          <w:p>
            <w:r>
              <w:rPr>
                <w:rFonts w:ascii="Noto Sans" w:hAnsi="Noto Sans"/>
                <w:sz w:val="17"/>
              </w:rPr>
              <w:t>48</w:t>
            </w:r>
          </w:p>
        </w:tc>
        <w:tc>
          <w:tcPr>
            <w:tcW w:type="dxa" w:w="871"/>
            <w:vAlign w:val="center"/>
          </w:tcPr>
          <w:p>
            <w:r>
              <w:rPr>
                <w:rFonts w:ascii="Noto Sans" w:hAnsi="Noto Sans"/>
                <w:sz w:val="17"/>
              </w:rPr>
            </w:r>
          </w:p>
        </w:tc>
        <w:tc>
          <w:tcPr>
            <w:tcW w:type="dxa" w:w="871"/>
            <w:vAlign w:val="center"/>
          </w:tcPr>
          <w:p>
            <w:r>
              <w:rPr>
                <w:rFonts w:ascii="Noto Sans" w:hAnsi="Noto Sans"/>
                <w:sz w:val="17"/>
              </w:rPr>
              <w:t>72</w:t>
            </w:r>
          </w:p>
        </w:tc>
        <w:tc>
          <w:tcPr>
            <w:tcW w:type="dxa" w:w="871"/>
            <w:vAlign w:val="center"/>
          </w:tcPr>
          <w:p>
            <w:r>
              <w:rPr>
                <w:rFonts w:ascii="Noto Sans" w:hAnsi="Noto Sans"/>
                <w:sz w:val="17"/>
              </w:rPr>
            </w:r>
          </w:p>
        </w:tc>
        <w:tc>
          <w:tcPr>
            <w:tcW w:type="dxa" w:w="871"/>
            <w:vAlign w:val="center"/>
          </w:tcPr>
          <w:p>
            <w:r>
              <w:rPr>
                <w:rFonts w:ascii="Noto Sans" w:hAnsi="Noto Sans"/>
                <w:sz w:val="17"/>
              </w:rPr>
              <w:t>96</w:t>
            </w:r>
          </w:p>
        </w:tc>
        <w:tc>
          <w:tcPr>
            <w:tcW w:type="dxa" w:w="871"/>
            <w:vAlign w:val="center"/>
          </w:tcPr>
          <w:p>
            <w:r>
              <w:rPr>
                <w:rFonts w:ascii="Noto Sans" w:hAnsi="Noto Sans"/>
                <w:sz w:val="17"/>
              </w:rPr>
            </w:r>
          </w:p>
        </w:tc>
        <w:tc>
          <w:tcPr>
            <w:tcW w:type="dxa" w:w="871"/>
            <w:vAlign w:val="center"/>
          </w:tcPr>
          <w:p>
            <w:r>
              <w:rPr>
                <w:rFonts w:ascii="Noto Sans" w:hAnsi="Noto Sans"/>
                <w:sz w:val="17"/>
              </w:rPr>
              <w:t>120</w:t>
            </w:r>
          </w:p>
        </w:tc>
        <w:tc>
          <w:tcPr>
            <w:tcW w:type="dxa" w:w="871"/>
            <w:vAlign w:val="center"/>
          </w:tcPr>
          <w:p>
            <w:r>
              <w:rPr>
                <w:rFonts w:ascii="Noto Sans" w:hAnsi="Noto Sans"/>
                <w:sz w:val="17"/>
              </w:rPr>
            </w:r>
          </w:p>
        </w:tc>
        <w:tc>
          <w:tcPr>
            <w:tcW w:type="dxa" w:w="871"/>
            <w:vAlign w:val="center"/>
          </w:tcPr>
          <w:p/>
        </w:tc>
        <w:tc>
          <w:tcPr>
            <w:tcW w:type="dxa" w:w="871"/>
            <w:vAlign w:val="center"/>
          </w:tcPr>
          <w:p>
            <w:r>
              <w:rPr>
                <w:rFonts w:ascii="Noto Sans" w:hAnsi="Noto Sans"/>
                <w:sz w:val="17"/>
              </w:rPr>
            </w:r>
          </w:p>
        </w:tc>
      </w:tr>
    </w:tbl>
    <w:p>
      <w:r>
        <w:br w:type="page"/>
      </w:r>
    </w:p>
    <w:p>
      <w:pPr>
        <w:pStyle w:val="Heading1"/>
      </w:pPr>
      <w:r>
        <w:t>CASE 1: Lena M.</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Lena is 32 and six weeks postpartum. For the past month, she has felt sad or tearful most days, lost interest in activities, felt intense guilt, had low energy and difficulty concentrating, and remained awake even when the baby sleeps.</w:t>
            </w:r>
          </w:p>
          <w:p>
            <w:pPr>
              <w:spacing w:after="60"/>
            </w:pPr>
            <w:r>
              <w:rPr>
                <w:rFonts w:ascii="Noto Sans" w:hAnsi="Noto Sans"/>
                <w:sz w:val="19"/>
              </w:rPr>
              <w:t>She reports sudden, vivid images of accidentally dropping the baby while walking near the staircase. She experiences the images as unwanted and frightening, avoids carrying the baby near the stairs, and asks her partner to do so. Lena denies wanting to harm the baby and says, “What kind of mother thinks something like this?”</w:t>
            </w:r>
          </w:p>
          <w:p>
            <w:pPr>
              <w:spacing w:after="60"/>
            </w:pPr>
            <w:r>
              <w:rPr>
                <w:rFonts w:ascii="Noto Sans" w:hAnsi="Noto Sans"/>
                <w:sz w:val="19"/>
              </w:rPr>
              <w:t>Her partner reports increasing withdrawal. Lena is breastfeeding and has not attended a postpartum medical visit.</w:t>
            </w:r>
          </w:p>
        </w:tc>
      </w:tr>
    </w:tbl>
    <w:p>
      <w:pPr>
        <w:keepNext/>
        <w:spacing w:before="120" w:after="40"/>
      </w:pPr>
      <w:r>
        <w:rPr>
          <w:rFonts w:ascii="Noto Sans" w:hAnsi="Noto Sans"/>
          <w:b/>
          <w:color w:val="1F2937"/>
          <w:sz w:val="20"/>
        </w:rPr>
        <w:t>1. Which inquiry would most directly determine whether Lena needs immediate protective intervention?</w:t>
      </w:r>
    </w:p>
    <w:p>
      <w:pPr>
        <w:spacing w:after="10"/>
        <w:ind w:left="230" w:hanging="187"/>
      </w:pPr>
      <w:r>
        <w:rPr>
          <w:rFonts w:ascii="Noto Sans" w:hAnsi="Noto Sans"/>
          <w:sz w:val="19"/>
        </w:rPr>
        <w:t>A. Clarify the images’ frequency, triggers, meaning, and any checking, avoidance, or reassurance that follows.</w:t>
      </w:r>
    </w:p>
    <w:p>
      <w:pPr>
        <w:spacing w:after="10"/>
        <w:ind w:left="230" w:hanging="187"/>
      </w:pPr>
      <w:r>
        <w:rPr>
          <w:rFonts w:ascii="Noto Sans" w:hAnsi="Noto Sans"/>
          <w:sz w:val="19"/>
        </w:rPr>
        <w:t>B. Review postpartum pain, bleeding, thyroid symptoms, medications, and reasons for the missed medical visit.</w:t>
      </w:r>
    </w:p>
    <w:p>
      <w:pPr>
        <w:spacing w:after="10"/>
        <w:ind w:left="230" w:hanging="187"/>
      </w:pPr>
      <w:r>
        <w:rPr>
          <w:rFonts w:ascii="Noto Sans" w:hAnsi="Noto Sans"/>
          <w:sz w:val="19"/>
        </w:rPr>
        <w:t>C. Assess suicidal thinking, infant-harm intent, psychotic or manic symptoms, and Lena’s present caregiving capacity.</w:t>
      </w:r>
    </w:p>
    <w:p>
      <w:pPr>
        <w:spacing w:after="10"/>
        <w:ind w:left="230" w:hanging="187"/>
      </w:pPr>
      <w:r>
        <w:rPr>
          <w:rFonts w:ascii="Noto Sans" w:hAnsi="Noto Sans"/>
          <w:sz w:val="19"/>
        </w:rPr>
        <w:t>D. Map nighttime caregiving, available support, total sleep, and the partner’s observations of daily functioning.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 Which provisional formulation is best supported by the information available in this section?</w:t>
      </w:r>
    </w:p>
    <w:p>
      <w:pPr>
        <w:spacing w:after="10"/>
        <w:ind w:left="230" w:hanging="187"/>
      </w:pPr>
      <w:r>
        <w:rPr>
          <w:rFonts w:ascii="Noto Sans" w:hAnsi="Noto Sans"/>
          <w:sz w:val="19"/>
        </w:rPr>
        <w:t>A. Provisional psychotic disorder, pending observation of whether insight fluctuates and whether unusual beliefs or perceptual disturbances emerge.</w:t>
      </w:r>
    </w:p>
    <w:p>
      <w:pPr>
        <w:spacing w:after="10"/>
        <w:ind w:left="230" w:hanging="187"/>
      </w:pPr>
      <w:r>
        <w:rPr>
          <w:rFonts w:ascii="Noto Sans" w:hAnsi="Noto Sans"/>
          <w:sz w:val="19"/>
        </w:rPr>
        <w:t>B. Provisional obsessive-compulsive disorder, pending clarification of whether mood and sleep symptoms are secondary to obsessions or reflect a co-occurring depressive episode.</w:t>
      </w:r>
    </w:p>
    <w:p>
      <w:pPr>
        <w:spacing w:after="10"/>
        <w:ind w:left="230" w:hanging="187"/>
      </w:pPr>
      <w:r>
        <w:rPr>
          <w:rFonts w:ascii="Noto Sans" w:hAnsi="Noto Sans"/>
          <w:sz w:val="19"/>
        </w:rPr>
        <w:t>C. Provisional major depressive disorder with peripartum onset; obsessive-compulsive, bipolar, psychotic, and medical explanations for the presentation remain under assessment.</w:t>
      </w:r>
    </w:p>
    <w:p>
      <w:pPr>
        <w:spacing w:after="10"/>
        <w:ind w:left="230" w:hanging="187"/>
      </w:pPr>
      <w:r>
        <w:rPr>
          <w:rFonts w:ascii="Noto Sans" w:hAnsi="Noto Sans"/>
          <w:sz w:val="19"/>
        </w:rPr>
        <w:t>D. Provisional adjustment disorder with mixed anxiety and depressed mood, pending clarification of symptom severity, duration, and functional impairment.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 While arranging postpartum medical follow-up, which additional psychiatric history would most change both the working diagnosis and the initial treatment pathway?</w:t>
      </w:r>
    </w:p>
    <w:p>
      <w:pPr>
        <w:spacing w:after="10"/>
        <w:ind w:left="230" w:hanging="187"/>
      </w:pPr>
      <w:r>
        <w:rPr>
          <w:rFonts w:ascii="Noto Sans" w:hAnsi="Noto Sans"/>
          <w:sz w:val="19"/>
        </w:rPr>
        <w:t>A. Prior trauma followed by reexperiencing, hyperarousal, dissociation, or avoidance during pregnancy or childbirth.</w:t>
      </w:r>
    </w:p>
    <w:p>
      <w:pPr>
        <w:spacing w:after="10"/>
        <w:ind w:left="230" w:hanging="187"/>
      </w:pPr>
      <w:r>
        <w:rPr>
          <w:rFonts w:ascii="Noto Sans" w:hAnsi="Noto Sans"/>
          <w:sz w:val="19"/>
        </w:rPr>
        <w:t>B. Previous elevated or irritable mood, reduced need for sleep, impulsive behavior, or grandiosity.</w:t>
      </w:r>
    </w:p>
    <w:p>
      <w:pPr>
        <w:spacing w:after="10"/>
        <w:ind w:left="230" w:hanging="187"/>
      </w:pPr>
      <w:r>
        <w:rPr>
          <w:rFonts w:ascii="Noto Sans" w:hAnsi="Noto Sans"/>
          <w:sz w:val="19"/>
        </w:rPr>
        <w:t>C. Previous depressive episodes linked to major losses, role transitions, relationship stress, or seasonal patterns.</w:t>
      </w:r>
    </w:p>
    <w:p>
      <w:pPr>
        <w:spacing w:after="10"/>
        <w:ind w:left="230" w:hanging="187"/>
      </w:pPr>
      <w:r>
        <w:rPr>
          <w:rFonts w:ascii="Noto Sans" w:hAnsi="Noto Sans"/>
          <w:sz w:val="19"/>
        </w:rPr>
        <w:t>D. Intrusive thoughts before pregnancy that led to checking, mental rituals, avoidance, or repeated reassurance.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 Lena says, “What kind of mother thinks something like this?” Which response best combines empathic attunement with continued assessment?</w:t>
      </w:r>
    </w:p>
    <w:p>
      <w:pPr>
        <w:spacing w:after="10"/>
        <w:ind w:left="230" w:hanging="187"/>
      </w:pPr>
      <w:r>
        <w:rPr>
          <w:rFonts w:ascii="Noto Sans" w:hAnsi="Noto Sans"/>
          <w:sz w:val="19"/>
        </w:rPr>
        <w:t>A. Sleep loss can intensify unwanted thoughts, so let’s stabilize your sleep before examining what the image means.</w:t>
      </w:r>
    </w:p>
    <w:p>
      <w:pPr>
        <w:spacing w:after="10"/>
        <w:ind w:left="230" w:hanging="187"/>
      </w:pPr>
      <w:r>
        <w:rPr>
          <w:rFonts w:ascii="Noto Sans" w:hAnsi="Noto Sans"/>
          <w:sz w:val="19"/>
        </w:rPr>
        <w:t>B. The image sounds frightening and shame-filled. What happens when it appears, and what do you fear it means?</w:t>
      </w:r>
    </w:p>
    <w:p>
      <w:pPr>
        <w:spacing w:after="10"/>
        <w:ind w:left="230" w:hanging="187"/>
      </w:pPr>
      <w:r>
        <w:rPr>
          <w:rFonts w:ascii="Noto Sans" w:hAnsi="Noto Sans"/>
          <w:sz w:val="19"/>
        </w:rPr>
        <w:t>C. Your distress suggests the image is not an intention, so we can focus now on the depressive symptoms.</w:t>
      </w:r>
    </w:p>
    <w:p>
      <w:pPr>
        <w:spacing w:after="10"/>
        <w:ind w:left="230" w:hanging="187"/>
      </w:pPr>
      <w:r>
        <w:rPr>
          <w:rFonts w:ascii="Noto Sans" w:hAnsi="Noto Sans"/>
          <w:sz w:val="19"/>
        </w:rPr>
        <w:t>D. Protecting your baby matters deeply to you. I can explain why unwanted thoughts are common after childbirth.</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Direct assessment reveals passive thoughts that her family might be better off without her, but no plan, intent, preparatory behavior, or past suicide attempt. Lena denies any wish or intent to harm the baby.</w:t>
            </w:r>
          </w:p>
          <w:p>
            <w:pPr>
              <w:spacing w:after="60"/>
            </w:pPr>
            <w:r>
              <w:rPr>
                <w:rFonts w:ascii="Noto Sans" w:hAnsi="Noto Sans"/>
                <w:sz w:val="19"/>
              </w:rPr>
              <w:t>She recognizes the images as products of her own mind, resists them, and reports no voices, commands, fixed beliefs, disorganization, elevated or irritable mood, grandiosity, or reduced need for sleep. She feels exhausted and wants sleep.</w:t>
            </w:r>
          </w:p>
          <w:p>
            <w:pPr>
              <w:spacing w:after="60"/>
            </w:pPr>
            <w:r>
              <w:rPr>
                <w:rFonts w:ascii="Noto Sans" w:hAnsi="Noto Sans"/>
                <w:sz w:val="19"/>
              </w:rPr>
              <w:t>When distressed, Lena repeatedly asks her partner to promise that she is not dangerous. The reassurance helps briefly, but the doubt returns. Lena’s sister was hospitalized for postpartum psychosis.</w:t>
            </w:r>
          </w:p>
          <w:p>
            <w:pPr>
              <w:spacing w:after="60"/>
            </w:pPr>
            <w:r>
              <w:rPr>
                <w:rFonts w:ascii="Noto Sans" w:hAnsi="Noto Sans"/>
                <w:sz w:val="19"/>
              </w:rPr>
              <w:t>Lena says her family values private self-reliance in motherhood and views breastfeeding as a sign of being a good mother. She is unsure how much those expectations reflect her own values.</w:t>
            </w:r>
          </w:p>
          <w:p>
            <w:pPr>
              <w:spacing w:after="60"/>
            </w:pPr>
            <w:r>
              <w:rPr>
                <w:rFonts w:ascii="Noto Sans" w:hAnsi="Noto Sans"/>
                <w:sz w:val="19"/>
              </w:rPr>
              <w:t>Her partner can help with nighttime care and agrees to participate in a safety and support plan. Lena is willing to authorize coordination with her obstetric clinician and a psychiatric prescriber.</w:t>
            </w:r>
          </w:p>
        </w:tc>
      </w:tr>
    </w:tbl>
    <w:p>
      <w:pPr>
        <w:keepNext/>
        <w:spacing w:before="120" w:after="40"/>
      </w:pPr>
      <w:r>
        <w:rPr>
          <w:rFonts w:ascii="Noto Sans" w:hAnsi="Noto Sans"/>
          <w:b/>
          <w:color w:val="1F2937"/>
          <w:sz w:val="20"/>
        </w:rPr>
        <w:t>5. After immediate safety and medical steps are arranged, which intervention plan best fits the clarified presentation?</w:t>
      </w:r>
    </w:p>
    <w:p>
      <w:pPr>
        <w:spacing w:after="10"/>
        <w:ind w:left="230" w:hanging="187"/>
      </w:pPr>
      <w:r>
        <w:rPr>
          <w:rFonts w:ascii="Noto Sans" w:hAnsi="Noto Sans"/>
          <w:sz w:val="19"/>
        </w:rPr>
        <w:t>A. Use CBT with graded exposure and response prevention, while treating depression and coordinating perinatal medical care.</w:t>
      </w:r>
    </w:p>
    <w:p>
      <w:pPr>
        <w:spacing w:after="10"/>
        <w:ind w:left="230" w:hanging="187"/>
      </w:pPr>
      <w:r>
        <w:rPr>
          <w:rFonts w:ascii="Noto Sans" w:hAnsi="Noto Sans"/>
          <w:sz w:val="19"/>
        </w:rPr>
        <w:t>B. Use cognitive restructuring of catastrophic interpretations and ask the partner to provide limited reassurance during early practice.</w:t>
      </w:r>
    </w:p>
    <w:p>
      <w:pPr>
        <w:spacing w:after="10"/>
        <w:ind w:left="230" w:hanging="187"/>
      </w:pPr>
      <w:r>
        <w:rPr>
          <w:rFonts w:ascii="Noto Sans" w:hAnsi="Noto Sans"/>
          <w:sz w:val="19"/>
        </w:rPr>
        <w:t>C. Use supportive therapy and partner sessions, reserving structured behavioral work for symptoms that persist after stabilization.</w:t>
      </w:r>
    </w:p>
    <w:p>
      <w:pPr>
        <w:spacing w:after="10"/>
        <w:ind w:left="230" w:hanging="187"/>
      </w:pPr>
      <w:r>
        <w:rPr>
          <w:rFonts w:ascii="Noto Sans" w:hAnsi="Noto Sans"/>
          <w:sz w:val="19"/>
        </w:rPr>
        <w:t>D. Begin behavioral activation and protected-sleep planning, postponing direct work with the intrusive images until mood symptoms remit.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 Which safety-plan structure is most proportionate to Lena’s current presentation?</w:t>
      </w:r>
    </w:p>
    <w:p>
      <w:pPr>
        <w:spacing w:after="10"/>
        <w:ind w:left="230" w:hanging="187"/>
      </w:pPr>
      <w:r>
        <w:rPr>
          <w:rFonts w:ascii="Noto Sans" w:hAnsi="Noto Sans"/>
          <w:sz w:val="19"/>
        </w:rPr>
        <w:t>A. Emphasize partner observation, temporary transfer of infant care, and same-day reassessment whenever any intrusive image becomes more intense.</w:t>
      </w:r>
    </w:p>
    <w:p>
      <w:pPr>
        <w:spacing w:after="10"/>
        <w:ind w:left="230" w:hanging="187"/>
      </w:pPr>
      <w:r>
        <w:rPr>
          <w:rFonts w:ascii="Noto Sans" w:hAnsi="Noto Sans"/>
          <w:sz w:val="19"/>
        </w:rPr>
        <w:t>B. Prioritize protected sleep, partner support, and increased session frequency, reserving emergency criteria for changes in intent or behavior.</w:t>
      </w:r>
    </w:p>
    <w:p>
      <w:pPr>
        <w:spacing w:after="10"/>
        <w:ind w:left="230" w:hanging="187"/>
      </w:pPr>
      <w:r>
        <w:rPr>
          <w:rFonts w:ascii="Noto Sans" w:hAnsi="Noto Sans"/>
          <w:sz w:val="19"/>
        </w:rPr>
        <w:t>C. Focus on reasons for living, weekly monitoring, and Lena’s agreement to contact the counselor before taking unsafe action.</w:t>
      </w:r>
    </w:p>
    <w:p>
      <w:pPr>
        <w:spacing w:after="10"/>
        <w:ind w:left="230" w:hanging="187"/>
      </w:pPr>
      <w:r>
        <w:rPr>
          <w:rFonts w:ascii="Noto Sans" w:hAnsi="Noto Sans"/>
          <w:sz w:val="19"/>
        </w:rPr>
        <w:t>D. Name warning signs, coping steps, supportive contacts, crisis resources, and specific thresholds for urgent evaluation or emergency care.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 Lena says her family values private self-reliance in motherhood and places strong meaning on breastfeeding. Which inquiry BEST clarifies how these expectations should influence treatment?</w:t>
      </w:r>
    </w:p>
    <w:p>
      <w:pPr>
        <w:spacing w:after="10"/>
        <w:ind w:left="230" w:hanging="187"/>
      </w:pPr>
      <w:r>
        <w:rPr>
          <w:rFonts w:ascii="Noto Sans" w:hAnsi="Noto Sans"/>
          <w:sz w:val="19"/>
        </w:rPr>
        <w:t>A. Ask whether Lena wants her partner to explain the family's expectations so the counselor can understand caregiving beliefs before setting goals.</w:t>
      </w:r>
    </w:p>
    <w:p>
      <w:pPr>
        <w:spacing w:after="10"/>
        <w:ind w:left="230" w:hanging="187"/>
      </w:pPr>
      <w:r>
        <w:rPr>
          <w:rFonts w:ascii="Noto Sans" w:hAnsi="Noto Sans"/>
          <w:sz w:val="19"/>
        </w:rPr>
        <w:t>B. Ask Lena which family, cultural, spiritual, or feeding expectations feel supportive, burdensome, or not personally meaningful and how she wants them addressed.</w:t>
      </w:r>
    </w:p>
    <w:p>
      <w:pPr>
        <w:spacing w:after="10"/>
        <w:ind w:left="230" w:hanging="187"/>
      </w:pPr>
      <w:r>
        <w:rPr>
          <w:rFonts w:ascii="Noto Sans" w:hAnsi="Noto Sans"/>
          <w:sz w:val="19"/>
        </w:rPr>
        <w:t>C. Explore how postpartum norms in Lena's community may influence shame and help-seeking, then offer possible themes for Lena to endorse or reject.</w:t>
      </w:r>
    </w:p>
    <w:p>
      <w:pPr>
        <w:spacing w:after="10"/>
        <w:ind w:left="230" w:hanging="187"/>
      </w:pPr>
      <w:r>
        <w:rPr>
          <w:rFonts w:ascii="Noto Sans" w:hAnsi="Noto Sans"/>
          <w:sz w:val="19"/>
        </w:rPr>
        <w:t>D. Focus first on how family expectations affect adherence and functioning, deferring broader identity meanings until Lena's symptoms and sleep are more stable.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 Lena wants both her partner and prescriber involved. Which information-sharing plan is most appropriate?</w:t>
      </w:r>
    </w:p>
    <w:p>
      <w:pPr>
        <w:spacing w:after="10"/>
        <w:ind w:left="230" w:hanging="187"/>
      </w:pPr>
      <w:r>
        <w:rPr>
          <w:rFonts w:ascii="Noto Sans" w:hAnsi="Noto Sans"/>
          <w:sz w:val="19"/>
        </w:rPr>
        <w:t>A. Use one broad authorization so the partner and prescriber receive the same summary and future treatment updates.</w:t>
      </w:r>
    </w:p>
    <w:p>
      <w:pPr>
        <w:spacing w:after="10"/>
        <w:ind w:left="230" w:hanging="187"/>
      </w:pPr>
      <w:r>
        <w:rPr>
          <w:rFonts w:ascii="Noto Sans" w:hAnsi="Noto Sans"/>
          <w:sz w:val="19"/>
        </w:rPr>
        <w:t>B. Have Lena relay clinical updates herself while the counselor documents recommendations without contacting either party.</w:t>
      </w:r>
    </w:p>
    <w:p>
      <w:pPr>
        <w:spacing w:after="10"/>
        <w:ind w:left="230" w:hanging="187"/>
      </w:pPr>
      <w:r>
        <w:rPr>
          <w:rFonts w:ascii="Noto Sans" w:hAnsi="Noto Sans"/>
          <w:sz w:val="19"/>
        </w:rPr>
        <w:t>C. Authorize communication with the prescriber and let Lena decide informally what her partner should know between sessions.</w:t>
      </w:r>
    </w:p>
    <w:p>
      <w:pPr>
        <w:spacing w:after="10"/>
        <w:ind w:left="230" w:hanging="187"/>
      </w:pPr>
      <w:r>
        <w:rPr>
          <w:rFonts w:ascii="Noto Sans" w:hAnsi="Noto Sans"/>
          <w:sz w:val="19"/>
        </w:rPr>
        <w:t>D. Clarify each recipient’s role, obtain purpose-specific authorization, and limit disclosure to information needed for the agreed coordination.</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 What is the best working hypothesis about repeated reassurance between Lena and her partner?</w:t>
      </w:r>
    </w:p>
    <w:p>
      <w:pPr>
        <w:spacing w:after="10"/>
        <w:ind w:left="230" w:hanging="187"/>
      </w:pPr>
      <w:r>
        <w:rPr>
          <w:rFonts w:ascii="Noto Sans" w:hAnsi="Noto Sans"/>
          <w:sz w:val="19"/>
        </w:rPr>
        <w:t>A. It briefly reduces distress while reinforcing the idea that certainty is required before Lena can resume infant care.</w:t>
      </w:r>
    </w:p>
    <w:p>
      <w:pPr>
        <w:spacing w:after="10"/>
        <w:ind w:left="230" w:hanging="187"/>
      </w:pPr>
      <w:r>
        <w:rPr>
          <w:rFonts w:ascii="Noto Sans" w:hAnsi="Noto Sans"/>
          <w:sz w:val="19"/>
        </w:rPr>
        <w:t>B. It provides emotional co-regulation that should continue until Lena completes her first in-vivo exposure successfully.</w:t>
      </w:r>
    </w:p>
    <w:p>
      <w:pPr>
        <w:spacing w:after="10"/>
        <w:ind w:left="230" w:hanging="187"/>
      </w:pPr>
      <w:r>
        <w:rPr>
          <w:rFonts w:ascii="Noto Sans" w:hAnsi="Noto Sans"/>
          <w:sz w:val="19"/>
        </w:rPr>
        <w:t>C. It is neutral support; avoidance should be targeted before the counselor modifies the partner’s responses.</w:t>
      </w:r>
    </w:p>
    <w:p>
      <w:pPr>
        <w:spacing w:after="10"/>
        <w:ind w:left="230" w:hanging="187"/>
      </w:pPr>
      <w:r>
        <w:rPr>
          <w:rFonts w:ascii="Noto Sans" w:hAnsi="Noto Sans"/>
          <w:sz w:val="19"/>
        </w:rPr>
        <w:t>D. It can be reduced after mood improves, because changing it now could weaken partner involvement and increase shame.</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Eight weeks later, Lena has completed medical and psychiatric evaluations. No psychotic or manic symptoms have emerged. She continues coordinated treatment.</w:t>
            </w:r>
          </w:p>
          <w:p>
            <w:pPr>
              <w:spacing w:after="60"/>
            </w:pPr>
            <w:r>
              <w:rPr>
                <w:rFonts w:ascii="Noto Sans" w:hAnsi="Noto Sans"/>
                <w:sz w:val="19"/>
              </w:rPr>
              <w:t>Her depressive symptoms have decreased from severe to mild, she has had no passive suicidal thoughts for five weeks, and she usually sleeps six hours with the support plan. The intrusive images are less frequent and less distressing.</w:t>
            </w:r>
          </w:p>
          <w:p>
            <w:pPr>
              <w:spacing w:after="60"/>
            </w:pPr>
            <w:r>
              <w:rPr>
                <w:rFonts w:ascii="Noto Sans" w:hAnsi="Noto Sans"/>
                <w:sz w:val="19"/>
              </w:rPr>
              <w:t>Lena now completes most infant-care tasks independently and can stand near the staircase while holding the baby, but her partner still carries the baby on the stairs. Lena occasionally seeks reassurance before infant-care tasks and says, “I want my independence back, but I’m afraid one bad image means I’m not ready.”</w:t>
            </w:r>
          </w:p>
        </w:tc>
      </w:tr>
    </w:tbl>
    <w:p>
      <w:pPr>
        <w:keepNext/>
        <w:spacing w:before="120" w:after="40"/>
      </w:pPr>
      <w:r>
        <w:rPr>
          <w:rFonts w:ascii="Noto Sans" w:hAnsi="Noto Sans"/>
          <w:b/>
          <w:color w:val="1F2937"/>
          <w:sz w:val="20"/>
        </w:rPr>
        <w:t>10. Lena and the counselor are establishing the next phase of treatment. Which objective is BEST matched to her current progress and remaining impairment?</w:t>
      </w:r>
    </w:p>
    <w:p>
      <w:pPr>
        <w:spacing w:after="10"/>
        <w:ind w:left="230" w:hanging="187"/>
      </w:pPr>
      <w:r>
        <w:rPr>
          <w:rFonts w:ascii="Noto Sans" w:hAnsi="Noto Sans"/>
          <w:sz w:val="19"/>
        </w:rPr>
        <w:t>A. Maintain mild depressive symptoms for four weeks and contact the prescriber if mood, sleep, or intrusive-thought distress increases.</w:t>
      </w:r>
    </w:p>
    <w:p>
      <w:pPr>
        <w:spacing w:after="10"/>
        <w:ind w:left="230" w:hanging="187"/>
      </w:pPr>
      <w:r>
        <w:rPr>
          <w:rFonts w:ascii="Noto Sans" w:hAnsi="Noto Sans"/>
          <w:sz w:val="19"/>
        </w:rPr>
        <w:t>B. Over four weeks, progress through agreed safe infant-care steps near the stairs while reducing reassurance and continuing mood, sleep, and safety monitoring.</w:t>
      </w:r>
    </w:p>
    <w:p>
      <w:pPr>
        <w:spacing w:after="10"/>
        <w:ind w:left="230" w:hanging="187"/>
      </w:pPr>
      <w:r>
        <w:rPr>
          <w:rFonts w:ascii="Noto Sans" w:hAnsi="Noto Sans"/>
          <w:sz w:val="19"/>
        </w:rPr>
        <w:t>C. Resume full independent stair carrying within two weeks while maintaining the sleep plan and using partner support only when distress becomes severe.</w:t>
      </w:r>
    </w:p>
    <w:p>
      <w:pPr>
        <w:spacing w:after="10"/>
        <w:ind w:left="230" w:hanging="187"/>
      </w:pPr>
      <w:r>
        <w:rPr>
          <w:rFonts w:ascii="Noto Sans" w:hAnsi="Noto Sans"/>
          <w:sz w:val="19"/>
        </w:rPr>
        <w:t>D. Reduce intrusive-image frequency by seventy-five percent before decreasing partner assistance with infant care or moving toward more difficult behavioral tasks.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 Which behavioral strategy is the best next step for the remaining avoidance?</w:t>
      </w:r>
    </w:p>
    <w:p>
      <w:pPr>
        <w:spacing w:after="10"/>
        <w:ind w:left="230" w:hanging="187"/>
      </w:pPr>
      <w:r>
        <w:rPr>
          <w:rFonts w:ascii="Noto Sans" w:hAnsi="Noto Sans"/>
          <w:sz w:val="19"/>
        </w:rPr>
        <w:t>A. Build a hierarchy of objectively safe infant-care steps, reduce reassurance rituals, and repeat each step for new learning.</w:t>
      </w:r>
    </w:p>
    <w:p>
      <w:pPr>
        <w:spacing w:after="10"/>
        <w:ind w:left="230" w:hanging="187"/>
      </w:pPr>
      <w:r>
        <w:rPr>
          <w:rFonts w:ascii="Noto Sans" w:hAnsi="Noto Sans"/>
          <w:sz w:val="19"/>
        </w:rPr>
        <w:t>B. Use imaginal rehearsal at first, because in-vivo practice near stairs creates avoidable risk to the infant.</w:t>
      </w:r>
    </w:p>
    <w:p>
      <w:pPr>
        <w:spacing w:after="10"/>
        <w:ind w:left="230" w:hanging="187"/>
      </w:pPr>
      <w:r>
        <w:rPr>
          <w:rFonts w:ascii="Noto Sans" w:hAnsi="Noto Sans"/>
          <w:sz w:val="19"/>
        </w:rPr>
        <w:t>C. Practice the full staircase task with the partner nearby, using sustained distress reduction as the criterion for success.</w:t>
      </w:r>
    </w:p>
    <w:p>
      <w:pPr>
        <w:spacing w:after="10"/>
        <w:ind w:left="230" w:hanging="187"/>
      </w:pPr>
      <w:r>
        <w:rPr>
          <w:rFonts w:ascii="Noto Sans" w:hAnsi="Noto Sans"/>
          <w:sz w:val="19"/>
        </w:rPr>
        <w:t>D. Maintain partner-led stair use while strengthening relaxation, then begin exposure after several weeks without intrusive images.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 Which data set would provide the strongest evidence that counseling is producing meaningful change?</w:t>
      </w:r>
    </w:p>
    <w:p>
      <w:pPr>
        <w:spacing w:after="10"/>
        <w:ind w:left="230" w:hanging="187"/>
      </w:pPr>
      <w:r>
        <w:rPr>
          <w:rFonts w:ascii="Noto Sans" w:hAnsi="Noto Sans"/>
          <w:sz w:val="19"/>
        </w:rPr>
        <w:t>A. Repeated depression scores, session attendance, medication follow-through, and Lena’s satisfaction with counseling.</w:t>
      </w:r>
    </w:p>
    <w:p>
      <w:pPr>
        <w:spacing w:after="10"/>
        <w:ind w:left="230" w:hanging="187"/>
      </w:pPr>
      <w:r>
        <w:rPr>
          <w:rFonts w:ascii="Noto Sans" w:hAnsi="Noto Sans"/>
          <w:sz w:val="19"/>
        </w:rPr>
        <w:t>B. Repeated intrusive-thought ratings, partner observations of stair use, and the counselor’s estimate of Lena’s insight.</w:t>
      </w:r>
    </w:p>
    <w:p>
      <w:pPr>
        <w:spacing w:after="10"/>
        <w:ind w:left="230" w:hanging="187"/>
      </w:pPr>
      <w:r>
        <w:rPr>
          <w:rFonts w:ascii="Noto Sans" w:hAnsi="Noto Sans"/>
          <w:sz w:val="19"/>
        </w:rPr>
        <w:t>C. Repeated mood and anxiety scores, risk status, sleep, reassurance seeking, and behaviorally defined infant-care functioning.</w:t>
      </w:r>
    </w:p>
    <w:p>
      <w:pPr>
        <w:spacing w:after="10"/>
        <w:ind w:left="230" w:hanging="187"/>
      </w:pPr>
      <w:r>
        <w:rPr>
          <w:rFonts w:ascii="Noto Sans" w:hAnsi="Noto Sans"/>
          <w:sz w:val="19"/>
        </w:rPr>
        <w:t>D. Repeated sleep and functioning ratings, obstetric follow-up, and whether Lena reports fewer distressing images.</w:t>
      </w:r>
    </w:p>
    <w:p>
      <w:pPr>
        <w:spacing w:after="40"/>
      </w:pPr>
      <w:r>
        <w:rPr>
          <w:rFonts w:ascii="Noto Sans" w:hAnsi="Noto Sans"/>
          <w:color w:val="6B7280"/>
          <w:sz w:val="17"/>
        </w:rPr>
        <w:t>Answer: ________     Confidence:  1  2  3  4  5</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At a later review, Lena has maintained her gains, resumed independent infant-care activities, reports no current suicidal ideation, and agrees with the counselor that active treatment goals have been met. They begin discussing planned termination.</w:t>
            </w:r>
          </w:p>
        </w:tc>
      </w:tr>
    </w:tbl>
    <w:p>
      <w:pPr>
        <w:keepNext/>
        <w:spacing w:before="120" w:after="40"/>
      </w:pPr>
      <w:r>
        <w:rPr>
          <w:rFonts w:ascii="Noto Sans" w:hAnsi="Noto Sans"/>
          <w:b/>
          <w:color w:val="1F2937"/>
          <w:sz w:val="20"/>
        </w:rPr>
        <w:t>13. Which termination discussion is MOST appropriate before scheduled counseling ends?</w:t>
      </w:r>
    </w:p>
    <w:p>
      <w:pPr>
        <w:spacing w:after="10"/>
        <w:ind w:left="230" w:hanging="187"/>
      </w:pPr>
      <w:r>
        <w:rPr>
          <w:rFonts w:ascii="Noto Sans" w:hAnsi="Noto Sans"/>
          <w:sz w:val="19"/>
        </w:rPr>
        <w:t>A. Set a fixed schedule of monthly booster sessions before termination so symptom recurrence can be detected early and managed within the existing relationship.</w:t>
      </w:r>
    </w:p>
    <w:p>
      <w:pPr>
        <w:spacing w:after="10"/>
        <w:ind w:left="230" w:hanging="187"/>
      </w:pPr>
      <w:r>
        <w:rPr>
          <w:rFonts w:ascii="Noto Sans" w:hAnsi="Noto Sans"/>
          <w:sz w:val="19"/>
        </w:rPr>
        <w:t>B. Ask Lena's partner to assume primary monitoring for recurrence after counseling ends and contact the counselor if Lena's functioning changes.</w:t>
      </w:r>
    </w:p>
    <w:p>
      <w:pPr>
        <w:spacing w:after="10"/>
        <w:ind w:left="230" w:hanging="187"/>
      </w:pPr>
      <w:r>
        <w:rPr>
          <w:rFonts w:ascii="Noto Sans" w:hAnsi="Noto Sans"/>
          <w:sz w:val="19"/>
        </w:rPr>
        <w:t>C. Keep the case open until Lena decides whether she wants another pregnancy because future perinatal stress could reactivate symptoms.</w:t>
      </w:r>
    </w:p>
    <w:p>
      <w:pPr>
        <w:spacing w:after="10"/>
        <w:ind w:left="230" w:hanging="187"/>
      </w:pPr>
      <w:r>
        <w:rPr>
          <w:rFonts w:ascii="Noto Sans" w:hAnsi="Noto Sans"/>
          <w:sz w:val="19"/>
        </w:rPr>
        <w:t>D. Review gains, feelings about ending, warning signs, supports, remaining provider follow-up, and how Lena can re-enter care if clinically indicated.</w:t>
      </w:r>
    </w:p>
    <w:p>
      <w:pPr>
        <w:spacing w:after="40"/>
      </w:pPr>
      <w:r>
        <w:rPr>
          <w:rFonts w:ascii="Noto Sans" w:hAnsi="Noto Sans"/>
          <w:color w:val="6B7280"/>
          <w:sz w:val="17"/>
        </w:rPr>
        <w:t>Answer: ________     Confidence:  1  2  3  4  5</w:t>
      </w:r>
    </w:p>
    <w:p>
      <w:r>
        <w:br w:type="page"/>
      </w:r>
    </w:p>
    <w:p>
      <w:pPr>
        <w:pStyle w:val="Heading1"/>
      </w:pPr>
      <w:r>
        <w:t>CASE 2: Omar H.</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Omar is a 27-year-old graduate student. During the past 18 months, he has developed increasing fears of contamination and moral wrongdoing.</w:t>
            </w:r>
          </w:p>
          <w:p>
            <w:pPr>
              <w:spacing w:after="60"/>
            </w:pPr>
            <w:r>
              <w:rPr>
                <w:rFonts w:ascii="Noto Sans" w:hAnsi="Noto Sans"/>
                <w:sz w:val="19"/>
              </w:rPr>
              <w:t>Touching shared door handles or religious objects can trigger thoughts that he may contract an illness, spread contamination to another person, or offend God. He responds by washing, showering, or repeating prayers until they feel “exactly right.” The rituals provide temporary relief, but doubt returns and he often begins the sequence again.</w:t>
            </w:r>
          </w:p>
          <w:p>
            <w:pPr>
              <w:spacing w:after="60"/>
            </w:pPr>
            <w:r>
              <w:rPr>
                <w:rFonts w:ascii="Noto Sans" w:hAnsi="Noto Sans"/>
                <w:sz w:val="19"/>
              </w:rPr>
              <w:t>Omar now spends three to four hours each day completing these behaviors. He has missed classes, submitted work late, stopped attending communal worship, and developed cracked and irritated skin from washing.</w:t>
            </w:r>
          </w:p>
          <w:p>
            <w:pPr>
              <w:spacing w:after="60"/>
            </w:pPr>
            <w:r>
              <w:rPr>
                <w:rFonts w:ascii="Noto Sans" w:hAnsi="Noto Sans"/>
                <w:sz w:val="19"/>
              </w:rPr>
              <w:t>Before these symptoms began, Omar describes prayer as flexible, time-limited, and personally meaningful. He now experiences much of the repetition as driven by fear and a need for certainty. He recognizes that the rituals appear excessive but says, “What if the one time I resist is the time something terrible happens?”</w:t>
            </w:r>
          </w:p>
          <w:p>
            <w:pPr>
              <w:spacing w:after="60"/>
            </w:pPr>
            <w:r>
              <w:rPr>
                <w:rFonts w:ascii="Noto Sans" w:hAnsi="Noto Sans"/>
                <w:sz w:val="19"/>
              </w:rPr>
              <w:t>Omar reports no hallucinations, fixed unusual beliefs, manic symptoms, substance use, or current thoughts of harming himself or another person.</w:t>
            </w:r>
          </w:p>
        </w:tc>
      </w:tr>
    </w:tbl>
    <w:p>
      <w:pPr>
        <w:keepNext/>
        <w:spacing w:before="120" w:after="40"/>
      </w:pPr>
      <w:r>
        <w:rPr>
          <w:rFonts w:ascii="Noto Sans" w:hAnsi="Noto Sans"/>
          <w:b/>
          <w:color w:val="1F2937"/>
          <w:sz w:val="20"/>
        </w:rPr>
        <w:t>14. Which follow-up would most directly clarify the mechanism maintaining Omar’s symptoms?</w:t>
      </w:r>
    </w:p>
    <w:p>
      <w:pPr>
        <w:spacing w:after="10"/>
        <w:ind w:left="230" w:hanging="187"/>
      </w:pPr>
      <w:r>
        <w:rPr>
          <w:rFonts w:ascii="Noto Sans" w:hAnsi="Noto Sans"/>
          <w:sz w:val="19"/>
        </w:rPr>
        <w:t>A. Review medical conditions, medications, dermatologic history, sleep, appetite, caffeine use, and other physical contributors affecting Omar now.</w:t>
      </w:r>
    </w:p>
    <w:p>
      <w:pPr>
        <w:spacing w:after="10"/>
        <w:ind w:left="230" w:hanging="187"/>
      </w:pPr>
      <w:r>
        <w:rPr>
          <w:rFonts w:ascii="Noto Sans" w:hAnsi="Noto Sans"/>
          <w:sz w:val="19"/>
        </w:rPr>
        <w:t>B. Trace one episode from trigger through feared consequence, ritual, relief, renewed doubt, time cost, and functional impact.</w:t>
      </w:r>
    </w:p>
    <w:p>
      <w:pPr>
        <w:spacing w:after="10"/>
        <w:ind w:left="230" w:hanging="187"/>
      </w:pPr>
      <w:r>
        <w:rPr>
          <w:rFonts w:ascii="Noto Sans" w:hAnsi="Noto Sans"/>
          <w:sz w:val="19"/>
        </w:rPr>
        <w:t>C. Explore graduate-school stress, family expectations, academic workload, social withdrawal, and supports available since symptoms began.</w:t>
      </w:r>
    </w:p>
    <w:p>
      <w:pPr>
        <w:spacing w:after="10"/>
        <w:ind w:left="230" w:hanging="187"/>
      </w:pPr>
      <w:r>
        <w:rPr>
          <w:rFonts w:ascii="Noto Sans" w:hAnsi="Noto Sans"/>
          <w:sz w:val="19"/>
        </w:rPr>
        <w:t>D. Assess depressive symptoms, hopelessness, suicide risk, prior treatment, family psychiatric history, and recent changes in functioning.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15. Which provisional diagnosis is best supported by the information available in this section?</w:t>
      </w:r>
    </w:p>
    <w:p>
      <w:pPr>
        <w:spacing w:after="10"/>
        <w:ind w:left="230" w:hanging="187"/>
      </w:pPr>
      <w:r>
        <w:rPr>
          <w:rFonts w:ascii="Noto Sans" w:hAnsi="Noto Sans"/>
          <w:sz w:val="19"/>
        </w:rPr>
        <w:t>A. Generalized anxiety disorder, because illness and moral concerns occur across settings and interfere with school and worship.</w:t>
      </w:r>
    </w:p>
    <w:p>
      <w:pPr>
        <w:spacing w:after="10"/>
        <w:ind w:left="230" w:hanging="187"/>
      </w:pPr>
      <w:r>
        <w:rPr>
          <w:rFonts w:ascii="Noto Sans" w:hAnsi="Noto Sans"/>
          <w:sz w:val="19"/>
        </w:rPr>
        <w:t>B. Illness anxiety disorder, because contamination fears persist despite Omar recognizing that the objective danger may be limited.</w:t>
      </w:r>
    </w:p>
    <w:p>
      <w:pPr>
        <w:spacing w:after="10"/>
        <w:ind w:left="230" w:hanging="187"/>
      </w:pPr>
      <w:r>
        <w:rPr>
          <w:rFonts w:ascii="Noto Sans" w:hAnsi="Noto Sans"/>
          <w:sz w:val="19"/>
        </w:rPr>
        <w:t>C. Delusional disorder, because Omar continues to fear illness and moral harm despite feedback that the rituals are excessive.</w:t>
      </w:r>
    </w:p>
    <w:p>
      <w:pPr>
        <w:spacing w:after="10"/>
        <w:ind w:left="230" w:hanging="187"/>
      </w:pPr>
      <w:r>
        <w:rPr>
          <w:rFonts w:ascii="Noto Sans" w:hAnsi="Noto Sans"/>
          <w:sz w:val="19"/>
        </w:rPr>
        <w:t>D. Obsessive-compulsive disorder, with contamination and moral or religious obsessions followed by washing, prayer, and reassurance compulsions.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16. Which inquiry would most directly clarify the relationship between Omar’s faith and the current symptoms?</w:t>
      </w:r>
    </w:p>
    <w:p>
      <w:pPr>
        <w:spacing w:after="10"/>
        <w:ind w:left="230" w:hanging="187"/>
      </w:pPr>
      <w:r>
        <w:rPr>
          <w:rFonts w:ascii="Noto Sans" w:hAnsi="Noto Sans"/>
          <w:sz w:val="19"/>
        </w:rPr>
        <w:t>A. Ask whether Omar wants a faith leader involved and what questions he would want that consultation to address.</w:t>
      </w:r>
    </w:p>
    <w:p>
      <w:pPr>
        <w:spacing w:after="10"/>
        <w:ind w:left="230" w:hanging="187"/>
      </w:pPr>
      <w:r>
        <w:rPr>
          <w:rFonts w:ascii="Noto Sans" w:hAnsi="Noto Sans"/>
          <w:sz w:val="19"/>
        </w:rPr>
        <w:t>B. Ask which family and community expectations shape Omar’s views of purity, morality, illness, help-seeking, and professional treatment.</w:t>
      </w:r>
    </w:p>
    <w:p>
      <w:pPr>
        <w:spacing w:after="10"/>
        <w:ind w:left="230" w:hanging="187"/>
      </w:pPr>
      <w:r>
        <w:rPr>
          <w:rFonts w:ascii="Noto Sans" w:hAnsi="Noto Sans"/>
          <w:sz w:val="19"/>
        </w:rPr>
        <w:t>C. Ask how Omar distinguishes chosen faith practices from repetitions driven by fear, doubt, or a need for certainty.</w:t>
      </w:r>
    </w:p>
    <w:p>
      <w:pPr>
        <w:spacing w:after="10"/>
        <w:ind w:left="230" w:hanging="187"/>
      </w:pPr>
      <w:r>
        <w:rPr>
          <w:rFonts w:ascii="Noto Sans" w:hAnsi="Noto Sans"/>
          <w:sz w:val="19"/>
        </w:rPr>
        <w:t>D. Ask how Omar’s spiritual beliefs have supported coping, identity, belonging, and decision-making during other stressful periods.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17. Omar asks, “Are you going to tell me my faith is irrational?” Which response BEST demonstrates a nonjudgmental stance?</w:t>
      </w:r>
    </w:p>
    <w:p>
      <w:pPr>
        <w:spacing w:after="10"/>
        <w:ind w:left="230" w:hanging="187"/>
      </w:pPr>
      <w:r>
        <w:rPr>
          <w:rFonts w:ascii="Noto Sans" w:hAnsi="Noto Sans"/>
          <w:sz w:val="19"/>
        </w:rPr>
        <w:t>A. I will not evaluate your beliefs; we can focus on washing and leave religion outside treatment unless you later ask to discuss it.</w:t>
      </w:r>
    </w:p>
    <w:p>
      <w:pPr>
        <w:spacing w:after="10"/>
        <w:ind w:left="230" w:hanging="187"/>
      </w:pPr>
      <w:r>
        <w:rPr>
          <w:rFonts w:ascii="Noto Sans" w:hAnsi="Noto Sans"/>
          <w:sz w:val="19"/>
        </w:rPr>
        <w:t>B. I want to understand your beliefs, and we can compare your practices with common teachings in your faith before deciding what is symptom-driven.</w:t>
      </w:r>
    </w:p>
    <w:p>
      <w:pPr>
        <w:spacing w:after="10"/>
        <w:ind w:left="230" w:hanging="187"/>
      </w:pPr>
      <w:r>
        <w:rPr>
          <w:rFonts w:ascii="Noto Sans" w:hAnsi="Noto Sans"/>
          <w:sz w:val="19"/>
        </w:rPr>
        <w:t>C. I respect your faith. Would it help to involve a faith leader early so we do not misinterpret the religious material in treatment?</w:t>
      </w:r>
    </w:p>
    <w:p>
      <w:pPr>
        <w:spacing w:after="10"/>
        <w:ind w:left="230" w:hanging="187"/>
      </w:pPr>
      <w:r>
        <w:rPr>
          <w:rFonts w:ascii="Noto Sans" w:hAnsi="Noto Sans"/>
          <w:sz w:val="19"/>
        </w:rPr>
        <w:t>D. I want to understand what your faith means to you and when repetition is driven by fear or certainty, without deciding your beliefs.</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Further assessment reveals no evidence of psychosis or mania. Omar reports periods of discouragement but no current suicidal thinking, plan, intent, or history of suicidal behavior.</w:t>
            </w:r>
          </w:p>
          <w:p>
            <w:pPr>
              <w:spacing w:after="60"/>
            </w:pPr>
            <w:r>
              <w:rPr>
                <w:rFonts w:ascii="Noto Sans" w:hAnsi="Noto Sans"/>
                <w:sz w:val="19"/>
              </w:rPr>
              <w:t>A validated obsessive-compulsive symptom measure indicates severe impairment. Omar’s primary goals are to resume communal worship, reduce the time spent completing rituals, protect his hands from further injury, and finish the academic term.</w:t>
            </w:r>
          </w:p>
          <w:p>
            <w:pPr>
              <w:spacing w:after="60"/>
            </w:pPr>
            <w:r>
              <w:rPr>
                <w:rFonts w:ascii="Noto Sans" w:hAnsi="Noto Sans"/>
                <w:sz w:val="19"/>
              </w:rPr>
              <w:t>Omar’s family frequently answers questions such as, “Do you think I contaminated something?” and, “Was that prayer sincere enough?” Family members also complete some household tasks for him to prevent distress. The reassurance and assistance reduce anxiety briefly, but Omar soon seeks additional certainty.</w:t>
            </w:r>
          </w:p>
          <w:p>
            <w:pPr>
              <w:spacing w:after="60"/>
            </w:pPr>
            <w:r>
              <w:rPr>
                <w:rFonts w:ascii="Noto Sans" w:hAnsi="Noto Sans"/>
                <w:sz w:val="19"/>
              </w:rPr>
              <w:t>Omar wants his faith respected during treatment and is open to exposure and response prevention. He is concerned, however, that a poorly designed exposure might require him to violate a genuine religious value. He authorizes a limited consultation with a faith leader to clarify customary and flexible practices. He does not want the faith leader to diagnose him or decide whether every exposure is morally safe.</w:t>
            </w:r>
          </w:p>
          <w:p>
            <w:pPr>
              <w:spacing w:after="60"/>
            </w:pPr>
            <w:r>
              <w:rPr>
                <w:rFonts w:ascii="Noto Sans" w:hAnsi="Noto Sans"/>
                <w:sz w:val="19"/>
              </w:rPr>
              <w:t>The counselor has general CBT experience and has completed one introductory ERP workshop but has not treated an OCD case under supervision. A clinician with advanced OCD experience is available for structured consultation, supervision, co-treatment, or referral.</w:t>
            </w:r>
          </w:p>
        </w:tc>
      </w:tr>
    </w:tbl>
    <w:p>
      <w:pPr>
        <w:keepNext/>
        <w:spacing w:before="120" w:after="40"/>
      </w:pPr>
      <w:r>
        <w:rPr>
          <w:rFonts w:ascii="Noto Sans" w:hAnsi="Noto Sans"/>
          <w:b/>
          <w:color w:val="1F2937"/>
          <w:sz w:val="20"/>
        </w:rPr>
        <w:t>18. Which initial intervention design best fits Omar’s presentation and stated values?</w:t>
      </w:r>
    </w:p>
    <w:p>
      <w:pPr>
        <w:spacing w:after="10"/>
        <w:ind w:left="230" w:hanging="187"/>
      </w:pPr>
      <w:r>
        <w:rPr>
          <w:rFonts w:ascii="Noto Sans" w:hAnsi="Noto Sans"/>
          <w:sz w:val="19"/>
        </w:rPr>
        <w:t>A. Build a collaborative hierarchy of objectively safe, values-consistent triggers and practice exposure while preventing washing, repeated prayer, and reassurance.</w:t>
      </w:r>
    </w:p>
    <w:p>
      <w:pPr>
        <w:spacing w:after="10"/>
        <w:ind w:left="230" w:hanging="187"/>
      </w:pPr>
      <w:r>
        <w:rPr>
          <w:rFonts w:ascii="Noto Sans" w:hAnsi="Noto Sans"/>
          <w:sz w:val="19"/>
        </w:rPr>
        <w:t>B. Begin by disputing feared moral consequences, adding exposure after Omar agrees that the feared outcomes are objectively unlikely.</w:t>
      </w:r>
    </w:p>
    <w:p>
      <w:pPr>
        <w:spacing w:after="10"/>
        <w:ind w:left="230" w:hanging="187"/>
      </w:pPr>
      <w:r>
        <w:rPr>
          <w:rFonts w:ascii="Noto Sans" w:hAnsi="Noto Sans"/>
          <w:sz w:val="19"/>
        </w:rPr>
        <w:t>C. Ask the faith leader to approve each exposure, then practice those tasks while Omar resists washing and repeated prayer.</w:t>
      </w:r>
    </w:p>
    <w:p>
      <w:pPr>
        <w:spacing w:after="10"/>
        <w:ind w:left="230" w:hanging="187"/>
      </w:pPr>
      <w:r>
        <w:rPr>
          <w:rFonts w:ascii="Noto Sans" w:hAnsi="Noto Sans"/>
          <w:sz w:val="19"/>
        </w:rPr>
        <w:t>D. Begin with Omar’s highest-rated contamination and worship tasks so he learns rapidly that intense distress can be tolerated.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19. How should the counselor use Omar’s severe symptom-measure result in treatment planning?</w:t>
      </w:r>
    </w:p>
    <w:p>
      <w:pPr>
        <w:spacing w:after="10"/>
        <w:ind w:left="230" w:hanging="187"/>
      </w:pPr>
      <w:r>
        <w:rPr>
          <w:rFonts w:ascii="Noto Sans" w:hAnsi="Noto Sans"/>
          <w:sz w:val="19"/>
        </w:rPr>
        <w:t>A. Treat the score as confirmation that ERP is required and use it to set a standard weekly exposure dose.</w:t>
      </w:r>
    </w:p>
    <w:p>
      <w:pPr>
        <w:spacing w:after="10"/>
        <w:ind w:left="230" w:hanging="187"/>
      </w:pPr>
      <w:r>
        <w:rPr>
          <w:rFonts w:ascii="Noto Sans" w:hAnsi="Noto Sans"/>
          <w:sz w:val="19"/>
        </w:rPr>
        <w:t>B. Repeat the measure before discussing treatment because one severe score cannot appropriately inform any initial clinical decision.</w:t>
      </w:r>
    </w:p>
    <w:p>
      <w:pPr>
        <w:spacing w:after="10"/>
        <w:ind w:left="230" w:hanging="187"/>
      </w:pPr>
      <w:r>
        <w:rPr>
          <w:rFonts w:ascii="Noto Sans" w:hAnsi="Noto Sans"/>
          <w:sz w:val="19"/>
        </w:rPr>
        <w:t>C. Explain that the score reflects current severity, combine it with interview and functioning data, and identify Omar’s priorities.</w:t>
      </w:r>
    </w:p>
    <w:p>
      <w:pPr>
        <w:spacing w:after="10"/>
        <w:ind w:left="230" w:hanging="187"/>
      </w:pPr>
      <w:r>
        <w:rPr>
          <w:rFonts w:ascii="Noto Sans" w:hAnsi="Noto Sans"/>
          <w:sz w:val="19"/>
        </w:rPr>
        <w:t>D. Use the score primarily to determine whether Omar needs a higher level of care before outpatient treatment begins.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20. Which faith-leader consultation plan best supports culturally responsive treatment?</w:t>
      </w:r>
    </w:p>
    <w:p>
      <w:pPr>
        <w:spacing w:after="10"/>
        <w:ind w:left="230" w:hanging="187"/>
      </w:pPr>
      <w:r>
        <w:rPr>
          <w:rFonts w:ascii="Noto Sans" w:hAnsi="Noto Sans"/>
          <w:sz w:val="19"/>
        </w:rPr>
        <w:t>A. With Omar’s consent, clarify which practices are customary or flexible while retaining clinical responsibility and avoiding exposure-by-exposure reassurance.</w:t>
      </w:r>
    </w:p>
    <w:p>
      <w:pPr>
        <w:spacing w:after="10"/>
        <w:ind w:left="230" w:hanging="187"/>
      </w:pPr>
      <w:r>
        <w:rPr>
          <w:rFonts w:ascii="Noto Sans" w:hAnsi="Noto Sans"/>
          <w:sz w:val="19"/>
        </w:rPr>
        <w:t>B. With Omar’s consent, ask the faith leader to review the hierarchy and approve each step as morally acceptable before practice.</w:t>
      </w:r>
    </w:p>
    <w:p>
      <w:pPr>
        <w:spacing w:after="10"/>
        <w:ind w:left="230" w:hanging="187"/>
      </w:pPr>
      <w:r>
        <w:rPr>
          <w:rFonts w:ascii="Noto Sans" w:hAnsi="Noto Sans"/>
          <w:sz w:val="19"/>
        </w:rPr>
        <w:t>C. With Omar’s consent, ask the faith leader to address guilt spiritually while limiting ERP to contamination-related washing behaviors.</w:t>
      </w:r>
    </w:p>
    <w:p>
      <w:pPr>
        <w:spacing w:after="10"/>
        <w:ind w:left="230" w:hanging="187"/>
      </w:pPr>
      <w:r>
        <w:rPr>
          <w:rFonts w:ascii="Noto Sans" w:hAnsi="Noto Sans"/>
          <w:sz w:val="19"/>
        </w:rPr>
        <w:t>D. With Omar’s consent, ask whether the repetitions are customary and use that judgment as the primary diagnostic evidence.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21. Given the counselor’s current background, which professional response is most appropriate?</w:t>
      </w:r>
    </w:p>
    <w:p>
      <w:pPr>
        <w:spacing w:after="10"/>
        <w:ind w:left="230" w:hanging="187"/>
      </w:pPr>
      <w:r>
        <w:rPr>
          <w:rFonts w:ascii="Noto Sans" w:hAnsi="Noto Sans"/>
          <w:sz w:val="19"/>
        </w:rPr>
        <w:t>A. Seek qualified ERP supervision, discuss the limitation with Omar, and use co-treatment or referral until competence is established.</w:t>
      </w:r>
    </w:p>
    <w:p>
      <w:pPr>
        <w:spacing w:after="10"/>
        <w:ind w:left="230" w:hanging="187"/>
      </w:pPr>
      <w:r>
        <w:rPr>
          <w:rFonts w:ascii="Noto Sans" w:hAnsi="Noto Sans"/>
          <w:sz w:val="19"/>
        </w:rPr>
        <w:t>B. Proceed with ERP using the workshop materials, while reviewing outcomes and seeking specialist consultation only if progress stalls.</w:t>
      </w:r>
    </w:p>
    <w:p>
      <w:pPr>
        <w:spacing w:after="10"/>
        <w:ind w:left="230" w:hanging="187"/>
      </w:pPr>
      <w:r>
        <w:rPr>
          <w:rFonts w:ascii="Noto Sans" w:hAnsi="Noto Sans"/>
          <w:sz w:val="19"/>
        </w:rPr>
        <w:t>C. Provide supportive CBT for now, while Omar independently decides whether to pursue specialty ERP with another provider.</w:t>
      </w:r>
    </w:p>
    <w:p>
      <w:pPr>
        <w:spacing w:after="10"/>
        <w:ind w:left="230" w:hanging="187"/>
      </w:pPr>
      <w:r>
        <w:rPr>
          <w:rFonts w:ascii="Noto Sans" w:hAnsi="Noto Sans"/>
          <w:sz w:val="19"/>
        </w:rPr>
        <w:t>D. Refer Omar immediately and avoid any treatment role, because introductory training cannot contribute to future specialty competence.</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Omar selects co-treatment with the OCD specialist while the counselor receives qualified ERP supervision.</w:t>
            </w:r>
          </w:p>
          <w:p>
            <w:pPr>
              <w:spacing w:after="60"/>
            </w:pPr>
            <w:r>
              <w:rPr>
                <w:rFonts w:ascii="Noto Sans" w:hAnsi="Noto Sans"/>
                <w:sz w:val="19"/>
              </w:rPr>
              <w:t>Eight weeks later, Omar’s obsessive-compulsive symptom score has decreased from the severe to the moderate range. His daily ritual time has fallen from approximately three and a half hours to 75–90 minutes. He is attending classes consistently, his hands are healing, and he has attended part of a communal worship service.</w:t>
            </w:r>
          </w:p>
          <w:p>
            <w:pPr>
              <w:spacing w:after="60"/>
            </w:pPr>
            <w:r>
              <w:rPr>
                <w:rFonts w:ascii="Noto Sans" w:hAnsi="Noto Sans"/>
                <w:sz w:val="19"/>
              </w:rPr>
              <w:t>Omar has completed several lower- and middle-level hierarchy tasks. Reassurance seeking remains frequent, however, and his family sometimes completes tasks or provides repeated answers when he becomes distressed.</w:t>
            </w:r>
          </w:p>
          <w:p>
            <w:pPr>
              <w:spacing w:after="60"/>
            </w:pPr>
            <w:r>
              <w:rPr>
                <w:rFonts w:ascii="Noto Sans" w:hAnsi="Noto Sans"/>
                <w:sz w:val="19"/>
              </w:rPr>
              <w:t>During one worship-related exposure, Omar’s anxiety rose more than expected. He asked both the counselor and his mother to confirm that the exposure was morally safe and then skipped the next planned practice. He says, “Maybe this means ERP is wrong for me.”</w:t>
            </w:r>
          </w:p>
          <w:p>
            <w:pPr>
              <w:spacing w:after="60"/>
            </w:pPr>
            <w:r>
              <w:rPr>
                <w:rFonts w:ascii="Noto Sans" w:hAnsi="Noto Sans"/>
                <w:sz w:val="19"/>
              </w:rPr>
              <w:t>No new suicide-risk, psychotic, manic, substance-related, or acute medical concerns have emerged.</w:t>
            </w:r>
          </w:p>
        </w:tc>
      </w:tr>
    </w:tbl>
    <w:p>
      <w:pPr>
        <w:keepNext/>
        <w:spacing w:before="120" w:after="40"/>
      </w:pPr>
      <w:r>
        <w:rPr>
          <w:rFonts w:ascii="Noto Sans" w:hAnsi="Noto Sans"/>
          <w:b/>
          <w:color w:val="1F2937"/>
          <w:sz w:val="20"/>
        </w:rPr>
        <w:t>22. Omar asks, “Was that exposure morally safe?” Which response best demonstrates empathic attunement without reinforcing reassurance seeking?</w:t>
      </w:r>
    </w:p>
    <w:p>
      <w:pPr>
        <w:spacing w:after="10"/>
        <w:ind w:left="230" w:hanging="187"/>
      </w:pPr>
      <w:r>
        <w:rPr>
          <w:rFonts w:ascii="Noto Sans" w:hAnsi="Noto Sans"/>
          <w:sz w:val="19"/>
        </w:rPr>
        <w:t>A. Yes, the plan was values-consistent; remind yourself of that conclusion whenever moral doubt returns during practice.</w:t>
      </w:r>
    </w:p>
    <w:p>
      <w:pPr>
        <w:spacing w:after="10"/>
        <w:ind w:left="230" w:hanging="187"/>
      </w:pPr>
      <w:r>
        <w:rPr>
          <w:rFonts w:ascii="Noto Sans" w:hAnsi="Noto Sans"/>
          <w:sz w:val="19"/>
        </w:rPr>
        <w:t>B. You worked hard and felt frightened. Let’s examine what you learned without making me the source of certainty.</w:t>
      </w:r>
    </w:p>
    <w:p>
      <w:pPr>
        <w:spacing w:after="10"/>
        <w:ind w:left="230" w:hanging="187"/>
      </w:pPr>
      <w:r>
        <w:rPr>
          <w:rFonts w:ascii="Noto Sans" w:hAnsi="Noto Sans"/>
          <w:sz w:val="19"/>
        </w:rPr>
        <w:t>C. That sounds like the OCD seeking certainty; avoid discussing the moral concern further and return to the hierarchy.</w:t>
      </w:r>
    </w:p>
    <w:p>
      <w:pPr>
        <w:spacing w:after="10"/>
        <w:ind w:left="230" w:hanging="187"/>
      </w:pPr>
      <w:r>
        <w:rPr>
          <w:rFonts w:ascii="Noto Sans" w:hAnsi="Noto Sans"/>
          <w:sz w:val="19"/>
        </w:rPr>
        <w:t>D. Your anxiety rose sharply, so we should suspend worship exposures until you feel more certain about continuing.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23. Which data set would provide the strongest evidence of meaningful treatment change?</w:t>
      </w:r>
    </w:p>
    <w:p>
      <w:pPr>
        <w:spacing w:after="10"/>
        <w:ind w:left="230" w:hanging="187"/>
      </w:pPr>
      <w:r>
        <w:rPr>
          <w:rFonts w:ascii="Noto Sans" w:hAnsi="Noto Sans"/>
          <w:sz w:val="19"/>
        </w:rPr>
        <w:t>A. Repeat the OCD measure and track ritual time, reassurance, avoidance, exposure completion, skin health, and school or worship functioning.</w:t>
      </w:r>
    </w:p>
    <w:p>
      <w:pPr>
        <w:spacing w:after="10"/>
        <w:ind w:left="230" w:hanging="187"/>
      </w:pPr>
      <w:r>
        <w:rPr>
          <w:rFonts w:ascii="Noto Sans" w:hAnsi="Noto Sans"/>
          <w:sz w:val="19"/>
        </w:rPr>
        <w:t>B. Track peak and ending distress for each exposure, ritual delay, and Omar’s confidence that every task was completed correctly.</w:t>
      </w:r>
    </w:p>
    <w:p>
      <w:pPr>
        <w:spacing w:after="10"/>
        <w:ind w:left="230" w:hanging="187"/>
      </w:pPr>
      <w:r>
        <w:rPr>
          <w:rFonts w:ascii="Noto Sans" w:hAnsi="Noto Sans"/>
          <w:sz w:val="19"/>
        </w:rPr>
        <w:t>C. Repeat the OCD measure and track ritual time, but omit worship functioning so religious practice is not pathologized.</w:t>
      </w:r>
    </w:p>
    <w:p>
      <w:pPr>
        <w:spacing w:after="10"/>
        <w:ind w:left="230" w:hanging="187"/>
      </w:pPr>
      <w:r>
        <w:rPr>
          <w:rFonts w:ascii="Noto Sans" w:hAnsi="Noto Sans"/>
          <w:sz w:val="19"/>
        </w:rPr>
        <w:t>D. Track school attendance, skin healing, and treatment satisfaction, using symptom measures only when Omar reports clear worsening.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24. During a collaborative progress review, which summary BEST reflects Omar's treatment data?</w:t>
      </w:r>
    </w:p>
    <w:p>
      <w:pPr>
        <w:spacing w:after="10"/>
        <w:ind w:left="230" w:hanging="187"/>
      </w:pPr>
      <w:r>
        <w:rPr>
          <w:rFonts w:ascii="Noto Sans" w:hAnsi="Noto Sans"/>
          <w:sz w:val="19"/>
        </w:rPr>
        <w:t>A. ERP is not working well enough because the spike in anxiety and skipped practice show that the hierarchy has moved beyond Omar's readiness.</w:t>
      </w:r>
    </w:p>
    <w:p>
      <w:pPr>
        <w:spacing w:after="10"/>
        <w:ind w:left="230" w:hanging="187"/>
      </w:pPr>
      <w:r>
        <w:rPr>
          <w:rFonts w:ascii="Noto Sans" w:hAnsi="Noto Sans"/>
          <w:sz w:val="19"/>
        </w:rPr>
        <w:t>B. The principal goals are nearly met because ritual time and school functioning improved; reassurance can be addressed after the current hierarchy is completed.</w:t>
      </w:r>
    </w:p>
    <w:p>
      <w:pPr>
        <w:spacing w:after="10"/>
        <w:ind w:left="230" w:hanging="187"/>
      </w:pPr>
      <w:r>
        <w:rPr>
          <w:rFonts w:ascii="Noto Sans" w:hAnsi="Noto Sans"/>
          <w:sz w:val="19"/>
        </w:rPr>
        <w:t>C. There is meaningful progress in ritual time and functioning, while reassurance and inconsistent worship practice remain active barriers to review with Omar.</w:t>
      </w:r>
    </w:p>
    <w:p>
      <w:pPr>
        <w:spacing w:after="10"/>
        <w:ind w:left="230" w:hanging="187"/>
      </w:pPr>
      <w:r>
        <w:rPr>
          <w:rFonts w:ascii="Noto Sans" w:hAnsi="Noto Sans"/>
          <w:sz w:val="19"/>
        </w:rPr>
        <w:t>D. Outcome cannot be interpreted yet because the full hierarchy has not been completed; continue the current plan before drawing conclusions about progress.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25. Which response would best facilitate Omar’s motivation to continue change?</w:t>
      </w:r>
    </w:p>
    <w:p>
      <w:pPr>
        <w:spacing w:after="10"/>
        <w:ind w:left="230" w:hanging="187"/>
      </w:pPr>
      <w:r>
        <w:rPr>
          <w:rFonts w:ascii="Noto Sans" w:hAnsi="Noto Sans"/>
          <w:sz w:val="19"/>
        </w:rPr>
        <w:t>A. Elicit Omar’s reasons for reclaiming worship and school, explore his exposure concerns, and choose one feasible next step.</w:t>
      </w:r>
    </w:p>
    <w:p>
      <w:pPr>
        <w:spacing w:after="10"/>
        <w:ind w:left="230" w:hanging="187"/>
      </w:pPr>
      <w:r>
        <w:rPr>
          <w:rFonts w:ascii="Noto Sans" w:hAnsi="Noto Sans"/>
          <w:sz w:val="19"/>
        </w:rPr>
        <w:t>B. Review the progress data and explain that stopping now would probably reverse gains and strengthen the obsessive-compulsive cycle.</w:t>
      </w:r>
    </w:p>
    <w:p>
      <w:pPr>
        <w:spacing w:after="10"/>
        <w:ind w:left="230" w:hanging="187"/>
      </w:pPr>
      <w:r>
        <w:rPr>
          <w:rFonts w:ascii="Noto Sans" w:hAnsi="Noto Sans"/>
          <w:sz w:val="19"/>
        </w:rPr>
        <w:t>C. Emphasize that ERP is first-line treatment and ask Omar to commit to six more sessions before reconsidering the approach.</w:t>
      </w:r>
    </w:p>
    <w:p>
      <w:pPr>
        <w:spacing w:after="10"/>
        <w:ind w:left="230" w:hanging="187"/>
      </w:pPr>
      <w:r>
        <w:rPr>
          <w:rFonts w:ascii="Noto Sans" w:hAnsi="Noto Sans"/>
          <w:sz w:val="19"/>
        </w:rPr>
        <w:t>D. Offer a temporary reassurance agreement so Omar can complete exposures until confidence and motivation improve.</w:t>
      </w:r>
    </w:p>
    <w:p>
      <w:pPr>
        <w:spacing w:after="40"/>
      </w:pPr>
      <w:r>
        <w:rPr>
          <w:rFonts w:ascii="Noto Sans" w:hAnsi="Noto Sans"/>
          <w:color w:val="6B7280"/>
          <w:sz w:val="17"/>
        </w:rPr>
        <w:t>Answer: ________     Confidence:  1  2  3  4  5</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Several months later, Omar meets the agreed treatment goals, is independently using ERP principles, and mutually completes scheduled counseling. A planned follow-up occurs six weeks after discharge.</w:t>
            </w:r>
          </w:p>
        </w:tc>
      </w:tr>
    </w:tbl>
    <w:p>
      <w:pPr>
        <w:keepNext/>
        <w:spacing w:before="120" w:after="40"/>
      </w:pPr>
      <w:r>
        <w:rPr>
          <w:rFonts w:ascii="Noto Sans" w:hAnsi="Noto Sans"/>
          <w:b/>
          <w:color w:val="1F2937"/>
          <w:sz w:val="20"/>
        </w:rPr>
        <w:t>26. Which follow-up is MOST clinically useful?</w:t>
      </w:r>
    </w:p>
    <w:p>
      <w:pPr>
        <w:spacing w:after="10"/>
        <w:ind w:left="230" w:hanging="187"/>
      </w:pPr>
      <w:r>
        <w:rPr>
          <w:rFonts w:ascii="Noto Sans" w:hAnsi="Noto Sans"/>
          <w:sz w:val="19"/>
        </w:rPr>
        <w:t>A. Repeat a full diagnostic intake before discussing functioning so any recurrence can be distinguished from a new anxiety, mood, or spiritual concern.</w:t>
      </w:r>
    </w:p>
    <w:p>
      <w:pPr>
        <w:spacing w:after="10"/>
        <w:ind w:left="230" w:hanging="187"/>
      </w:pPr>
      <w:r>
        <w:rPr>
          <w:rFonts w:ascii="Noto Sans" w:hAnsi="Noto Sans"/>
          <w:sz w:val="19"/>
        </w:rPr>
        <w:t>B. Review ritual and reassurance drift, school and worship functioning, independent ERP use, current stressors, and whether booster or renewed care is needed.</w:t>
      </w:r>
    </w:p>
    <w:p>
      <w:pPr>
        <w:spacing w:after="10"/>
        <w:ind w:left="230" w:hanging="187"/>
      </w:pPr>
      <w:r>
        <w:rPr>
          <w:rFonts w:ascii="Noto Sans" w:hAnsi="Noto Sans"/>
          <w:sz w:val="19"/>
        </w:rPr>
        <w:t>C. Determine whether Omar has remained symptom-free since discharge before discussing current stressors, because residual symptoms would indicate incomplete termination.</w:t>
      </w:r>
    </w:p>
    <w:p>
      <w:pPr>
        <w:spacing w:after="10"/>
        <w:ind w:left="230" w:hanging="187"/>
      </w:pPr>
      <w:r>
        <w:rPr>
          <w:rFonts w:ascii="Noto Sans" w:hAnsi="Noto Sans"/>
          <w:sz w:val="19"/>
        </w:rPr>
        <w:t>D. Obtain collateral reports from family and the faith leader before reviewing Omar's own experience so maintenance can be verified across settings.</w:t>
      </w:r>
    </w:p>
    <w:p>
      <w:pPr>
        <w:spacing w:after="40"/>
      </w:pPr>
      <w:r>
        <w:rPr>
          <w:rFonts w:ascii="Noto Sans" w:hAnsi="Noto Sans"/>
          <w:color w:val="6B7280"/>
          <w:sz w:val="17"/>
        </w:rPr>
        <w:t>Answer: ________     Confidence:  1  2  3  4  5</w:t>
      </w:r>
    </w:p>
    <w:p>
      <w:r>
        <w:br w:type="page"/>
      </w:r>
    </w:p>
    <w:p>
      <w:pPr>
        <w:pStyle w:val="Heading1"/>
      </w:pPr>
      <w:r>
        <w:t>CASE 3: Caleb J.</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Caleb is a 10-year-old fifth-grade student. During the past seven weeks, he has increasingly complained of stomachaches on school mornings, cried or delayed when it is time to leave home, missed two to three school days each week, left assignments incomplete, and requested frequent visits to the school nurse.</w:t>
            </w:r>
          </w:p>
          <w:p>
            <w:pPr>
              <w:spacing w:after="60"/>
            </w:pPr>
            <w:r>
              <w:rPr>
                <w:rFonts w:ascii="Noto Sans" w:hAnsi="Noto Sans"/>
                <w:sz w:val="19"/>
              </w:rPr>
              <w:t>A pediatric evaluation found no acute medical explanation. The pediatric clinician recommended routine follow-up and reassessment if Caleb develops new symptoms or other medical warning signs.</w:t>
            </w:r>
          </w:p>
          <w:p>
            <w:pPr>
              <w:spacing w:after="60"/>
            </w:pPr>
            <w:r>
              <w:rPr>
                <w:rFonts w:ascii="Noto Sans" w:hAnsi="Noto Sans"/>
                <w:sz w:val="19"/>
              </w:rPr>
              <w:t>Caleb says he is afraid he will feel nauseated, vomit in class, and be laughed at by other students. His mother reports that Caleb has been distractible, disorganized, and prone to losing materials since early elementary school. His father notes that Caleb can concentrate for long periods on preferred activities and believes inconsistent discipline contributes to the problem.</w:t>
            </w:r>
          </w:p>
          <w:p>
            <w:pPr>
              <w:spacing w:after="60"/>
            </w:pPr>
            <w:r>
              <w:rPr>
                <w:rFonts w:ascii="Noto Sans" w:hAnsi="Noto Sans"/>
                <w:sz w:val="19"/>
              </w:rPr>
              <w:t>Caleb’s parents are separated. Both have authority to participate in treatment decisions and receive the general progress information described in the counseling agreement. Their communication is conflictual, and they sometimes use Caleb to relay messages. They disagree about whether the primary problem is anxiety or insufficient discipline.</w:t>
            </w:r>
          </w:p>
          <w:p>
            <w:pPr>
              <w:spacing w:after="60"/>
            </w:pPr>
            <w:r>
              <w:rPr>
                <w:rFonts w:ascii="Noto Sans" w:hAnsi="Noto Sans"/>
                <w:sz w:val="19"/>
              </w:rPr>
              <w:t>Caleb asks the counselor, “Are you going to tell them everything I say? Are you going to send it to my school?”</w:t>
            </w:r>
          </w:p>
        </w:tc>
      </w:tr>
    </w:tbl>
    <w:p>
      <w:pPr>
        <w:keepNext/>
        <w:spacing w:before="120" w:after="40"/>
      </w:pPr>
      <w:r>
        <w:rPr>
          <w:rFonts w:ascii="Noto Sans" w:hAnsi="Noto Sans"/>
          <w:b/>
          <w:color w:val="1F2937"/>
          <w:sz w:val="20"/>
        </w:rPr>
        <w:t>27. Which assessment approach would provide the strongest foundation for the initial formulation?</w:t>
      </w:r>
    </w:p>
    <w:p>
      <w:pPr>
        <w:spacing w:after="10"/>
        <w:ind w:left="230" w:hanging="187"/>
      </w:pPr>
      <w:r>
        <w:rPr>
          <w:rFonts w:ascii="Noto Sans" w:hAnsi="Noto Sans"/>
          <w:sz w:val="19"/>
        </w:rPr>
        <w:t>A. Interview Caleb about nausea and school fears, then use his account as the primary basis for the initial formulation.</w:t>
      </w:r>
    </w:p>
    <w:p>
      <w:pPr>
        <w:spacing w:after="10"/>
        <w:ind w:left="230" w:hanging="187"/>
      </w:pPr>
      <w:r>
        <w:rPr>
          <w:rFonts w:ascii="Noto Sans" w:hAnsi="Noto Sans"/>
          <w:sz w:val="19"/>
        </w:rPr>
        <w:t>B. Review teacher reports and school records first, then use caregiver interviews mainly to confirm the school-based pattern.</w:t>
      </w:r>
    </w:p>
    <w:p>
      <w:pPr>
        <w:spacing w:after="10"/>
        <w:ind w:left="230" w:hanging="187"/>
      </w:pPr>
      <w:r>
        <w:rPr>
          <w:rFonts w:ascii="Noto Sans" w:hAnsi="Noto Sans"/>
          <w:sz w:val="19"/>
        </w:rPr>
        <w:t>C. Build a developmental timeline using Caleb, both caregivers, school staff, pediatric records, sleep, symptoms, settings, and functioning.</w:t>
      </w:r>
    </w:p>
    <w:p>
      <w:pPr>
        <w:spacing w:after="10"/>
        <w:ind w:left="230" w:hanging="187"/>
      </w:pPr>
      <w:r>
        <w:rPr>
          <w:rFonts w:ascii="Noto Sans" w:hAnsi="Noto Sans"/>
          <w:sz w:val="19"/>
        </w:rPr>
        <w:t>D. Administer broad behavior scales to each informant, then focus the clinical interview on whichever domain receives the highest scores.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28. Which explanation of counseling roles is most appropriate under the facts provided?</w:t>
      </w:r>
    </w:p>
    <w:p>
      <w:pPr>
        <w:spacing w:after="10"/>
        <w:ind w:left="230" w:hanging="187"/>
      </w:pPr>
      <w:r>
        <w:rPr>
          <w:rFonts w:ascii="Noto Sans" w:hAnsi="Noto Sans"/>
          <w:sz w:val="19"/>
        </w:rPr>
        <w:t>A. Define Caleb and both caregivers as joint clients, making treatment decisions and session information equally accessible to all three.</w:t>
      </w:r>
    </w:p>
    <w:p>
      <w:pPr>
        <w:spacing w:after="10"/>
        <w:ind w:left="230" w:hanging="187"/>
      </w:pPr>
      <w:r>
        <w:rPr>
          <w:rFonts w:ascii="Noto Sans" w:hAnsi="Noto Sans"/>
          <w:sz w:val="19"/>
        </w:rPr>
        <w:t>B. Define Caleb as the client, seek his assent, clarify caregiver roles and updates, and set boundaries for school communication.</w:t>
      </w:r>
    </w:p>
    <w:p>
      <w:pPr>
        <w:spacing w:after="10"/>
        <w:ind w:left="230" w:hanging="187"/>
      </w:pPr>
      <w:r>
        <w:rPr>
          <w:rFonts w:ascii="Noto Sans" w:hAnsi="Noto Sans"/>
          <w:sz w:val="19"/>
        </w:rPr>
        <w:t>C. Define the caregivers as collateral supports, sharing goals and progress while reserving all session content for Caleb.</w:t>
      </w:r>
    </w:p>
    <w:p>
      <w:pPr>
        <w:spacing w:after="10"/>
        <w:ind w:left="230" w:hanging="187"/>
      </w:pPr>
      <w:r>
        <w:rPr>
          <w:rFonts w:ascii="Noto Sans" w:hAnsi="Noto Sans"/>
          <w:sz w:val="19"/>
        </w:rPr>
        <w:t>D. Let the caregivers negotiate information access first, then document their agreement as the confidentiality plan governing treatment.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29. Which approach BEST supports a culturally responsive understanding of the family's disagreement about Caleb's difficulties?</w:t>
      </w:r>
    </w:p>
    <w:p>
      <w:pPr>
        <w:spacing w:after="10"/>
        <w:ind w:left="230" w:hanging="187"/>
      </w:pPr>
      <w:r>
        <w:rPr>
          <w:rFonts w:ascii="Noto Sans" w:hAnsi="Noto Sans"/>
          <w:sz w:val="19"/>
        </w:rPr>
        <w:t>A. Explore Caleb's perspective first and ask the caregivers to explain their differences after the initial formulation so early assessment remains less conflictual.</w:t>
      </w:r>
    </w:p>
    <w:p>
      <w:pPr>
        <w:spacing w:after="10"/>
        <w:ind w:left="230" w:hanging="187"/>
      </w:pPr>
      <w:r>
        <w:rPr>
          <w:rFonts w:ascii="Noto Sans" w:hAnsi="Noto Sans"/>
          <w:sz w:val="19"/>
        </w:rPr>
        <w:t>B. Ask each caregiver how family values, school experiences, discipline, disability, and help-seeking shape their view, then identify shared goals before discussing disagreements.</w:t>
      </w:r>
    </w:p>
    <w:p>
      <w:pPr>
        <w:spacing w:after="10"/>
        <w:ind w:left="230" w:hanging="187"/>
      </w:pPr>
      <w:r>
        <w:rPr>
          <w:rFonts w:ascii="Noto Sans" w:hAnsi="Noto Sans"/>
          <w:sz w:val="19"/>
        </w:rPr>
        <w:t>C. Invite Caleb and each caregiver to describe how family experience, school expectations, discipline, disability, and help-seeking shape their perspectives without requiring agreement.</w:t>
      </w:r>
    </w:p>
    <w:p>
      <w:pPr>
        <w:spacing w:after="10"/>
        <w:ind w:left="230" w:hanging="187"/>
      </w:pPr>
      <w:r>
        <w:rPr>
          <w:rFonts w:ascii="Noto Sans" w:hAnsi="Noto Sans"/>
          <w:sz w:val="19"/>
        </w:rPr>
        <w:t>D. Explore structural school factors and prior experiences with institutions before asking about family meanings because systems may be shaping the disagreement most strongly.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30. Which assessment strategy would best support the differential diagnosis?</w:t>
      </w:r>
    </w:p>
    <w:p>
      <w:pPr>
        <w:spacing w:after="10"/>
        <w:ind w:left="230" w:hanging="187"/>
      </w:pPr>
      <w:r>
        <w:rPr>
          <w:rFonts w:ascii="Noto Sans" w:hAnsi="Noto Sans"/>
          <w:sz w:val="19"/>
        </w:rPr>
        <w:t>A. Use one broad child-behavior scale with both caregivers, interpreting score differences as evidence about which account is more accurate.</w:t>
      </w:r>
    </w:p>
    <w:p>
      <w:pPr>
        <w:spacing w:after="10"/>
        <w:ind w:left="230" w:hanging="187"/>
      </w:pPr>
      <w:r>
        <w:rPr>
          <w:rFonts w:ascii="Noto Sans" w:hAnsi="Noto Sans"/>
          <w:sz w:val="19"/>
        </w:rPr>
        <w:t>B. Use child anxiety and somatic scales, allowing Caleb’s report to control the formulation when caregiver accounts remain inconsistent.</w:t>
      </w:r>
    </w:p>
    <w:p>
      <w:pPr>
        <w:spacing w:after="10"/>
        <w:ind w:left="230" w:hanging="187"/>
      </w:pPr>
      <w:r>
        <w:rPr>
          <w:rFonts w:ascii="Noto Sans" w:hAnsi="Noto Sans"/>
          <w:sz w:val="19"/>
        </w:rPr>
        <w:t>C. Use caregiver and teacher attention scales, treating cross-setting agreement as sufficient evidence that ADHD explains the school problems.</w:t>
      </w:r>
    </w:p>
    <w:p>
      <w:pPr>
        <w:spacing w:after="10"/>
        <w:ind w:left="230" w:hanging="187"/>
      </w:pPr>
      <w:r>
        <w:rPr>
          <w:rFonts w:ascii="Noto Sans" w:hAnsi="Noto Sans"/>
          <w:sz w:val="19"/>
        </w:rPr>
        <w:t>D. Combine child and caregiver anxiety reports, caregiver and teacher attention ratings, school records, and interviews interpreted with functional data.</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Separate interviews, school records, and rating scales provide additional information.</w:t>
            </w:r>
          </w:p>
          <w:p>
            <w:pPr>
              <w:spacing w:after="60"/>
            </w:pPr>
            <w:r>
              <w:rPr>
                <w:rFonts w:ascii="Noto Sans" w:hAnsi="Noto Sans"/>
                <w:sz w:val="19"/>
              </w:rPr>
              <w:t>Caleb reports that he has feared vomiting for more than a year, but the fear did not substantially interfere with school until a classmate vomited in class two months ago. Since then, Caleb has become increasingly afraid that he will feel nauseated, vomit in front of classmates, and be laughed at.</w:t>
            </w:r>
          </w:p>
          <w:p>
            <w:pPr>
              <w:spacing w:after="60"/>
            </w:pPr>
            <w:r>
              <w:rPr>
                <w:rFonts w:ascii="Noto Sans" w:hAnsi="Noto Sans"/>
                <w:sz w:val="19"/>
              </w:rPr>
              <w:t>Caleb does not report a broad fear of talking with peers, answering questions, eating in public, or being observed in other situations. He does not fear separating from either caregiver once he is at activities he enjoys. Screening reveals no reported bullying, trauma exposure, depressive syndrome, abuse, self-harm thoughts, or psychotic symptoms.</w:t>
            </w:r>
          </w:p>
          <w:p>
            <w:pPr>
              <w:spacing w:after="60"/>
            </w:pPr>
            <w:r>
              <w:rPr>
                <w:rFonts w:ascii="Noto Sans" w:hAnsi="Noto Sans"/>
                <w:sz w:val="19"/>
              </w:rPr>
              <w:t>School records document forgetfulness, lost materials, incomplete work, delayed task initiation, and repeated need for redirection beginning in second grade—before the recent escalation in school avoidance. Similar organizational problems occur at both caregivers’ homes. Caregiver and teacher attention-rating scales show elevated inattentive symptoms. Child and caregiver anxiety measures show elevated fear related to vomiting and school attendance.</w:t>
            </w:r>
          </w:p>
          <w:p>
            <w:pPr>
              <w:spacing w:after="60"/>
            </w:pPr>
            <w:r>
              <w:rPr>
                <w:rFonts w:ascii="Noto Sans" w:hAnsi="Noto Sans"/>
                <w:sz w:val="19"/>
              </w:rPr>
              <w:t>Caleb usually sleeps approximately seven hours, uses a tablet in bed, and stays up substantially later on weekends. His reading fluency is below the expected classroom range, but no formal learning evaluation has been completed.</w:t>
            </w:r>
          </w:p>
          <w:p>
            <w:pPr>
              <w:spacing w:after="60"/>
            </w:pPr>
            <w:r>
              <w:rPr>
                <w:rFonts w:ascii="Noto Sans" w:hAnsi="Noto Sans"/>
                <w:sz w:val="19"/>
              </w:rPr>
              <w:t>Caleb participates more fully when allowed to draw. He draws his stomach as a volcano and says the worst parts are “throwing up where everybody can see” and “Mom and Dad fighting about me.”</w:t>
            </w:r>
          </w:p>
          <w:p>
            <w:pPr>
              <w:spacing w:after="60"/>
            </w:pPr>
            <w:r>
              <w:rPr>
                <w:rFonts w:ascii="Noto Sans" w:hAnsi="Noto Sans"/>
                <w:sz w:val="19"/>
              </w:rPr>
              <w:t>When Caleb feels nauseated, he checks his body repeatedly and asks whether he is about to vomit. At school, he requests the nurse. At home, one caregiver repeatedly reassures him and sometimes allows him to remain home after continued complaints. The other caregiver insists that he attend and adds consequences when he resists. Nurse visits, pickup, or permission to remain home reduce Caleb’s distress immediately, but his fear is often stronger the following morning.</w:t>
            </w:r>
          </w:p>
          <w:p>
            <w:pPr>
              <w:spacing w:after="60"/>
            </w:pPr>
            <w:r>
              <w:rPr>
                <w:rFonts w:ascii="Noto Sans" w:hAnsi="Noto Sans"/>
                <w:sz w:val="19"/>
              </w:rPr>
              <w:t>Both caregivers agree to participate in counseling and school coordination.</w:t>
            </w:r>
          </w:p>
        </w:tc>
      </w:tr>
    </w:tbl>
    <w:p>
      <w:pPr>
        <w:keepNext/>
        <w:spacing w:before="120" w:after="40"/>
      </w:pPr>
      <w:r>
        <w:rPr>
          <w:rFonts w:ascii="Noto Sans" w:hAnsi="Noto Sans"/>
          <w:b/>
          <w:color w:val="1F2937"/>
          <w:sz w:val="20"/>
        </w:rPr>
        <w:t>31. Which provisional formulation best accounts for the available evidence?</w:t>
      </w:r>
    </w:p>
    <w:p>
      <w:pPr>
        <w:spacing w:after="10"/>
        <w:ind w:left="230" w:hanging="187"/>
      </w:pPr>
      <w:r>
        <w:rPr>
          <w:rFonts w:ascii="Noto Sans" w:hAnsi="Noto Sans"/>
          <w:sz w:val="19"/>
        </w:rPr>
        <w:t>A. Specific phobia, other type, focused on vomiting and driving school avoidance, with provisional ADHD requiring continued assessment.</w:t>
      </w:r>
    </w:p>
    <w:p>
      <w:pPr>
        <w:spacing w:after="10"/>
        <w:ind w:left="230" w:hanging="187"/>
      </w:pPr>
      <w:r>
        <w:rPr>
          <w:rFonts w:ascii="Noto Sans" w:hAnsi="Noto Sans"/>
          <w:sz w:val="19"/>
        </w:rPr>
        <w:t>B. Social anxiety disorder centered on public embarrassment, with a separate attention disorder still requiring longitudinal assessment.</w:t>
      </w:r>
    </w:p>
    <w:p>
      <w:pPr>
        <w:spacing w:after="10"/>
        <w:ind w:left="230" w:hanging="187"/>
      </w:pPr>
      <w:r>
        <w:rPr>
          <w:rFonts w:ascii="Noto Sans" w:hAnsi="Noto Sans"/>
          <w:sz w:val="19"/>
        </w:rPr>
        <w:t>C. Separation anxiety disorder with school refusal, while inattention is likely amplified by sleep loss and conflict between caregivers.</w:t>
      </w:r>
    </w:p>
    <w:p>
      <w:pPr>
        <w:spacing w:after="10"/>
        <w:ind w:left="230" w:hanging="187"/>
      </w:pPr>
      <w:r>
        <w:rPr>
          <w:rFonts w:ascii="Noto Sans" w:hAnsi="Noto Sans"/>
          <w:sz w:val="19"/>
        </w:rPr>
        <w:t>D. Somatic symptom disorder centered on nausea, with attention problems likely resulting from repeated symptom monitoring and missed instruction.</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32. Which initial intervention is best aligned with Caleb’s developmental level and current formulation?</w:t>
      </w:r>
    </w:p>
    <w:p>
      <w:pPr>
        <w:spacing w:after="10"/>
        <w:ind w:left="230" w:hanging="187"/>
      </w:pPr>
      <w:r>
        <w:rPr>
          <w:rFonts w:ascii="Noto Sans" w:hAnsi="Noto Sans"/>
          <w:sz w:val="19"/>
        </w:rPr>
        <w:t>A. Use verbal cognitive restructuring with drawings, asking Caleb to challenge nausea predictions before beginning any school-based practice.</w:t>
      </w:r>
    </w:p>
    <w:p>
      <w:pPr>
        <w:spacing w:after="10"/>
        <w:ind w:left="230" w:hanging="187"/>
      </w:pPr>
      <w:r>
        <w:rPr>
          <w:rFonts w:ascii="Noto Sans" w:hAnsi="Noto Sans"/>
          <w:sz w:val="19"/>
        </w:rPr>
        <w:t>B. Create a visual fear ladder, rehearse brief coping skills, and coordinate graded attendance with caregivers and school staff.</w:t>
      </w:r>
    </w:p>
    <w:p>
      <w:pPr>
        <w:spacing w:after="10"/>
        <w:ind w:left="230" w:hanging="187"/>
      </w:pPr>
      <w:r>
        <w:rPr>
          <w:rFonts w:ascii="Noto Sans" w:hAnsi="Noto Sans"/>
          <w:sz w:val="19"/>
        </w:rPr>
        <w:t>C. Stabilize sleep and classroom attention supports first, postponing graded school practice until nausea and anticipatory fear decrease.</w:t>
      </w:r>
    </w:p>
    <w:p>
      <w:pPr>
        <w:spacing w:after="10"/>
        <w:ind w:left="230" w:hanging="187"/>
      </w:pPr>
      <w:r>
        <w:rPr>
          <w:rFonts w:ascii="Noto Sans" w:hAnsi="Noto Sans"/>
          <w:sz w:val="19"/>
        </w:rPr>
        <w:t>D. Begin full-day attendance with a reward plan, adding coping rehearsal only if distress remains high after several school days.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33. Caleb points to the volcano in his drawing and says, “This is what happens when everybody starts arguing.” Which response best uses listening and reflection?</w:t>
      </w:r>
    </w:p>
    <w:p>
      <w:pPr>
        <w:spacing w:after="10"/>
        <w:ind w:left="230" w:hanging="187"/>
      </w:pPr>
      <w:r>
        <w:rPr>
          <w:rFonts w:ascii="Noto Sans" w:hAnsi="Noto Sans"/>
          <w:sz w:val="19"/>
        </w:rPr>
        <w:t>A. Your parents’ disagreement is adding pressure; let’s decide which explanation best matches what happens before school.</w:t>
      </w:r>
    </w:p>
    <w:p>
      <w:pPr>
        <w:spacing w:after="10"/>
        <w:ind w:left="230" w:hanging="187"/>
      </w:pPr>
      <w:r>
        <w:rPr>
          <w:rFonts w:ascii="Noto Sans" w:hAnsi="Noto Sans"/>
          <w:sz w:val="19"/>
        </w:rPr>
        <w:t>B. The nausea feels real, and you fear classmates’ reactions and your parents’ conflict. Show me where it begins.</w:t>
      </w:r>
    </w:p>
    <w:p>
      <w:pPr>
        <w:spacing w:after="10"/>
        <w:ind w:left="230" w:hanging="187"/>
      </w:pPr>
      <w:r>
        <w:rPr>
          <w:rFonts w:ascii="Noto Sans" w:hAnsi="Noto Sans"/>
          <w:sz w:val="19"/>
        </w:rPr>
        <w:t>C. The medical visit found no illness, so let’s use your drawing to identify evidence that school is safe.</w:t>
      </w:r>
    </w:p>
    <w:p>
      <w:pPr>
        <w:spacing w:after="10"/>
        <w:ind w:left="230" w:hanging="187"/>
      </w:pPr>
      <w:r>
        <w:rPr>
          <w:rFonts w:ascii="Noto Sans" w:hAnsi="Noto Sans"/>
          <w:sz w:val="19"/>
        </w:rPr>
        <w:t>D. You want help with the nausea, but nurse visits may keep the fear going. Let’s plan a different response.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34. Which explanation best describes the current family-school interactional pattern?</w:t>
      </w:r>
    </w:p>
    <w:p>
      <w:pPr>
        <w:spacing w:after="10"/>
        <w:ind w:left="230" w:hanging="187"/>
      </w:pPr>
      <w:r>
        <w:rPr>
          <w:rFonts w:ascii="Noto Sans" w:hAnsi="Noto Sans"/>
          <w:sz w:val="19"/>
        </w:rPr>
        <w:t>A. Nurse visits provide graded contact with school, so they should remain freely available while Caleb’s attendance improves.</w:t>
      </w:r>
    </w:p>
    <w:p>
      <w:pPr>
        <w:spacing w:after="10"/>
        <w:ind w:left="230" w:hanging="187"/>
      </w:pPr>
      <w:r>
        <w:rPr>
          <w:rFonts w:ascii="Noto Sans" w:hAnsi="Noto Sans"/>
          <w:sz w:val="19"/>
        </w:rPr>
        <w:t>B. Caregiver conflict heightens Caleb’s distress, so improving coparenting should precede direct work with school avoidance and nausea.</w:t>
      </w:r>
    </w:p>
    <w:p>
      <w:pPr>
        <w:spacing w:after="10"/>
        <w:ind w:left="230" w:hanging="187"/>
      </w:pPr>
      <w:r>
        <w:rPr>
          <w:rFonts w:ascii="Noto Sans" w:hAnsi="Noto Sans"/>
          <w:sz w:val="19"/>
        </w:rPr>
        <w:t>C. Nausea prompts checking, reassurance, nurse visits, or pickup; immediate relief may strengthen future escape while the symptoms remain genuine.</w:t>
      </w:r>
    </w:p>
    <w:p>
      <w:pPr>
        <w:spacing w:after="10"/>
        <w:ind w:left="230" w:hanging="187"/>
      </w:pPr>
      <w:r>
        <w:rPr>
          <w:rFonts w:ascii="Noto Sans" w:hAnsi="Noto Sans"/>
          <w:sz w:val="19"/>
        </w:rPr>
        <w:t>D. Morning reassurance lowers arousal, so caregivers should continue it consistently until Caleb can use coping skills independently at school.</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During the next seven weeks, Caleb and the counselor develop a visual fear ladder and practice brief coping responses. The caregivers and school implement a graded attendance plan, a consistent morning routine, a tablet cutoff, a classroom visual checklist, a brief arrival check-in, and a structured nurse protocol that includes criteria for medical reassessment.</w:t>
            </w:r>
          </w:p>
          <w:p>
            <w:pPr>
              <w:spacing w:after="60"/>
            </w:pPr>
            <w:r>
              <w:rPr>
                <w:rFonts w:ascii="Noto Sans" w:hAnsi="Noto Sans"/>
                <w:sz w:val="19"/>
              </w:rPr>
              <w:t>Caleb’s attendance improves from approximately two days per week to four days per week. The time required to enter school decreases from about 60 minutes to 15 minutes. Nurse visits decrease from approximately four per week to one per week, and his anxiety score decreases.</w:t>
            </w:r>
          </w:p>
          <w:p>
            <w:pPr>
              <w:spacing w:after="60"/>
            </w:pPr>
            <w:r>
              <w:rPr>
                <w:rFonts w:ascii="Noto Sans" w:hAnsi="Noto Sans"/>
                <w:sz w:val="19"/>
              </w:rPr>
              <w:t>No new medical or safety concerns emerge. Caleb now sleeps approximately nine and a half hours on most school nights.</w:t>
            </w:r>
          </w:p>
          <w:p>
            <w:pPr>
              <w:spacing w:after="60"/>
            </w:pPr>
            <w:r>
              <w:rPr>
                <w:rFonts w:ascii="Noto Sans" w:hAnsi="Noto Sans"/>
                <w:sz w:val="19"/>
              </w:rPr>
              <w:t>The remaining absences cluster on mornings when repeated reassurance ends with permission to remain home. Caleb’s assignment completion, teacher-rated inattention, and caregiver-rated organizational problems remain impaired. Reading fluency also remains below the expected range.</w:t>
            </w:r>
          </w:p>
          <w:p>
            <w:pPr>
              <w:spacing w:after="60"/>
            </w:pPr>
            <w:r>
              <w:rPr>
                <w:rFonts w:ascii="Noto Sans" w:hAnsi="Noto Sans"/>
                <w:sz w:val="19"/>
              </w:rPr>
              <w:t>The caregivers continue to disagree about how to respond to morning nausea.</w:t>
            </w:r>
          </w:p>
          <w:p>
            <w:pPr>
              <w:spacing w:after="60"/>
            </w:pPr>
            <w:r>
              <w:rPr>
                <w:rFonts w:ascii="Noto Sans" w:hAnsi="Noto Sans"/>
                <w:sz w:val="19"/>
              </w:rPr>
              <w:t>The school requests Caleb’s full counseling record to help plan classroom supports. The current authorization permits communication for attendance and school-support coordination. Caleb and both caregivers agree that the counselor may share functional information and recommendations. Caleb asks that his drawings and detailed statements about family conflict not be provided to the school.</w:t>
            </w:r>
          </w:p>
        </w:tc>
      </w:tr>
    </w:tbl>
    <w:p>
      <w:pPr>
        <w:keepNext/>
        <w:spacing w:before="120" w:after="40"/>
      </w:pPr>
      <w:r>
        <w:rPr>
          <w:rFonts w:ascii="Noto Sans" w:hAnsi="Noto Sans"/>
          <w:b/>
          <w:color w:val="1F2937"/>
          <w:sz w:val="20"/>
        </w:rPr>
        <w:t>35. Which factor currently presents the clearest barrier to Caleb’s attendance goal?</w:t>
      </w:r>
    </w:p>
    <w:p>
      <w:pPr>
        <w:spacing w:after="10"/>
        <w:ind w:left="230" w:hanging="187"/>
      </w:pPr>
      <w:r>
        <w:rPr>
          <w:rFonts w:ascii="Noto Sans" w:hAnsi="Noto Sans"/>
          <w:sz w:val="19"/>
        </w:rPr>
        <w:t>A. Inconsistent caregiver responses, because absences cluster on mornings when reassurance ends with permission to remain home.</w:t>
      </w:r>
    </w:p>
    <w:p>
      <w:pPr>
        <w:spacing w:after="10"/>
        <w:ind w:left="230" w:hanging="187"/>
      </w:pPr>
      <w:r>
        <w:rPr>
          <w:rFonts w:ascii="Noto Sans" w:hAnsi="Noto Sans"/>
          <w:sz w:val="19"/>
        </w:rPr>
        <w:t>B. Academic backlog, because unfinished assignments make remaining at school more difficult than completing work at home.</w:t>
      </w:r>
    </w:p>
    <w:p>
      <w:pPr>
        <w:spacing w:after="10"/>
        <w:ind w:left="230" w:hanging="187"/>
      </w:pPr>
      <w:r>
        <w:rPr>
          <w:rFonts w:ascii="Noto Sans" w:hAnsi="Noto Sans"/>
          <w:sz w:val="19"/>
        </w:rPr>
        <w:t>C. Residual sleep inconsistency, because his weekend bedtime remains later than the routine used on school nights.</w:t>
      </w:r>
    </w:p>
    <w:p>
      <w:pPr>
        <w:spacing w:after="10"/>
        <w:ind w:left="230" w:hanging="187"/>
      </w:pPr>
      <w:r>
        <w:rPr>
          <w:rFonts w:ascii="Noto Sans" w:hAnsi="Noto Sans"/>
          <w:sz w:val="19"/>
        </w:rPr>
        <w:t>D. Residual fear of vomiting, because Caleb still reports nausea on most mornings despite lower anxiety scores.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36. Which conclusion BEST describes Caleb's current level of mental health functioning?</w:t>
      </w:r>
    </w:p>
    <w:p>
      <w:pPr>
        <w:spacing w:after="10"/>
        <w:ind w:left="230" w:hanging="187"/>
      </w:pPr>
      <w:r>
        <w:rPr>
          <w:rFonts w:ascii="Noto Sans" w:hAnsi="Noto Sans"/>
          <w:sz w:val="19"/>
        </w:rPr>
        <w:t>A. Caleb's functioning is now broadly age-appropriate because attendance and sleep improved; remaining academic problems are most likely consequences of missed instruction.</w:t>
      </w:r>
    </w:p>
    <w:p>
      <w:pPr>
        <w:spacing w:after="10"/>
        <w:ind w:left="230" w:hanging="187"/>
      </w:pPr>
      <w:r>
        <w:rPr>
          <w:rFonts w:ascii="Noto Sans" w:hAnsi="Noto Sans"/>
          <w:sz w:val="19"/>
        </w:rPr>
        <w:t>B. Anxiety remains the primary functional impairment because Caleb still reports nausea and occasionally remains home despite improved attendance and nurse use.</w:t>
      </w:r>
    </w:p>
    <w:p>
      <w:pPr>
        <w:spacing w:after="10"/>
        <w:ind w:left="230" w:hanging="187"/>
      </w:pPr>
      <w:r>
        <w:rPr>
          <w:rFonts w:ascii="Noto Sans" w:hAnsi="Noto Sans"/>
          <w:sz w:val="19"/>
        </w:rPr>
        <w:t>C. Anxiety-related school functioning has improved substantially, while cross-setting attention, organization, and academic impairment remain clinically significant and require further assessment.</w:t>
      </w:r>
    </w:p>
    <w:p>
      <w:pPr>
        <w:spacing w:after="10"/>
        <w:ind w:left="230" w:hanging="187"/>
      </w:pPr>
      <w:r>
        <w:rPr>
          <w:rFonts w:ascii="Noto Sans" w:hAnsi="Noto Sans"/>
          <w:sz w:val="19"/>
        </w:rPr>
        <w:t>D. Current functioning cannot be interpreted reliably until the ADHD and learning evaluations are completed because anxiety and academic problems still overlap.</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37. How should the counselor respond to the school’s request for Caleb’s full counseling record?</w:t>
      </w:r>
    </w:p>
    <w:p>
      <w:pPr>
        <w:spacing w:after="10"/>
        <w:ind w:left="230" w:hanging="187"/>
      </w:pPr>
      <w:r>
        <w:rPr>
          <w:rFonts w:ascii="Noto Sans" w:hAnsi="Noto Sans"/>
          <w:sz w:val="19"/>
        </w:rPr>
        <w:t>A. Provide diagnosis, scores, and progress notes, but withhold Caleb’s drawings and statements about caregiver conflict.</w:t>
      </w:r>
    </w:p>
    <w:p>
      <w:pPr>
        <w:spacing w:after="10"/>
        <w:ind w:left="230" w:hanging="187"/>
      </w:pPr>
      <w:r>
        <w:rPr>
          <w:rFonts w:ascii="Noto Sans" w:hAnsi="Noto Sans"/>
          <w:sz w:val="19"/>
        </w:rPr>
        <w:t>B. Release the full record under the signed authorization, allowing school staff to determine which clinical details affect accommodations.</w:t>
      </w:r>
    </w:p>
    <w:p>
      <w:pPr>
        <w:spacing w:after="10"/>
        <w:ind w:left="230" w:hanging="187"/>
      </w:pPr>
      <w:r>
        <w:rPr>
          <w:rFonts w:ascii="Noto Sans" w:hAnsi="Noto Sans"/>
          <w:sz w:val="19"/>
        </w:rPr>
        <w:t>C. Decline direct communication to protect Caleb’s privacy, while asking the caregivers to convey the treatment recommendations.</w:t>
      </w:r>
    </w:p>
    <w:p>
      <w:pPr>
        <w:spacing w:after="10"/>
        <w:ind w:left="230" w:hanging="187"/>
      </w:pPr>
      <w:r>
        <w:rPr>
          <w:rFonts w:ascii="Noto Sans" w:hAnsi="Noto Sans"/>
          <w:sz w:val="19"/>
        </w:rPr>
        <w:t>D. Review the school’s purpose and authorization, involve Caleb, then send a focused summary of functioning and needed supports.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38. Which conflict-resolution plan best supports consistent implementation across households?</w:t>
      </w:r>
    </w:p>
    <w:p>
      <w:pPr>
        <w:spacing w:after="10"/>
        <w:ind w:left="230" w:hanging="187"/>
      </w:pPr>
      <w:r>
        <w:rPr>
          <w:rFonts w:ascii="Noto Sans" w:hAnsi="Noto Sans"/>
          <w:sz w:val="19"/>
        </w:rPr>
        <w:t>A. Set a shared attendance goal, agree on one nausea response and medical thresholds, and use an adult-only communication plan.</w:t>
      </w:r>
    </w:p>
    <w:p>
      <w:pPr>
        <w:spacing w:after="10"/>
        <w:ind w:left="230" w:hanging="187"/>
      </w:pPr>
      <w:r>
        <w:rPr>
          <w:rFonts w:ascii="Noto Sans" w:hAnsi="Noto Sans"/>
          <w:sz w:val="19"/>
        </w:rPr>
        <w:t>B. Ask each caregiver to defend the preferred explanation, then negotiate a shared account before revising the agreed morning plan.</w:t>
      </w:r>
    </w:p>
    <w:p>
      <w:pPr>
        <w:spacing w:after="10"/>
        <w:ind w:left="230" w:hanging="187"/>
      </w:pPr>
      <w:r>
        <w:rPr>
          <w:rFonts w:ascii="Noto Sans" w:hAnsi="Noto Sans"/>
          <w:sz w:val="19"/>
        </w:rPr>
        <w:t>C. Assign one caregiver medical decisions and the other attendance decisions, with Caleb carrying updates between households.</w:t>
      </w:r>
    </w:p>
    <w:p>
      <w:pPr>
        <w:spacing w:after="10"/>
        <w:ind w:left="230" w:hanging="187"/>
      </w:pPr>
      <w:r>
        <w:rPr>
          <w:rFonts w:ascii="Noto Sans" w:hAnsi="Noto Sans"/>
          <w:sz w:val="19"/>
        </w:rPr>
        <w:t>D. Develop separate morning plans for each household, then compare which approach produces better attendance over two weeks.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39. How should the counselor interpret Caleb’s persistent attention and academic difficulties?</w:t>
      </w:r>
    </w:p>
    <w:p>
      <w:pPr>
        <w:spacing w:after="10"/>
        <w:ind w:left="230" w:hanging="187"/>
      </w:pPr>
      <w:r>
        <w:rPr>
          <w:rFonts w:ascii="Noto Sans" w:hAnsi="Noto Sans"/>
          <w:sz w:val="19"/>
        </w:rPr>
        <w:t>A. ADHD is confirmed because attention ratings remain elevated after anxiety, sleep, and attendance have improved.</w:t>
      </w:r>
    </w:p>
    <w:p>
      <w:pPr>
        <w:spacing w:after="10"/>
        <w:ind w:left="230" w:hanging="187"/>
      </w:pPr>
      <w:r>
        <w:rPr>
          <w:rFonts w:ascii="Noto Sans" w:hAnsi="Noto Sans"/>
          <w:sz w:val="19"/>
        </w:rPr>
        <w:t>B. Further ADHD and learning assessment is warranted because cross-setting impairment predates anxiety and persists after initial improvement.</w:t>
      </w:r>
    </w:p>
    <w:p>
      <w:pPr>
        <w:spacing w:after="10"/>
        <w:ind w:left="230" w:hanging="187"/>
      </w:pPr>
      <w:r>
        <w:rPr>
          <w:rFonts w:ascii="Noto Sans" w:hAnsi="Noto Sans"/>
          <w:sz w:val="19"/>
        </w:rPr>
        <w:t>C. Attention symptoms were secondary to anxiety because Caleb’s school attendance improved once graded practice began.</w:t>
      </w:r>
    </w:p>
    <w:p>
      <w:pPr>
        <w:spacing w:after="10"/>
        <w:ind w:left="230" w:hanging="187"/>
      </w:pPr>
      <w:r>
        <w:rPr>
          <w:rFonts w:ascii="Noto Sans" w:hAnsi="Noto Sans"/>
          <w:sz w:val="19"/>
        </w:rPr>
        <w:t>D. A learning disorder is primary because incomplete work remains even after school avoidance and nurse use decrease.</w:t>
      </w:r>
    </w:p>
    <w:p>
      <w:pPr>
        <w:spacing w:after="40"/>
      </w:pPr>
      <w:r>
        <w:rPr>
          <w:rFonts w:ascii="Noto Sans" w:hAnsi="Noto Sans"/>
          <w:color w:val="6B7280"/>
          <w:sz w:val="17"/>
        </w:rPr>
        <w:t>Answer: ________     Confidence:  1  2  3  4  5</w:t>
      </w:r>
    </w:p>
    <w:p>
      <w:r>
        <w:br w:type="page"/>
      </w:r>
    </w:p>
    <w:p>
      <w:pPr>
        <w:pStyle w:val="Heading1"/>
      </w:pPr>
      <w:r>
        <w:t>CASE 4: Renee V.</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Renee is a 38-year-old military veteran. Nine years ago, she was near a blast during deployment. Since returning home, she has experienced nightmares, heightened startle, avoidance of certain reminders, intermittent headaches, and mild forgetfulness. Until recently, those cognitive symptoms had remained relatively stable, and she had continued working and caring for her 16-year-old son.</w:t>
            </w:r>
          </w:p>
          <w:p>
            <w:pPr>
              <w:spacing w:after="60"/>
            </w:pPr>
            <w:r>
              <w:rPr>
                <w:rFonts w:ascii="Noto Sans" w:hAnsi="Noto Sans"/>
                <w:sz w:val="19"/>
              </w:rPr>
              <w:t>During the past 10 days, Renee’s headaches have become more persistent, and family members have noticed periods of confusion. Two weeks ago, she fell from a step stool and struck the back of her head. She did not seek medical evaluation.</w:t>
            </w:r>
          </w:p>
          <w:p>
            <w:pPr>
              <w:spacing w:after="60"/>
            </w:pPr>
            <w:r>
              <w:rPr>
                <w:rFonts w:ascii="Noto Sans" w:hAnsi="Noto Sans"/>
                <w:sz w:val="19"/>
              </w:rPr>
              <w:t>Three times during the past week, Renee has “lost track” of what she was doing for approximately 20–60 seconds. While driving a familiar route, she briefly did not recognize where she was and drifted across the center line. Another driver’s horn alerted her, and she corrected the vehicle.</w:t>
            </w:r>
          </w:p>
          <w:p>
            <w:pPr>
              <w:spacing w:after="60"/>
            </w:pPr>
            <w:r>
              <w:rPr>
                <w:rFonts w:ascii="Noto Sans" w:hAnsi="Noto Sans"/>
                <w:sz w:val="19"/>
              </w:rPr>
              <w:t>Renee uses a high-potency cannabis concentrate every night and sometimes takes a second dose after awakening. She says it is the only intervention that helps her sleep.</w:t>
            </w:r>
          </w:p>
          <w:p>
            <w:pPr>
              <w:spacing w:after="60"/>
            </w:pPr>
            <w:r>
              <w:rPr>
                <w:rFonts w:ascii="Noto Sans" w:hAnsi="Noto Sans"/>
                <w:sz w:val="19"/>
              </w:rPr>
              <w:t>Renee keeps a loaded handgun in an unlocked bedside drawer. She says, “I would never use it on myself, but some nights I do not care whether I wake up.” During a recent argument, she yelled at her son and punched a wall.</w:t>
            </w:r>
          </w:p>
        </w:tc>
      </w:tr>
    </w:tbl>
    <w:p>
      <w:pPr>
        <w:keepNext/>
        <w:spacing w:before="120" w:after="40"/>
      </w:pPr>
      <w:r>
        <w:rPr>
          <w:rFonts w:ascii="Noto Sans" w:hAnsi="Noto Sans"/>
          <w:b/>
          <w:color w:val="1F2937"/>
          <w:sz w:val="20"/>
        </w:rPr>
        <w:t>40. Which inquiry would most directly clarify Renee’s current risk of suicide or violence?</w:t>
      </w:r>
    </w:p>
    <w:p>
      <w:pPr>
        <w:spacing w:after="10"/>
        <w:ind w:left="230" w:hanging="187"/>
      </w:pPr>
      <w:r>
        <w:rPr>
          <w:rFonts w:ascii="Noto Sans" w:hAnsi="Noto Sans"/>
          <w:sz w:val="19"/>
        </w:rPr>
        <w:t>A. Clarify the recent head impact, headache progression, disorientation episodes, sleep, medication use, changes from Renee’s usual baseline, and functioning.</w:t>
      </w:r>
    </w:p>
    <w:p>
      <w:pPr>
        <w:spacing w:after="10"/>
        <w:ind w:left="230" w:hanging="187"/>
      </w:pPr>
      <w:r>
        <w:rPr>
          <w:rFonts w:ascii="Noto Sans" w:hAnsi="Noto Sans"/>
          <w:sz w:val="19"/>
        </w:rPr>
        <w:t>B. Assess cannabis amount, potency, timing, tolerance, withdrawal, perceived sleep benefit, cognitive effects, driving, and interest in changing use.</w:t>
      </w:r>
    </w:p>
    <w:p>
      <w:pPr>
        <w:spacing w:after="10"/>
        <w:ind w:left="230" w:hanging="187"/>
      </w:pPr>
      <w:r>
        <w:rPr>
          <w:rFonts w:ascii="Noto Sans" w:hAnsi="Noto Sans"/>
          <w:sz w:val="19"/>
        </w:rPr>
        <w:t>C. Explore trauma reminders, nightmares, avoidance, guilt, military experiences, family strain, and what Renee believes the symptoms mean.</w:t>
      </w:r>
    </w:p>
    <w:p>
      <w:pPr>
        <w:spacing w:after="10"/>
        <w:ind w:left="230" w:hanging="187"/>
      </w:pPr>
      <w:r>
        <w:rPr>
          <w:rFonts w:ascii="Noto Sans" w:hAnsi="Noto Sans"/>
          <w:sz w:val="19"/>
        </w:rPr>
        <w:t>D. Assess current suicidal and violent thoughts, intent, plans, preparation, firearm access, past behavior, protective factors, and ability to collaborate.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41. Which approach best represents an appropriate mental status examination at this point?</w:t>
      </w:r>
    </w:p>
    <w:p>
      <w:pPr>
        <w:spacing w:after="10"/>
        <w:ind w:left="230" w:hanging="187"/>
      </w:pPr>
      <w:r>
        <w:rPr>
          <w:rFonts w:ascii="Noto Sans" w:hAnsi="Noto Sans"/>
          <w:sz w:val="19"/>
        </w:rPr>
        <w:t>A. Observe for intoxication and postpone the remainder of the mental status examination until Renee has abstained from cannabis.</w:t>
      </w:r>
    </w:p>
    <w:p>
      <w:pPr>
        <w:spacing w:after="10"/>
        <w:ind w:left="230" w:hanging="187"/>
      </w:pPr>
      <w:r>
        <w:rPr>
          <w:rFonts w:ascii="Noto Sans" w:hAnsi="Noto Sans"/>
          <w:sz w:val="19"/>
        </w:rPr>
        <w:t>B. Administer a brief cognitive screen and treat an impaired score as evidence that the episodes are primarily neurological.</w:t>
      </w:r>
    </w:p>
    <w:p>
      <w:pPr>
        <w:spacing w:after="10"/>
        <w:ind w:left="230" w:hanging="187"/>
      </w:pPr>
      <w:r>
        <w:rPr>
          <w:rFonts w:ascii="Noto Sans" w:hAnsi="Noto Sans"/>
          <w:sz w:val="19"/>
        </w:rPr>
        <w:t>C. Reconstruct one zoning-out episode and classify it as dissociation when Renee identifies a trauma-related trigger before the event.</w:t>
      </w:r>
    </w:p>
    <w:p>
      <w:pPr>
        <w:spacing w:after="10"/>
        <w:ind w:left="230" w:hanging="187"/>
      </w:pPr>
      <w:r>
        <w:rPr>
          <w:rFonts w:ascii="Noto Sans" w:hAnsi="Noto Sans"/>
          <w:sz w:val="19"/>
        </w:rPr>
        <w:t>D. Assess appearance, behavior, orientation, attention, memory, speech, thought process, perception, insight, judgment, and change from Renee’s usual functioning.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42. Which chronology would best help distinguish the leading explanations for Renee’s cognitive change?</w:t>
      </w:r>
    </w:p>
    <w:p>
      <w:pPr>
        <w:spacing w:after="10"/>
        <w:ind w:left="230" w:hanging="187"/>
      </w:pPr>
      <w:r>
        <w:rPr>
          <w:rFonts w:ascii="Noto Sans" w:hAnsi="Noto Sans"/>
          <w:sz w:val="19"/>
        </w:rPr>
        <w:t>A. Compare trauma reminders, physiological arousal, altered awareness, memory during each episode, recovery pattern, and avoidance across different settings afterward.</w:t>
      </w:r>
    </w:p>
    <w:p>
      <w:pPr>
        <w:spacing w:after="10"/>
        <w:ind w:left="230" w:hanging="187"/>
      </w:pPr>
      <w:r>
        <w:rPr>
          <w:rFonts w:ascii="Noto Sans" w:hAnsi="Noto Sans"/>
          <w:sz w:val="19"/>
        </w:rPr>
        <w:t>B. Build an integrated timeline of postdeployment baseline, recent head impact, symptom worsening, trauma cues, cannabis, sleep, driving events, and recovery.</w:t>
      </w:r>
    </w:p>
    <w:p>
      <w:pPr>
        <w:spacing w:after="10"/>
        <w:ind w:left="230" w:hanging="187"/>
      </w:pPr>
      <w:r>
        <w:rPr>
          <w:rFonts w:ascii="Noto Sans" w:hAnsi="Noto Sans"/>
          <w:sz w:val="19"/>
        </w:rPr>
        <w:t>C. Compare cannabis product, potency, timing, sleep, medications, episode onset, next-day functioning, and periods when Renee does not use.</w:t>
      </w:r>
    </w:p>
    <w:p>
      <w:pPr>
        <w:spacing w:after="10"/>
        <w:ind w:left="230" w:hanging="187"/>
      </w:pPr>
      <w:r>
        <w:rPr>
          <w:rFonts w:ascii="Noto Sans" w:hAnsi="Noto Sans"/>
          <w:sz w:val="19"/>
        </w:rPr>
        <w:t>D. Compare blast history, initial recovery, longstanding headaches, prior cognitive baseline, neurological follow-up, and functional changes consistently across settings over time.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43. Which inquiry would provide the most clinically useful assessment of Renee’s cannabis use?</w:t>
      </w:r>
    </w:p>
    <w:p>
      <w:pPr>
        <w:spacing w:after="10"/>
        <w:ind w:left="230" w:hanging="187"/>
      </w:pPr>
      <w:r>
        <w:rPr>
          <w:rFonts w:ascii="Noto Sans" w:hAnsi="Noto Sans"/>
          <w:sz w:val="19"/>
        </w:rPr>
        <w:t>A. Clarify the benefits Renee attributes to cannabis, her treatment priorities, alternatives tried for sleep, and concerns about reducing use.</w:t>
      </w:r>
    </w:p>
    <w:p>
      <w:pPr>
        <w:spacing w:after="10"/>
        <w:ind w:left="230" w:hanging="187"/>
      </w:pPr>
      <w:r>
        <w:rPr>
          <w:rFonts w:ascii="Noto Sans" w:hAnsi="Noto Sans"/>
          <w:sz w:val="19"/>
        </w:rPr>
        <w:t>B. Compare symptoms on use and nonuse nights, then infer whether cannabis is therapeutic, harmful, or unrelated to the current presentation.</w:t>
      </w:r>
    </w:p>
    <w:p>
      <w:pPr>
        <w:spacing w:after="10"/>
        <w:ind w:left="230" w:hanging="187"/>
      </w:pPr>
      <w:r>
        <w:rPr>
          <w:rFonts w:ascii="Noto Sans" w:hAnsi="Noto Sans"/>
          <w:sz w:val="19"/>
        </w:rPr>
        <w:t>C. Assess product, potency, amount, timing, tolerance, withdrawal, unsuccessful cutbacks, impairment, driving effects, treatment goals, and readiness to change.</w:t>
      </w:r>
    </w:p>
    <w:p>
      <w:pPr>
        <w:spacing w:after="10"/>
        <w:ind w:left="230" w:hanging="187"/>
      </w:pPr>
      <w:r>
        <w:rPr>
          <w:rFonts w:ascii="Noto Sans" w:hAnsi="Noto Sans"/>
          <w:sz w:val="19"/>
        </w:rPr>
        <w:t>D. Review diagnostic criteria for cannabis use disorder, leaving cognition and driving questions for the medical and neurological evaluations.</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Direct assessment reveals that Renee has passive thoughts about not waking up approximately two or three nights each week. She denies current active suicidal intent, a suicide plan, preparatory behavior, or recently handling the firearm while distressed. She reports one interrupted suicide attempt during deployment nine years ago.</w:t>
            </w:r>
          </w:p>
          <w:p>
            <w:pPr>
              <w:spacing w:after="60"/>
            </w:pPr>
            <w:r>
              <w:rPr>
                <w:rFonts w:ascii="Noto Sans" w:hAnsi="Noto Sans"/>
                <w:sz w:val="19"/>
              </w:rPr>
              <w:t>Renee says the wall-punching incident occurred while her son was in another room. She did not threaten him, did not intend to harm him, and left the home briefly to cool down. She expresses concern and remorse about the effect of her behavior on him.</w:t>
            </w:r>
          </w:p>
          <w:p>
            <w:pPr>
              <w:spacing w:after="60"/>
            </w:pPr>
            <w:r>
              <w:rPr>
                <w:rFonts w:ascii="Noto Sans" w:hAnsi="Noto Sans"/>
                <w:sz w:val="19"/>
              </w:rPr>
              <w:t>Renee is cooperative but guarded when cannabis is discussed. Her speech is clear, and her thought process is linear. She reports no hallucinations, fixed unusual beliefs, elevated mood, grandiosity, or reduced need for sleep. She is oriented to person and place but gives the date incorrectly by two days. She has difficulty sustaining attention and recalls only one of three words after a delay. She does not appear acutely intoxicated.</w:t>
            </w:r>
          </w:p>
          <w:p>
            <w:pPr>
              <w:spacing w:after="60"/>
            </w:pPr>
            <w:r>
              <w:rPr>
                <w:rFonts w:ascii="Noto Sans" w:hAnsi="Noto Sans"/>
                <w:sz w:val="19"/>
              </w:rPr>
              <w:t>Renee explains that her intermittent headaches following deployment had been stable. Since the recent fall, the headaches have become persistent and more intense, and the episodes of disorientation are new.</w:t>
            </w:r>
          </w:p>
          <w:p>
            <w:pPr>
              <w:spacing w:after="60"/>
            </w:pPr>
            <w:r>
              <w:rPr>
                <w:rFonts w:ascii="Noto Sans" w:hAnsi="Noto Sans"/>
                <w:sz w:val="19"/>
              </w:rPr>
              <w:t>She uses high-potency cannabis nightly, has gradually increased the amount needed for the same effect, experiences worse sleep and irritability when she skips it, and has made two unsuccessful attempts to reduce her use. She reports no other substance use.</w:t>
            </w:r>
          </w:p>
          <w:p>
            <w:pPr>
              <w:spacing w:after="60"/>
            </w:pPr>
            <w:r>
              <w:rPr>
                <w:rFonts w:ascii="Noto Sans" w:hAnsi="Noto Sans"/>
                <w:sz w:val="19"/>
              </w:rPr>
              <w:t>A trusted friend can provide transportation and is legally able and willing to assist with temporary firearm storage. Renee agrees not to drive, to receive same-day medical evaluation, and to authorize purpose-specific coordination with medical and psychiatric providers.</w:t>
            </w:r>
          </w:p>
        </w:tc>
      </w:tr>
    </w:tbl>
    <w:p>
      <w:pPr>
        <w:keepNext/>
        <w:spacing w:before="120" w:after="40"/>
      </w:pPr>
      <w:r>
        <w:rPr>
          <w:rFonts w:ascii="Noto Sans" w:hAnsi="Noto Sans"/>
          <w:b/>
          <w:color w:val="1F2937"/>
          <w:sz w:val="20"/>
        </w:rPr>
        <w:t>44. Which disposition is most proportionate to the information now available?</w:t>
      </w:r>
    </w:p>
    <w:p>
      <w:pPr>
        <w:spacing w:after="10"/>
        <w:ind w:left="230" w:hanging="187"/>
      </w:pPr>
      <w:r>
        <w:rPr>
          <w:rFonts w:ascii="Noto Sans" w:hAnsi="Noto Sans"/>
          <w:sz w:val="19"/>
        </w:rPr>
        <w:t>A. Continue outpatient counseling with daily contact, secure the firearm at home, suspend driving, and obtain medical evaluation within forty-eight hours.</w:t>
      </w:r>
    </w:p>
    <w:p>
      <w:pPr>
        <w:spacing w:after="10"/>
        <w:ind w:left="230" w:hanging="187"/>
      </w:pPr>
      <w:r>
        <w:rPr>
          <w:rFonts w:ascii="Noto Sans" w:hAnsi="Noto Sans"/>
          <w:sz w:val="19"/>
        </w:rPr>
        <w:t>B. Arrange voluntary psychiatric admission first, with neurological assessment occurring after the suicide and aggression risks have been stabilized.</w:t>
      </w:r>
    </w:p>
    <w:p>
      <w:pPr>
        <w:spacing w:after="10"/>
        <w:ind w:left="230" w:hanging="187"/>
      </w:pPr>
      <w:r>
        <w:rPr>
          <w:rFonts w:ascii="Noto Sans" w:hAnsi="Noto Sans"/>
          <w:sz w:val="19"/>
        </w:rPr>
        <w:t>C. Initiate involuntary psychiatric hospitalization because the prior attempt, loaded firearm, passive death wishes, and wall punching establish imminent danger.</w:t>
      </w:r>
    </w:p>
    <w:p>
      <w:pPr>
        <w:spacing w:after="10"/>
        <w:ind w:left="230" w:hanging="187"/>
      </w:pPr>
      <w:r>
        <w:rPr>
          <w:rFonts w:ascii="Noto Sans" w:hAnsi="Noto Sans"/>
          <w:sz w:val="19"/>
        </w:rPr>
        <w:t>D. Arrange same-day emergency medical evaluation, safe transportation, no driving, collaborative firearm restriction, and psychiatric risk reassessment during the handoff.</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45. Which concurrent-referral plan best supports coordinated care?</w:t>
      </w:r>
    </w:p>
    <w:p>
      <w:pPr>
        <w:spacing w:after="10"/>
        <w:ind w:left="230" w:hanging="187"/>
      </w:pPr>
      <w:r>
        <w:rPr>
          <w:rFonts w:ascii="Noto Sans" w:hAnsi="Noto Sans"/>
          <w:sz w:val="19"/>
        </w:rPr>
        <w:t>A. Define each referral question, obtain purpose-specific releases, arrange warm handoffs, clarify provider roles, and track whether recommended care occurs.</w:t>
      </w:r>
    </w:p>
    <w:p>
      <w:pPr>
        <w:spacing w:after="10"/>
        <w:ind w:left="230" w:hanging="187"/>
      </w:pPr>
      <w:r>
        <w:rPr>
          <w:rFonts w:ascii="Noto Sans" w:hAnsi="Noto Sans"/>
          <w:sz w:val="19"/>
        </w:rPr>
        <w:t>B. Refer to psychiatry as the central provider and ask that clinician to coordinate neurological, substance-related, sleep, and trauma concerns.</w:t>
      </w:r>
    </w:p>
    <w:p>
      <w:pPr>
        <w:spacing w:after="10"/>
        <w:ind w:left="230" w:hanging="187"/>
      </w:pPr>
      <w:r>
        <w:rPr>
          <w:rFonts w:ascii="Noto Sans" w:hAnsi="Noto Sans"/>
          <w:sz w:val="19"/>
        </w:rPr>
        <w:t>C. Provide separate referral options for each concern and ask Renee to update the counselor after she schedules the appointments.</w:t>
      </w:r>
    </w:p>
    <w:p>
      <w:pPr>
        <w:spacing w:after="10"/>
        <w:ind w:left="230" w:hanging="187"/>
      </w:pPr>
      <w:r>
        <w:rPr>
          <w:rFonts w:ascii="Noto Sans" w:hAnsi="Noto Sans"/>
          <w:sz w:val="19"/>
        </w:rPr>
        <w:t>D. Refer to neurology first and pause counseling until a medical provider determines whether trauma, cannabis, or sleep contributes to symptoms.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46. Renee says, “Cannabis is the only reason I sleep. Every provider acts like it is the whole problem.” Which response best demonstrates empathic attunement?</w:t>
      </w:r>
    </w:p>
    <w:p>
      <w:pPr>
        <w:spacing w:after="10"/>
        <w:ind w:left="230" w:hanging="187"/>
      </w:pPr>
      <w:r>
        <w:rPr>
          <w:rFonts w:ascii="Noto Sans" w:hAnsi="Noto Sans"/>
          <w:sz w:val="19"/>
        </w:rPr>
        <w:t>A. Because sleep matters so much, we should avoid changing cannabis use until another intervention consistently produces the same benefit for you over time.</w:t>
      </w:r>
    </w:p>
    <w:p>
      <w:pPr>
        <w:spacing w:after="10"/>
        <w:ind w:left="230" w:hanging="187"/>
      </w:pPr>
      <w:r>
        <w:rPr>
          <w:rFonts w:ascii="Noto Sans" w:hAnsi="Noto Sans"/>
          <w:sz w:val="19"/>
        </w:rPr>
        <w:t>B. Cannabis has been one of the few ways you can get sleep. Could we examine what it helps and what it may complicate?</w:t>
      </w:r>
    </w:p>
    <w:p>
      <w:pPr>
        <w:spacing w:after="10"/>
        <w:ind w:left="230" w:hanging="187"/>
      </w:pPr>
      <w:r>
        <w:rPr>
          <w:rFonts w:ascii="Noto Sans" w:hAnsi="Noto Sans"/>
          <w:sz w:val="19"/>
        </w:rPr>
        <w:t>C. The medical team can determine whether cannabis affects cognition; our sessions can focus on trauma and the conflict with your son.</w:t>
      </w:r>
    </w:p>
    <w:p>
      <w:pPr>
        <w:spacing w:after="10"/>
        <w:ind w:left="230" w:hanging="187"/>
      </w:pPr>
      <w:r>
        <w:rPr>
          <w:rFonts w:ascii="Noto Sans" w:hAnsi="Noto Sans"/>
          <w:sz w:val="19"/>
        </w:rPr>
        <w:t>D. You have made your position clear, so I will not raise cannabis again unless you decide that it is a problem.</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47. Before choosing veteran-specific resources or adapting treatment, which approach BEST aligns care with Renee's population context?</w:t>
      </w:r>
    </w:p>
    <w:p>
      <w:pPr>
        <w:spacing w:after="10"/>
        <w:ind w:left="230" w:hanging="187"/>
      </w:pPr>
      <w:r>
        <w:rPr>
          <w:rFonts w:ascii="Noto Sans" w:hAnsi="Noto Sans"/>
          <w:sz w:val="19"/>
        </w:rPr>
        <w:t>A. Present VA, Vet Center, and community treatment options, then ask which setting best fits Renee's access, privacy, and trust preferences.</w:t>
      </w:r>
    </w:p>
    <w:p>
      <w:pPr>
        <w:spacing w:after="10"/>
        <w:ind w:left="230" w:hanging="187"/>
      </w:pPr>
      <w:r>
        <w:rPr>
          <w:rFonts w:ascii="Noto Sans" w:hAnsi="Noto Sans"/>
          <w:sz w:val="19"/>
        </w:rPr>
        <w:t>B. Explore how military service and prior care affect help-seeking, then ask whether veteran-specific treatment or community care feels more relevant to Renee.</w:t>
      </w:r>
    </w:p>
    <w:p>
      <w:pPr>
        <w:spacing w:after="10"/>
        <w:ind w:left="230" w:hanging="187"/>
      </w:pPr>
      <w:r>
        <w:rPr>
          <w:rFonts w:ascii="Noto Sans" w:hAnsi="Noto Sans"/>
          <w:sz w:val="19"/>
        </w:rPr>
        <w:t>C. Ask how service, deployment, gender, family role, trust, and prior care shape Renee's preferences, then adapt treatment to the elements she identifies.</w:t>
      </w:r>
    </w:p>
    <w:p>
      <w:pPr>
        <w:spacing w:after="10"/>
        <w:ind w:left="230" w:hanging="187"/>
      </w:pPr>
      <w:r>
        <w:rPr>
          <w:rFonts w:ascii="Noto Sans" w:hAnsi="Noto Sans"/>
          <w:sz w:val="19"/>
        </w:rPr>
        <w:t>D. Ask whether military culture contributes to reluctance about vulnerability and, if Renee agrees, incorporate psychoeducation about common veteran help-seeking barriers.</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Renee completes same-day emergency medical and psychiatric evaluation. No acute intracranial emergency is identified, but further neurological and postconcussive follow-up is recommended. The psychiatric evaluation does not indicate inpatient admission under the current findings. Renee and the treatment team develop a collaborative safety plan with continued risk monitoring.</w:t>
            </w:r>
          </w:p>
          <w:p>
            <w:pPr>
              <w:spacing w:after="60"/>
            </w:pPr>
            <w:r>
              <w:rPr>
                <w:rFonts w:ascii="Noto Sans" w:hAnsi="Noto Sans"/>
                <w:sz w:val="19"/>
              </w:rPr>
              <w:t>Her trusted friend arranges lawful temporary firearm storage outside Renee’s home. Renee does not have access to the firearm and agrees not to drive until medically cleared or while disorientation continues.</w:t>
            </w:r>
          </w:p>
          <w:p>
            <w:pPr>
              <w:spacing w:after="60"/>
            </w:pPr>
            <w:r>
              <w:rPr>
                <w:rFonts w:ascii="Noto Sans" w:hAnsi="Noto Sans"/>
                <w:sz w:val="19"/>
              </w:rPr>
              <w:t>Four weeks later, Renee has experienced no passive death-related thoughts for three weeks and no further threats, wall punching, or other aggressive behavior. Sleep has improved from approximately three to four hours to five and a half to six hours most nights. She has reduced cannabis use from one or more doses every night to use on four or five nights each week.</w:t>
            </w:r>
          </w:p>
          <w:p>
            <w:pPr>
              <w:spacing w:after="60"/>
            </w:pPr>
            <w:r>
              <w:rPr>
                <w:rFonts w:ascii="Noto Sans" w:hAnsi="Noto Sans"/>
                <w:sz w:val="19"/>
              </w:rPr>
              <w:t>Her headaches are less intense, but she has experienced two additional brief episodes of disorientation. Trauma-related nightmares, avoidance, and hyperarousal remain marked. Renee says, “I have handled the safety problems. I want to start trauma-focused treatment now.”</w:t>
            </w:r>
          </w:p>
          <w:p>
            <w:pPr>
              <w:spacing w:after="60"/>
            </w:pPr>
            <w:r>
              <w:rPr>
                <w:rFonts w:ascii="Noto Sans" w:hAnsi="Noto Sans"/>
                <w:sz w:val="19"/>
              </w:rPr>
              <w:t>Renee has signed separate authorizations. Her friend may receive information needed to fulfill the agreed transportation, firearm-storage, and safety-support role. Medical, psychiatric, neurological, and substance-related providers may receive clinically relevant information needed for their respective treatment and coordination roles.</w:t>
            </w:r>
          </w:p>
        </w:tc>
      </w:tr>
    </w:tbl>
    <w:p>
      <w:pPr>
        <w:keepNext/>
        <w:spacing w:before="120" w:after="40"/>
      </w:pPr>
      <w:r>
        <w:rPr>
          <w:rFonts w:ascii="Noto Sans" w:hAnsi="Noto Sans"/>
          <w:b/>
          <w:color w:val="1F2937"/>
          <w:sz w:val="20"/>
        </w:rPr>
        <w:t>48. Which information-sharing plan best matches the authorizations and recipient roles?</w:t>
      </w:r>
    </w:p>
    <w:p>
      <w:pPr>
        <w:spacing w:after="10"/>
        <w:ind w:left="230" w:hanging="187"/>
      </w:pPr>
      <w:r>
        <w:rPr>
          <w:rFonts w:ascii="Noto Sans" w:hAnsi="Noto Sans"/>
          <w:sz w:val="19"/>
        </w:rPr>
        <w:t>A. Ask Renee to communicate clinical details herself, while the counselor shares only appointment dates and attendance with every outside party.</w:t>
      </w:r>
    </w:p>
    <w:p>
      <w:pPr>
        <w:spacing w:after="10"/>
        <w:ind w:left="230" w:hanging="187"/>
      </w:pPr>
      <w:r>
        <w:rPr>
          <w:rFonts w:ascii="Noto Sans" w:hAnsi="Noto Sans"/>
          <w:sz w:val="19"/>
        </w:rPr>
        <w:t>B. Use separate authorizations: share safety-role information with the friend and purpose-relevant clinical information with each treating professional for coordination.</w:t>
      </w:r>
    </w:p>
    <w:p>
      <w:pPr>
        <w:spacing w:after="10"/>
        <w:ind w:left="230" w:hanging="187"/>
      </w:pPr>
      <w:r>
        <w:rPr>
          <w:rFonts w:ascii="Noto Sans" w:hAnsi="Noto Sans"/>
          <w:sz w:val="19"/>
        </w:rPr>
        <w:t>C. Use one authorization and provide the trusted friend and all treating professionals with the same summary and continuing clinical updates.</w:t>
      </w:r>
    </w:p>
    <w:p>
      <w:pPr>
        <w:spacing w:after="10"/>
        <w:ind w:left="230" w:hanging="187"/>
      </w:pPr>
      <w:r>
        <w:rPr>
          <w:rFonts w:ascii="Noto Sans" w:hAnsi="Noto Sans"/>
          <w:sz w:val="19"/>
        </w:rPr>
        <w:t>D. Release the complete counseling record to professional providers and give the friend verbal instructions for transportation and firearm storage.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49. Which treatment-plan revision best addresses Renee’s request to begin trauma-focused work?</w:t>
      </w:r>
    </w:p>
    <w:p>
      <w:pPr>
        <w:spacing w:after="10"/>
        <w:ind w:left="230" w:hanging="187"/>
      </w:pPr>
      <w:r>
        <w:rPr>
          <w:rFonts w:ascii="Noto Sans" w:hAnsi="Noto Sans"/>
          <w:sz w:val="19"/>
        </w:rPr>
        <w:t>A. Begin a full trauma-focused protocol now because co-occurring cannabis use, sleep disturbance, and postconcussive symptoms do not necessarily contraindicate PTSD treatment.</w:t>
      </w:r>
    </w:p>
    <w:p>
      <w:pPr>
        <w:spacing w:after="10"/>
        <w:ind w:left="230" w:hanging="187"/>
      </w:pPr>
      <w:r>
        <w:rPr>
          <w:rFonts w:ascii="Noto Sans" w:hAnsi="Noto Sans"/>
          <w:sz w:val="19"/>
        </w:rPr>
        <w:t>B. Delay all trauma-focused treatment until Renee is symptom-free, abstinent from cannabis, medically discharged, and sleeping normally for several months.</w:t>
      </w:r>
    </w:p>
    <w:p>
      <w:pPr>
        <w:spacing w:after="10"/>
        <w:ind w:left="230" w:hanging="187"/>
      </w:pPr>
      <w:r>
        <w:rPr>
          <w:rFonts w:ascii="Noto Sans" w:hAnsi="Noto Sans"/>
          <w:sz w:val="19"/>
        </w:rPr>
        <w:t>C. Continue present-focused stabilization indefinitely because persistent disorientation and a history of blast exposure make trauma processing predictably unsafe.</w:t>
      </w:r>
    </w:p>
    <w:p>
      <w:pPr>
        <w:spacing w:after="10"/>
        <w:ind w:left="230" w:hanging="187"/>
      </w:pPr>
      <w:r>
        <w:rPr>
          <w:rFonts w:ascii="Noto Sans" w:hAnsi="Noto Sans"/>
          <w:sz w:val="19"/>
        </w:rPr>
        <w:t>D. Reassess medical change, orientation, participation capacity, risk, informed preference, and supports; then begin or adapt trauma-focused treatment when current safety permits.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50. During a later session, Renee suddenly develops slurred speech, cannot identify where she is, and reports a sharply worsening headache. Which response is most appropriate?</w:t>
      </w:r>
    </w:p>
    <w:p>
      <w:pPr>
        <w:spacing w:after="10"/>
        <w:ind w:left="230" w:hanging="187"/>
      </w:pPr>
      <w:r>
        <w:rPr>
          <w:rFonts w:ascii="Noto Sans" w:hAnsi="Noto Sans"/>
          <w:sz w:val="19"/>
        </w:rPr>
        <w:t>A. Contact the trusted friend to monitor Renee overnight and arrange neurological follow-up the next morning if the symptoms continue.</w:t>
      </w:r>
    </w:p>
    <w:p>
      <w:pPr>
        <w:spacing w:after="10"/>
        <w:ind w:left="230" w:hanging="187"/>
      </w:pPr>
      <w:r>
        <w:rPr>
          <w:rFonts w:ascii="Noto Sans" w:hAnsi="Noto Sans"/>
          <w:sz w:val="19"/>
        </w:rPr>
        <w:t>B. Use grounding until Renee is oriented, end the trauma discussion, and arrange routine medical follow-up within the next twenty-four hours.</w:t>
      </w:r>
    </w:p>
    <w:p>
      <w:pPr>
        <w:spacing w:after="10"/>
        <w:ind w:left="230" w:hanging="187"/>
      </w:pPr>
      <w:r>
        <w:rPr>
          <w:rFonts w:ascii="Noto Sans" w:hAnsi="Noto Sans"/>
          <w:sz w:val="19"/>
        </w:rPr>
        <w:t>C. Explore the preceding trauma cue to determine whether dissociation explains the symptoms before deciding whether medical evaluation is necessary.</w:t>
      </w:r>
    </w:p>
    <w:p>
      <w:pPr>
        <w:spacing w:after="10"/>
        <w:ind w:left="230" w:hanging="187"/>
      </w:pPr>
      <w:r>
        <w:rPr>
          <w:rFonts w:ascii="Noto Sans" w:hAnsi="Noto Sans"/>
          <w:sz w:val="19"/>
        </w:rPr>
        <w:t>D. Pause treatment, reduce stimulation, assess immediate safety, activate emergency medical evaluation and safe transport, and confirm the handoff.</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51. After Renee develops the acute neurological change described in the case, which documentation BEST supports clinical continuity and later review?</w:t>
      </w:r>
    </w:p>
    <w:p>
      <w:pPr>
        <w:spacing w:after="10"/>
        <w:ind w:left="230" w:hanging="187"/>
      </w:pPr>
      <w:r>
        <w:rPr>
          <w:rFonts w:ascii="Noto Sans" w:hAnsi="Noto Sans"/>
          <w:sz w:val="19"/>
        </w:rPr>
        <w:t>A. Record onset and observed neurologic changes, MSE and risk findings, baseline comparison, emergency disposition, contacts and authority, handoff confirmation, unresolved questions, and follow-up.</w:t>
      </w:r>
    </w:p>
    <w:p>
      <w:pPr>
        <w:spacing w:after="10"/>
        <w:ind w:left="230" w:hanging="187"/>
      </w:pPr>
      <w:r>
        <w:rPr>
          <w:rFonts w:ascii="Noto Sans" w:hAnsi="Noto Sans"/>
          <w:sz w:val="19"/>
        </w:rPr>
        <w:t>B. Record current neurologic observations, client statements, emergency disposition and handoff, and reference the earlier risk and firearm note rather than reassessing current status.</w:t>
      </w:r>
    </w:p>
    <w:p>
      <w:pPr>
        <w:spacing w:after="10"/>
        <w:ind w:left="230" w:hanging="187"/>
      </w:pPr>
      <w:r>
        <w:rPr>
          <w:rFonts w:ascii="Noto Sans" w:hAnsi="Noto Sans"/>
          <w:sz w:val="19"/>
        </w:rPr>
        <w:t>C. Record observations, risk findings, emergency action, support contact, handoff, and follow-up while documenting a working impression of dissociation versus neurologic injury.</w:t>
      </w:r>
    </w:p>
    <w:p>
      <w:pPr>
        <w:spacing w:after="10"/>
        <w:ind w:left="230" w:hanging="187"/>
      </w:pPr>
      <w:r>
        <w:rPr>
          <w:rFonts w:ascii="Noto Sans" w:hAnsi="Noto Sans"/>
          <w:sz w:val="19"/>
        </w:rPr>
        <w:t>D. Record current observations, risk status, contacts, emergency disposition, handoff, and follow-up while omitting the disclosure authority because emergency care was clinically necessary.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52. After Renee completes emergency evaluation and returns to coordinated outpatient care, which interpretation best reflects the treatment data to date?</w:t>
      </w:r>
    </w:p>
    <w:p>
      <w:pPr>
        <w:spacing w:after="10"/>
        <w:ind w:left="230" w:hanging="187"/>
      </w:pPr>
      <w:r>
        <w:rPr>
          <w:rFonts w:ascii="Noto Sans" w:hAnsi="Noto Sans"/>
          <w:sz w:val="19"/>
        </w:rPr>
        <w:t>A. The plan is producing broad improvement, so persistent cognitive episodes can be monitored without changing provider roles or treatment targets.</w:t>
      </w:r>
    </w:p>
    <w:p>
      <w:pPr>
        <w:spacing w:after="10"/>
        <w:ind w:left="230" w:hanging="187"/>
      </w:pPr>
      <w:r>
        <w:rPr>
          <w:rFonts w:ascii="Noto Sans" w:hAnsi="Noto Sans"/>
          <w:sz w:val="19"/>
        </w:rPr>
        <w:t>B. Safety, sleep, and family functioning are improving; persistent cognitive and PTSD symptoms require continued coordination and plan revision.</w:t>
      </w:r>
    </w:p>
    <w:p>
      <w:pPr>
        <w:spacing w:after="10"/>
        <w:ind w:left="230" w:hanging="187"/>
      </w:pPr>
      <w:r>
        <w:rPr>
          <w:rFonts w:ascii="Noto Sans" w:hAnsi="Noto Sans"/>
          <w:sz w:val="19"/>
        </w:rPr>
        <w:t>C. Cannabis reduction may be driving the gains, so hold trauma intervention until a longer abstinence trial clarifies symptom causality.</w:t>
      </w:r>
    </w:p>
    <w:p>
      <w:pPr>
        <w:spacing w:after="10"/>
        <w:ind w:left="230" w:hanging="187"/>
      </w:pPr>
      <w:r>
        <w:rPr>
          <w:rFonts w:ascii="Noto Sans" w:hAnsi="Noto Sans"/>
          <w:sz w:val="19"/>
        </w:rPr>
        <w:t>D. Safety has improved enough to close suicide monitoring, while trauma, sleep, cannabis, and cognitive care continue through separate providers.</w:t>
      </w:r>
    </w:p>
    <w:p>
      <w:pPr>
        <w:spacing w:after="40"/>
      </w:pPr>
      <w:r>
        <w:rPr>
          <w:rFonts w:ascii="Noto Sans" w:hAnsi="Noto Sans"/>
          <w:color w:val="6B7280"/>
          <w:sz w:val="17"/>
        </w:rPr>
        <w:t>Answer: ________     Confidence:  1  2  3  4  5</w:t>
      </w:r>
    </w:p>
    <w:p>
      <w:r>
        <w:br w:type="page"/>
      </w:r>
    </w:p>
    <w:p>
      <w:pPr>
        <w:pStyle w:val="Heading1"/>
      </w:pPr>
      <w:r>
        <w:t>CASE 5: Keisha A.</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Keisha is a 20-year-old collegiate distance runner who receives a substantial athletic scholarship. She was referred for counseling because of increasing anxiety and perfectionism.</w:t>
            </w:r>
          </w:p>
          <w:p>
            <w:pPr>
              <w:spacing w:after="60"/>
            </w:pPr>
            <w:r>
              <w:rPr>
                <w:rFonts w:ascii="Noto Sans" w:hAnsi="Noto Sans"/>
                <w:sz w:val="19"/>
              </w:rPr>
              <w:t>During the past seven months, Keisha has become increasingly restrictive with food. She routinely skips meals, avoids foods she considers “too heavy,” weighs herself several times a day, and adds unscheduled running or cross-training when she believes she has eaten too much.</w:t>
            </w:r>
          </w:p>
          <w:p>
            <w:pPr>
              <w:spacing w:after="60"/>
            </w:pPr>
            <w:r>
              <w:rPr>
                <w:rFonts w:ascii="Noto Sans" w:hAnsi="Noto Sans"/>
                <w:sz w:val="19"/>
              </w:rPr>
              <w:t>Keisha has continued exercising despite a diagnosed stress fracture. She reports dizziness when standing, frequent fatigue, feeling cold, and four months without a menstrual period.</w:t>
            </w:r>
          </w:p>
          <w:p>
            <w:pPr>
              <w:spacing w:after="60"/>
            </w:pPr>
            <w:r>
              <w:rPr>
                <w:rFonts w:ascii="Noto Sans" w:hAnsi="Noto Sans"/>
                <w:sz w:val="19"/>
              </w:rPr>
              <w:t>She says, “Everyone on the team talks about discipline. If I gain weight, I will slow down.” She worries that her coach may reduce her role or scholarship if others learn she is struggling.</w:t>
            </w:r>
          </w:p>
          <w:p>
            <w:pPr>
              <w:spacing w:after="60"/>
            </w:pPr>
            <w:r>
              <w:rPr>
                <w:rFonts w:ascii="Noto Sans" w:hAnsi="Noto Sans"/>
                <w:sz w:val="19"/>
              </w:rPr>
              <w:t>Keisha says running has structured most of her life since middle school and adds, “If I am not a runner, I honestly do not know what I am good at.”</w:t>
            </w:r>
          </w:p>
        </w:tc>
      </w:tr>
    </w:tbl>
    <w:p>
      <w:pPr>
        <w:keepNext/>
        <w:spacing w:before="120" w:after="40"/>
      </w:pPr>
      <w:r>
        <w:rPr>
          <w:rFonts w:ascii="Noto Sans" w:hAnsi="Noto Sans"/>
          <w:b/>
          <w:color w:val="1F2937"/>
          <w:sz w:val="20"/>
        </w:rPr>
        <w:t>53. Which assessment approach would provide the strongest foundation for the initial formulation?</w:t>
      </w:r>
    </w:p>
    <w:p>
      <w:pPr>
        <w:spacing w:after="10"/>
        <w:ind w:left="230" w:hanging="187"/>
      </w:pPr>
      <w:r>
        <w:rPr>
          <w:rFonts w:ascii="Noto Sans" w:hAnsi="Noto Sans"/>
          <w:sz w:val="19"/>
        </w:rPr>
        <w:t>A. Focus first on food intake, exercise, and weight history, adding psychiatric and social assessment after the eating pattern is clarified.</w:t>
      </w:r>
    </w:p>
    <w:p>
      <w:pPr>
        <w:spacing w:after="10"/>
        <w:ind w:left="230" w:hanging="187"/>
      </w:pPr>
      <w:r>
        <w:rPr>
          <w:rFonts w:ascii="Noto Sans" w:hAnsi="Noto Sans"/>
          <w:sz w:val="19"/>
        </w:rPr>
        <w:t>B. Map eating and weight changes, exercise, medical symptoms, mood and risk, substances, functioning, supports, and athletic pressures across time.</w:t>
      </w:r>
    </w:p>
    <w:p>
      <w:pPr>
        <w:spacing w:after="10"/>
        <w:ind w:left="230" w:hanging="187"/>
      </w:pPr>
      <w:r>
        <w:rPr>
          <w:rFonts w:ascii="Noto Sans" w:hAnsi="Noto Sans"/>
          <w:sz w:val="19"/>
        </w:rPr>
        <w:t>C. Begin with scholarship and team pressures, then assess eating behaviors only after Keisha explains how athletics affects her current distress.</w:t>
      </w:r>
    </w:p>
    <w:p>
      <w:pPr>
        <w:spacing w:after="10"/>
        <w:ind w:left="230" w:hanging="187"/>
      </w:pPr>
      <w:r>
        <w:rPr>
          <w:rFonts w:ascii="Noto Sans" w:hAnsi="Noto Sans"/>
          <w:sz w:val="19"/>
        </w:rPr>
        <w:t>D. Administer eating-disorder, anxiety, and depression measures first, then use the highest score to organize the remaining diagnostic interview.</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54. Keisha says, “If my coach thinks I am weak, I could lose everything. Running is the only thing I am really good at.” Which response best demonstrates empathic responding?</w:t>
      </w:r>
    </w:p>
    <w:p>
      <w:pPr>
        <w:spacing w:after="10"/>
        <w:ind w:left="230" w:hanging="187"/>
      </w:pPr>
      <w:r>
        <w:rPr>
          <w:rFonts w:ascii="Noto Sans" w:hAnsi="Noto Sans"/>
          <w:sz w:val="19"/>
        </w:rPr>
        <w:t>A. You are afraid that getting help could threaten the scholarship and the identity you have built around running. Tell me more.</w:t>
      </w:r>
    </w:p>
    <w:p>
      <w:pPr>
        <w:spacing w:after="10"/>
        <w:ind w:left="230" w:hanging="187"/>
      </w:pPr>
      <w:r>
        <w:rPr>
          <w:rFonts w:ascii="Noto Sans" w:hAnsi="Noto Sans"/>
          <w:sz w:val="19"/>
        </w:rPr>
        <w:t>B. I hear how important running is, and I can assure you that your coach will not learn anything unless you choose.</w:t>
      </w:r>
    </w:p>
    <w:p>
      <w:pPr>
        <w:spacing w:after="10"/>
        <w:ind w:left="230" w:hanging="187"/>
      </w:pPr>
      <w:r>
        <w:rPr>
          <w:rFonts w:ascii="Noto Sans" w:hAnsi="Noto Sans"/>
          <w:sz w:val="19"/>
        </w:rPr>
        <w:t>C. Your scholarship matters, but these physical symptoms mean health has to come before athletics even if that affects your season.</w:t>
      </w:r>
    </w:p>
    <w:p>
      <w:pPr>
        <w:spacing w:after="10"/>
        <w:ind w:left="230" w:hanging="187"/>
      </w:pPr>
      <w:r>
        <w:rPr>
          <w:rFonts w:ascii="Noto Sans" w:hAnsi="Noto Sans"/>
          <w:sz w:val="19"/>
        </w:rPr>
        <w:t>D. It sounds as though perfectionism is making running feel like your only strength. We should work on broadening your identity.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55. Which inquiry BEST integrates cultural and contextual factors into Keisha's treatment?</w:t>
      </w:r>
    </w:p>
    <w:p>
      <w:pPr>
        <w:spacing w:after="10"/>
        <w:ind w:left="230" w:hanging="187"/>
      </w:pPr>
      <w:r>
        <w:rPr>
          <w:rFonts w:ascii="Noto Sans" w:hAnsi="Noto Sans"/>
          <w:sz w:val="19"/>
        </w:rPr>
        <w:t>A. Explore how sport culture and scholarship pressure shape restriction, then ask how family, cultural, and body-image experiences may add to or buffer those pressures.</w:t>
      </w:r>
    </w:p>
    <w:p>
      <w:pPr>
        <w:spacing w:after="10"/>
        <w:ind w:left="230" w:hanging="187"/>
      </w:pPr>
      <w:r>
        <w:rPr>
          <w:rFonts w:ascii="Noto Sans" w:hAnsi="Noto Sans"/>
          <w:sz w:val="19"/>
        </w:rPr>
        <w:t>B. Ask how sport norms, body ideals, scholarship pressure, family or cultural experience, and prior health care matter to Keisha without assuming which explains symptoms.</w:t>
      </w:r>
    </w:p>
    <w:p>
      <w:pPr>
        <w:spacing w:after="10"/>
        <w:ind w:left="230" w:hanging="187"/>
      </w:pPr>
      <w:r>
        <w:rPr>
          <w:rFonts w:ascii="Noto Sans" w:hAnsi="Noto Sans"/>
          <w:sz w:val="19"/>
        </w:rPr>
        <w:t>C. Ask which identity feels most threatened by treatment—athlete, student, or family or community member—and use that priority to guide early alliance work.</w:t>
      </w:r>
    </w:p>
    <w:p>
      <w:pPr>
        <w:spacing w:after="10"/>
        <w:ind w:left="230" w:hanging="187"/>
      </w:pPr>
      <w:r>
        <w:rPr>
          <w:rFonts w:ascii="Noto Sans" w:hAnsi="Noto Sans"/>
          <w:sz w:val="19"/>
        </w:rPr>
        <w:t>D. Explore structural pressures in collegiate athletics and how Keisha has navigated them before focusing on her personal beliefs about weight, rest, and performance.</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Further assessment shows that Keisha is 5 feet 6 inches tall and currently weighs 104 pounds. Six months ago, she weighed 121 pounds. Her current medical record lists a BMI of approximately 16.8.</w:t>
            </w:r>
          </w:p>
          <w:p>
            <w:pPr>
              <w:spacing w:after="60"/>
            </w:pPr>
            <w:r>
              <w:rPr>
                <w:rFonts w:ascii="Noto Sans" w:hAnsi="Noto Sans"/>
                <w:sz w:val="19"/>
              </w:rPr>
              <w:t>Keisha says she is intensely afraid of gaining weight and believes that weighing more than she does now would make her slower and less disciplined. Her self-evaluation is strongly tied to weight, appearance, running performance, and whether she follows her food and exercise rules.</w:t>
            </w:r>
          </w:p>
          <w:p>
            <w:pPr>
              <w:spacing w:after="60"/>
            </w:pPr>
            <w:r>
              <w:rPr>
                <w:rFonts w:ascii="Noto Sans" w:hAnsi="Noto Sans"/>
                <w:sz w:val="19"/>
              </w:rPr>
              <w:t>She reports no binge-eating episodes and denies self-induced vomiting, laxative or diuretic misuse, or other purging behaviors. She frequently exercises beyond the training plan and sometimes hides the additional exercise.</w:t>
            </w:r>
          </w:p>
          <w:p>
            <w:pPr>
              <w:spacing w:after="60"/>
            </w:pPr>
            <w:r>
              <w:rPr>
                <w:rFonts w:ascii="Noto Sans" w:hAnsi="Noto Sans"/>
                <w:sz w:val="19"/>
              </w:rPr>
              <w:t>Keisha denies current suicidal thoughts, self-harm, psychotic symptoms, or substance misuse. She lives alone off campus and does not have an established local primary-care clinician.</w:t>
            </w:r>
          </w:p>
          <w:p>
            <w:pPr>
              <w:spacing w:after="60"/>
            </w:pPr>
            <w:r>
              <w:rPr>
                <w:rFonts w:ascii="Noto Sans" w:hAnsi="Noto Sans"/>
                <w:sz w:val="19"/>
              </w:rPr>
              <w:t>Earlier that morning, the athletic health clinic documented a resting heart rate of 42 beats per minute and blood pressure of 88/56 mmHg while supine. After standing, her heart rate increased to 76 and her blood pressure fell to 78/50. Keisha became markedly dizzy.</w:t>
            </w:r>
          </w:p>
          <w:p>
            <w:pPr>
              <w:spacing w:after="60"/>
            </w:pPr>
            <w:r>
              <w:rPr>
                <w:rFonts w:ascii="Noto Sans" w:hAnsi="Noto Sans"/>
                <w:sz w:val="19"/>
              </w:rPr>
              <w:t>She left the clinic before physician evaluation because she did not want to miss class.</w:t>
            </w:r>
          </w:p>
          <w:p>
            <w:pPr>
              <w:spacing w:after="60"/>
            </w:pPr>
            <w:r>
              <w:rPr>
                <w:rFonts w:ascii="Noto Sans" w:hAnsi="Noto Sans"/>
                <w:sz w:val="19"/>
              </w:rPr>
              <w:t>Near the end of the counseling appointment, Keisha stands, becomes pale, reports tunnel vision, and her knees begin to buckle. The counselor assists her back into the chair.</w:t>
            </w:r>
          </w:p>
        </w:tc>
      </w:tr>
    </w:tbl>
    <w:p>
      <w:pPr>
        <w:keepNext/>
        <w:spacing w:before="120" w:after="40"/>
      </w:pPr>
      <w:r>
        <w:rPr>
          <w:rFonts w:ascii="Noto Sans" w:hAnsi="Noto Sans"/>
          <w:b/>
          <w:color w:val="1F2937"/>
          <w:sz w:val="20"/>
        </w:rPr>
        <w:t>56. Which provisional diagnosis is best supported by the information now available?</w:t>
      </w:r>
    </w:p>
    <w:p>
      <w:pPr>
        <w:spacing w:after="10"/>
        <w:ind w:left="230" w:hanging="187"/>
      </w:pPr>
      <w:r>
        <w:rPr>
          <w:rFonts w:ascii="Noto Sans" w:hAnsi="Noto Sans"/>
          <w:sz w:val="19"/>
        </w:rPr>
        <w:t>A. Avoidant/restrictive food intake disorder, because Keisha restricts substantially and has developed significant medical and nutritional consequences.</w:t>
      </w:r>
    </w:p>
    <w:p>
      <w:pPr>
        <w:spacing w:after="10"/>
        <w:ind w:left="230" w:hanging="187"/>
      </w:pPr>
      <w:r>
        <w:rPr>
          <w:rFonts w:ascii="Noto Sans" w:hAnsi="Noto Sans"/>
          <w:sz w:val="19"/>
        </w:rPr>
        <w:t>B. Atypical anorexia nervosa, because the amount of weight loss and medical compromise are more important than her current body weight.</w:t>
      </w:r>
    </w:p>
    <w:p>
      <w:pPr>
        <w:spacing w:after="10"/>
        <w:ind w:left="230" w:hanging="187"/>
      </w:pPr>
      <w:r>
        <w:rPr>
          <w:rFonts w:ascii="Noto Sans" w:hAnsi="Noto Sans"/>
          <w:sz w:val="19"/>
        </w:rPr>
        <w:t>C. Anorexia nervosa, restricting type, because low weight, restriction, fear of weight gain, and weight-related overvaluation are all present.</w:t>
      </w:r>
    </w:p>
    <w:p>
      <w:pPr>
        <w:spacing w:after="10"/>
        <w:ind w:left="230" w:hanging="187"/>
      </w:pPr>
      <w:r>
        <w:rPr>
          <w:rFonts w:ascii="Noto Sans" w:hAnsi="Noto Sans"/>
          <w:sz w:val="19"/>
        </w:rPr>
        <w:t>D. Other specified feeding or eating disorder, because athletic training makes it difficult to determine whether low weight is clinically significant.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57. Which level-of-care response is most appropriate at this point?</w:t>
      </w:r>
    </w:p>
    <w:p>
      <w:pPr>
        <w:spacing w:after="10"/>
        <w:ind w:left="230" w:hanging="187"/>
      </w:pPr>
      <w:r>
        <w:rPr>
          <w:rFonts w:ascii="Noto Sans" w:hAnsi="Noto Sans"/>
          <w:sz w:val="19"/>
        </w:rPr>
        <w:t>A. Continue outpatient counseling with daily check-ins while arranging sports-medicine and dietitian appointments within the next several days.</w:t>
      </w:r>
    </w:p>
    <w:p>
      <w:pPr>
        <w:spacing w:after="10"/>
        <w:ind w:left="230" w:hanging="187"/>
      </w:pPr>
      <w:r>
        <w:rPr>
          <w:rFonts w:ascii="Noto Sans" w:hAnsi="Noto Sans"/>
          <w:sz w:val="19"/>
        </w:rPr>
        <w:t>B. Refer directly to a residential eating-disorder program because her low weight and exercise behavior establish the need for twenty-four-hour behavioral containment.</w:t>
      </w:r>
    </w:p>
    <w:p>
      <w:pPr>
        <w:spacing w:after="10"/>
        <w:ind w:left="230" w:hanging="187"/>
      </w:pPr>
      <w:r>
        <w:rPr>
          <w:rFonts w:ascii="Noto Sans" w:hAnsi="Noto Sans"/>
          <w:sz w:val="19"/>
        </w:rPr>
        <w:t>C. Arrange psychiatric hospitalization because severe restriction, compulsive exercise, and scholarship fears indicate that Keisha cannot safely manage outpatient treatment.</w:t>
      </w:r>
    </w:p>
    <w:p>
      <w:pPr>
        <w:spacing w:after="10"/>
        <w:ind w:left="230" w:hanging="187"/>
      </w:pPr>
      <w:r>
        <w:rPr>
          <w:rFonts w:ascii="Noto Sans" w:hAnsi="Noto Sans"/>
          <w:sz w:val="19"/>
        </w:rPr>
        <w:t>D. Arrange immediate medical evaluation in a setting able to assess and stabilize eating-disorder-related physiological compromise before outpatient planning continues.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58. What should the counselor do in response to Keisha’s acute dizziness and near-collapse?</w:t>
      </w:r>
    </w:p>
    <w:p>
      <w:pPr>
        <w:spacing w:after="10"/>
        <w:ind w:left="230" w:hanging="187"/>
      </w:pPr>
      <w:r>
        <w:rPr>
          <w:rFonts w:ascii="Noto Sans" w:hAnsi="Noto Sans"/>
          <w:sz w:val="19"/>
        </w:rPr>
        <w:t>A. Keep Keisha seated, offer fluids and a snack if she agrees, and reassess symptoms before deciding whether medical transport is necessary.</w:t>
      </w:r>
    </w:p>
    <w:p>
      <w:pPr>
        <w:spacing w:after="10"/>
        <w:ind w:left="230" w:hanging="187"/>
      </w:pPr>
      <w:r>
        <w:rPr>
          <w:rFonts w:ascii="Noto Sans" w:hAnsi="Noto Sans"/>
          <w:sz w:val="19"/>
        </w:rPr>
        <w:t>B. Stop routine counseling, protect Keisha from falling, activate emergency medical response and safe transport, and remain involved until the handoff occurs.</w:t>
      </w:r>
    </w:p>
    <w:p>
      <w:pPr>
        <w:spacing w:after="10"/>
        <w:ind w:left="230" w:hanging="187"/>
      </w:pPr>
      <w:r>
        <w:rPr>
          <w:rFonts w:ascii="Noto Sans" w:hAnsi="Noto Sans"/>
          <w:sz w:val="19"/>
        </w:rPr>
        <w:t>C. Ask Keisha to contact a trusted person for transportation, provided she feels steadier after resting and agrees not to drive herself.</w:t>
      </w:r>
    </w:p>
    <w:p>
      <w:pPr>
        <w:spacing w:after="10"/>
        <w:ind w:left="230" w:hanging="187"/>
      </w:pPr>
      <w:r>
        <w:rPr>
          <w:rFonts w:ascii="Noto Sans" w:hAnsi="Noto Sans"/>
          <w:sz w:val="19"/>
        </w:rPr>
        <w:t>D. Call the eating-disorder program for admission guidance while monitoring Keisha in the office and delaying transport until placement is confirmed.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59. After immediate medical needs are addressed, which concurrent-care plan is most appropriate?</w:t>
      </w:r>
    </w:p>
    <w:p>
      <w:pPr>
        <w:spacing w:after="10"/>
        <w:ind w:left="230" w:hanging="187"/>
      </w:pPr>
      <w:r>
        <w:rPr>
          <w:rFonts w:ascii="Noto Sans" w:hAnsi="Noto Sans"/>
          <w:sz w:val="19"/>
        </w:rPr>
        <w:t>A. Refer to an eating-disorder therapist and dietitian, then suspend counseling until those specialists determine which psychological issues remain appropriate for CTA counseling.</w:t>
      </w:r>
    </w:p>
    <w:p>
      <w:pPr>
        <w:spacing w:after="10"/>
        <w:ind w:left="230" w:hanging="187"/>
      </w:pPr>
      <w:r>
        <w:rPr>
          <w:rFonts w:ascii="Noto Sans" w:hAnsi="Noto Sans"/>
          <w:sz w:val="19"/>
        </w:rPr>
        <w:t>B. Ask the medical physician to direct the entire treatment plan so nutrition, exercise, psychotherapy, and return-to-sport decisions remain clinically consistent.</w:t>
      </w:r>
    </w:p>
    <w:p>
      <w:pPr>
        <w:spacing w:after="10"/>
        <w:ind w:left="230" w:hanging="187"/>
      </w:pPr>
      <w:r>
        <w:rPr>
          <w:rFonts w:ascii="Noto Sans" w:hAnsi="Noto Sans"/>
          <w:sz w:val="19"/>
        </w:rPr>
        <w:t>C. Coordinate medical, nutritional, psychiatric, and counseling care with defined questions, releases, provider roles, and follow-up responsibilities for each discipline.</w:t>
      </w:r>
    </w:p>
    <w:p>
      <w:pPr>
        <w:spacing w:after="10"/>
        <w:ind w:left="230" w:hanging="187"/>
      </w:pPr>
      <w:r>
        <w:rPr>
          <w:rFonts w:ascii="Noto Sans" w:hAnsi="Noto Sans"/>
          <w:sz w:val="19"/>
        </w:rPr>
        <w:t>D. Give Keisha several specialty referrals and let her decide which providers communicate, because too much coordination may reduce her autonomy.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60. The counselor has experience treating anxiety and perfectionism but no supervised specialty experience treating eating disorders in athletes. Which response is most appropriate?</w:t>
      </w:r>
    </w:p>
    <w:p>
      <w:pPr>
        <w:spacing w:after="10"/>
        <w:ind w:left="230" w:hanging="187"/>
      </w:pPr>
      <w:r>
        <w:rPr>
          <w:rFonts w:ascii="Noto Sans" w:hAnsi="Noto Sans"/>
          <w:sz w:val="19"/>
        </w:rPr>
        <w:t>A. Continue treating anxiety and perfectionism independently, while specialists manage eating behaviors and medical issues outside the counselor’s treatment plan.</w:t>
      </w:r>
    </w:p>
    <w:p>
      <w:pPr>
        <w:spacing w:after="10"/>
        <w:ind w:left="230" w:hanging="187"/>
      </w:pPr>
      <w:r>
        <w:rPr>
          <w:rFonts w:ascii="Noto Sans" w:hAnsi="Noto Sans"/>
          <w:sz w:val="19"/>
        </w:rPr>
        <w:t>B. Disclose the competence limits, obtain consultation or supervision, and continue only clearly appropriate counseling functions within a coordinated plan.</w:t>
      </w:r>
    </w:p>
    <w:p>
      <w:pPr>
        <w:spacing w:after="10"/>
        <w:ind w:left="230" w:hanging="187"/>
      </w:pPr>
      <w:r>
        <w:rPr>
          <w:rFonts w:ascii="Noto Sans" w:hAnsi="Noto Sans"/>
          <w:sz w:val="19"/>
        </w:rPr>
        <w:t>C. Transfer all counseling to an eating-disorder specialist, because limited specialty experience prevents the counselor from retaining any therapeutic role.</w:t>
      </w:r>
    </w:p>
    <w:p>
      <w:pPr>
        <w:spacing w:after="10"/>
        <w:ind w:left="230" w:hanging="187"/>
      </w:pPr>
      <w:r>
        <w:rPr>
          <w:rFonts w:ascii="Noto Sans" w:hAnsi="Noto Sans"/>
          <w:sz w:val="19"/>
        </w:rPr>
        <w:t>D. Use established eating-disorder treatment manuals with close outcome monitoring, seeking consultation only if Keisha fails to improve as expected.</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Keisha is medically hospitalized for stabilization and later steps down to specialized eating-disorder treatment involving medical, nutritional, psychiatric, and psychotherapy services.</w:t>
            </w:r>
          </w:p>
          <w:p>
            <w:pPr>
              <w:spacing w:after="60"/>
            </w:pPr>
            <w:r>
              <w:rPr>
                <w:rFonts w:ascii="Noto Sans" w:hAnsi="Noto Sans"/>
                <w:sz w:val="19"/>
              </w:rPr>
              <w:t>Eight weeks later, her medical team reports that her heart rate and orthostatic findings have improved and she has experienced no additional near-syncope. Her stress fracture is still healing. She has not been cleared to resume running or competition; return-to-sport decisions remain with the appropriate medical and sports-health clinicians.</w:t>
            </w:r>
          </w:p>
          <w:p>
            <w:pPr>
              <w:spacing w:after="60"/>
            </w:pPr>
            <w:r>
              <w:rPr>
                <w:rFonts w:ascii="Noto Sans" w:hAnsi="Noto Sans"/>
                <w:sz w:val="19"/>
              </w:rPr>
              <w:t>Keisha is eating more consistently and has stopped secret additional workouts for the past three weeks. She continues to experience significant fear of weight gain, guilt when resting, and urges to compensate after meals.</w:t>
            </w:r>
          </w:p>
          <w:p>
            <w:pPr>
              <w:spacing w:after="60"/>
            </w:pPr>
            <w:r>
              <w:rPr>
                <w:rFonts w:ascii="Noto Sans" w:hAnsi="Noto Sans"/>
                <w:sz w:val="19"/>
              </w:rPr>
              <w:t>She says, “I know I am doing better physically, but everyone keeps talking like running is the enemy. I want my life back.”</w:t>
            </w:r>
          </w:p>
          <w:p>
            <w:pPr>
              <w:spacing w:after="60"/>
            </w:pPr>
            <w:r>
              <w:rPr>
                <w:rFonts w:ascii="Noto Sans" w:hAnsi="Noto Sans"/>
                <w:sz w:val="19"/>
              </w:rPr>
              <w:t>Keisha worries that teammates will move ahead of her and that the coach may replace her. She also says she has begun to realize that most of her friendships, routines, and self-esteem have revolved around running.</w:t>
            </w:r>
          </w:p>
          <w:p>
            <w:pPr>
              <w:spacing w:after="60"/>
            </w:pPr>
            <w:r>
              <w:rPr>
                <w:rFonts w:ascii="Noto Sans" w:hAnsi="Noto Sans"/>
                <w:sz w:val="19"/>
              </w:rPr>
              <w:t>The counselor is participating in the coordinated treatment plan under qualified consultation.</w:t>
            </w:r>
          </w:p>
          <w:p>
            <w:pPr>
              <w:spacing w:after="60"/>
            </w:pPr>
            <w:r>
              <w:rPr>
                <w:rFonts w:ascii="Noto Sans" w:hAnsi="Noto Sans"/>
                <w:sz w:val="19"/>
              </w:rPr>
              <w:t>Keisha has authorized communication among her treatment providers. A separate authorization allows the athletic trainer to receive functional participation restrictions necessary to support her care. She has not authorized the counselor to disclose psychotherapy details directly to her coach.</w:t>
            </w:r>
          </w:p>
          <w:p>
            <w:pPr>
              <w:spacing w:after="60"/>
            </w:pPr>
            <w:r>
              <w:rPr>
                <w:rFonts w:ascii="Noto Sans" w:hAnsi="Noto Sans"/>
                <w:sz w:val="19"/>
              </w:rPr>
              <w:t>The coach contacts the counselor and requests Keisha’s diagnosis, current weight, treatment progress, and an estimate of when she can compete again.</w:t>
            </w:r>
          </w:p>
        </w:tc>
      </w:tr>
    </w:tbl>
    <w:p>
      <w:pPr>
        <w:keepNext/>
        <w:spacing w:before="120" w:after="40"/>
      </w:pPr>
      <w:r>
        <w:rPr>
          <w:rFonts w:ascii="Noto Sans" w:hAnsi="Noto Sans"/>
          <w:b/>
          <w:color w:val="1F2937"/>
          <w:sz w:val="20"/>
        </w:rPr>
        <w:t>61. Which next-phase counseling goal should Keisha and the counselor MOST appropriately establish together while medical and return-to-sport decisions remain with the multidisciplinary team?</w:t>
      </w:r>
    </w:p>
    <w:p>
      <w:pPr>
        <w:spacing w:after="10"/>
        <w:ind w:left="230" w:hanging="187"/>
      </w:pPr>
      <w:r>
        <w:rPr>
          <w:rFonts w:ascii="Noto Sans" w:hAnsi="Noto Sans"/>
          <w:sz w:val="19"/>
        </w:rPr>
        <w:t>A. Within four weeks, Keisha will obtain medical clearance to resume running and begin a graded return-to-sport plan with the counselor.</w:t>
      </w:r>
    </w:p>
    <w:p>
      <w:pPr>
        <w:spacing w:after="10"/>
        <w:ind w:left="230" w:hanging="187"/>
      </w:pPr>
      <w:r>
        <w:rPr>
          <w:rFonts w:ascii="Noto Sans" w:hAnsi="Noto Sans"/>
          <w:sz w:val="19"/>
        </w:rPr>
        <w:t>B. Within four weeks, Keisha will complete every nutrition and activity recommendation without deviation and report increased confidence in recovery.</w:t>
      </w:r>
    </w:p>
    <w:p>
      <w:pPr>
        <w:spacing w:after="10"/>
        <w:ind w:left="230" w:hanging="187"/>
      </w:pPr>
      <w:r>
        <w:rPr>
          <w:rFonts w:ascii="Noto Sans" w:hAnsi="Noto Sans"/>
          <w:sz w:val="19"/>
        </w:rPr>
        <w:t>C. Within four weeks, Keisha will lower weight-gain fear before beginning identity work, using weekly anxiety ratings to determine readiness for that next phase.</w:t>
      </w:r>
    </w:p>
    <w:p>
      <w:pPr>
        <w:spacing w:after="10"/>
        <w:ind w:left="230" w:hanging="187"/>
      </w:pPr>
      <w:r>
        <w:rPr>
          <w:rFonts w:ascii="Noto Sans" w:hAnsi="Noto Sans"/>
          <w:sz w:val="19"/>
        </w:rPr>
        <w:t>D. Within four weeks, Keisha will practice three coping responses for body or rest distress and identify two nonperformance sources of identity or support.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62. Which response would best facilitate Keisha’s motivation to continue recovery?</w:t>
      </w:r>
    </w:p>
    <w:p>
      <w:pPr>
        <w:spacing w:after="10"/>
        <w:ind w:left="230" w:hanging="187"/>
      </w:pPr>
      <w:r>
        <w:rPr>
          <w:rFonts w:ascii="Noto Sans" w:hAnsi="Noto Sans"/>
          <w:sz w:val="19"/>
        </w:rPr>
        <w:t>A. Review the medical risks of premature return to sport and ask Keisha to commit to the treatment plan until the team clears competition.</w:t>
      </w:r>
    </w:p>
    <w:p>
      <w:pPr>
        <w:spacing w:after="10"/>
        <w:ind w:left="230" w:hanging="187"/>
      </w:pPr>
      <w:r>
        <w:rPr>
          <w:rFonts w:ascii="Noto Sans" w:hAnsi="Noto Sans"/>
          <w:sz w:val="19"/>
        </w:rPr>
        <w:t>B. Ask Keisha to list the costs of restriction until she recognizes that continued eating-disorder behavior conflicts with her scholarship goals.</w:t>
      </w:r>
    </w:p>
    <w:p>
      <w:pPr>
        <w:spacing w:after="10"/>
        <w:ind w:left="230" w:hanging="187"/>
      </w:pPr>
      <w:r>
        <w:rPr>
          <w:rFonts w:ascii="Noto Sans" w:hAnsi="Noto Sans"/>
          <w:sz w:val="19"/>
        </w:rPr>
        <w:t>C. Reassure Keisha that recovery will probably improve her future performance so the temporary exercise restrictions feel more worthwhile and manageable.</w:t>
      </w:r>
    </w:p>
    <w:p>
      <w:pPr>
        <w:spacing w:after="10"/>
        <w:ind w:left="230" w:hanging="187"/>
      </w:pPr>
      <w:r>
        <w:rPr>
          <w:rFonts w:ascii="Noto Sans" w:hAnsi="Noto Sans"/>
          <w:sz w:val="19"/>
        </w:rPr>
        <w:t>D. Explore what running, health, school, and long-term athletic goals mean to Keisha, then connect one chosen recovery step to those values.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63. How should the counselor respond to the coach’s request?</w:t>
      </w:r>
    </w:p>
    <w:p>
      <w:pPr>
        <w:spacing w:after="10"/>
        <w:ind w:left="230" w:hanging="187"/>
      </w:pPr>
      <w:r>
        <w:rPr>
          <w:rFonts w:ascii="Noto Sans" w:hAnsi="Noto Sans"/>
          <w:sz w:val="19"/>
        </w:rPr>
        <w:t>A. Decline all communication with athletics so Keisha’s confidentiality remains protected, while allowing her to relay any recommendations she chooses.</w:t>
      </w:r>
    </w:p>
    <w:p>
      <w:pPr>
        <w:spacing w:after="10"/>
        <w:ind w:left="230" w:hanging="187"/>
      </w:pPr>
      <w:r>
        <w:rPr>
          <w:rFonts w:ascii="Noto Sans" w:hAnsi="Noto Sans"/>
          <w:sz w:val="19"/>
        </w:rPr>
        <w:t>B. Send the coach a brief summary of diagnosis, treatment attendance, current weight trend, and expected return date because scholarship decisions affect care.</w:t>
      </w:r>
    </w:p>
    <w:p>
      <w:pPr>
        <w:spacing w:after="10"/>
        <w:ind w:left="230" w:hanging="187"/>
      </w:pPr>
      <w:r>
        <w:rPr>
          <w:rFonts w:ascii="Noto Sans" w:hAnsi="Noto Sans"/>
          <w:sz w:val="19"/>
        </w:rPr>
        <w:t>C. Clarify Keisha’s authorization and the coach’s purpose, then share only agreed functional information while directing medical clearance questions to qualified providers.</w:t>
      </w:r>
    </w:p>
    <w:p>
      <w:pPr>
        <w:spacing w:after="10"/>
        <w:ind w:left="230" w:hanging="187"/>
      </w:pPr>
      <w:r>
        <w:rPr>
          <w:rFonts w:ascii="Noto Sans" w:hAnsi="Noto Sans"/>
          <w:sz w:val="19"/>
        </w:rPr>
        <w:t>D. Provide the coach the counselor’s psychological readiness opinion, while withholding weight, diagnosis, and treatment details unless Keisha authorizes them separately.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64. Which counseling strategy best stays within the counselor’s role while addressing Keisha’s remaining difficulties?</w:t>
      </w:r>
    </w:p>
    <w:p>
      <w:pPr>
        <w:spacing w:after="10"/>
        <w:ind w:left="230" w:hanging="187"/>
      </w:pPr>
      <w:r>
        <w:rPr>
          <w:rFonts w:ascii="Noto Sans" w:hAnsi="Noto Sans"/>
          <w:sz w:val="19"/>
        </w:rPr>
        <w:t>A. Develop an eating and training schedule with Keisha so she can practice flexibility without relying on the treatment team’s prescriptions.</w:t>
      </w:r>
    </w:p>
    <w:p>
      <w:pPr>
        <w:spacing w:after="10"/>
        <w:ind w:left="230" w:hanging="187"/>
      </w:pPr>
      <w:r>
        <w:rPr>
          <w:rFonts w:ascii="Noto Sans" w:hAnsi="Noto Sans"/>
          <w:sz w:val="19"/>
        </w:rPr>
        <w:t>B. Use counseling to challenge weight beliefs until Keisha accepts the team’s target weight, then begin work on perfectionism and identity flexibility.</w:t>
      </w:r>
    </w:p>
    <w:p>
      <w:pPr>
        <w:spacing w:after="10"/>
        <w:ind w:left="230" w:hanging="187"/>
      </w:pPr>
      <w:r>
        <w:rPr>
          <w:rFonts w:ascii="Noto Sans" w:hAnsi="Noto Sans"/>
          <w:sz w:val="19"/>
        </w:rPr>
        <w:t>C. Practice coping with body-image distress, perfectionistic thoughts, rest-related guilt, identity shifts, and support-seeking while keeping prescriptions within team roles.</w:t>
      </w:r>
    </w:p>
    <w:p>
      <w:pPr>
        <w:spacing w:after="10"/>
        <w:ind w:left="230" w:hanging="187"/>
      </w:pPr>
      <w:r>
        <w:rPr>
          <w:rFonts w:ascii="Noto Sans" w:hAnsi="Noto Sans"/>
          <w:sz w:val="19"/>
        </w:rPr>
        <w:t>D. Focus on nonathletic hobbies and relationships until running no longer defines Keisha’s self-worth, then revisit sport-related coping and performance concerns.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65. Which pre/post measurement plan BEST evaluates change in the counseling targets while medical outcomes continue to be monitored by Keisha's treatment team?</w:t>
      </w:r>
    </w:p>
    <w:p>
      <w:pPr>
        <w:spacing w:after="10"/>
        <w:ind w:left="230" w:hanging="187"/>
      </w:pPr>
      <w:r>
        <w:rPr>
          <w:rFonts w:ascii="Noto Sans" w:hAnsi="Noto Sans"/>
          <w:sz w:val="19"/>
        </w:rPr>
        <w:t>A. Repeat the same eating-disorder and anxiety measures at planned intervals and compare them with baseline restriction, exercise urges, body distress, mood, functioning, and unsafe behavior.</w:t>
      </w:r>
    </w:p>
    <w:p>
      <w:pPr>
        <w:spacing w:after="10"/>
        <w:ind w:left="230" w:hanging="187"/>
      </w:pPr>
      <w:r>
        <w:rPr>
          <w:rFonts w:ascii="Noto Sans" w:hAnsi="Noto Sans"/>
          <w:sz w:val="19"/>
        </w:rPr>
        <w:t>B. Repeat the same symptom measure and use weight, vital signs, and medical clearance as the primary benchmark for judging whether counseling has produced meaningful change.</w:t>
      </w:r>
    </w:p>
    <w:p>
      <w:pPr>
        <w:spacing w:after="10"/>
        <w:ind w:left="230" w:hanging="187"/>
      </w:pPr>
      <w:r>
        <w:rPr>
          <w:rFonts w:ascii="Noto Sans" w:hAnsi="Noto Sans"/>
          <w:sz w:val="19"/>
        </w:rPr>
        <w:t>C. Select the most relevant symptom measure each week and compare current scores with clinical impressions so measurement can follow whichever problem is most active.</w:t>
      </w:r>
    </w:p>
    <w:p>
      <w:pPr>
        <w:spacing w:after="10"/>
        <w:ind w:left="230" w:hanging="187"/>
      </w:pPr>
      <w:r>
        <w:rPr>
          <w:rFonts w:ascii="Noto Sans" w:hAnsi="Noto Sans"/>
          <w:sz w:val="19"/>
        </w:rPr>
        <w:t>D. Repeat general anxiety and depression measures and use medical-team reports for eating-disorder-specific outcomes so the counselor does not duplicate specialty assessment.</w:t>
      </w:r>
    </w:p>
    <w:p>
      <w:pPr>
        <w:spacing w:after="40"/>
      </w:pPr>
      <w:r>
        <w:rPr>
          <w:rFonts w:ascii="Noto Sans" w:hAnsi="Noto Sans"/>
          <w:color w:val="6B7280"/>
          <w:sz w:val="17"/>
        </w:rPr>
        <w:t>Answer: ________     Confidence:  1  2  3  4  5</w:t>
      </w:r>
    </w:p>
    <w:p>
      <w:r>
        <w:br w:type="page"/>
      </w:r>
    </w:p>
    <w:p>
      <w:pPr>
        <w:pStyle w:val="Heading1"/>
      </w:pPr>
      <w:r>
        <w:t>CASE 6: Mateo C.</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Mateo is a 26-year-old client who reports recurrent superficial cutting since his late teens. His most recent episode occurred two days ago after his partner did not respond to several messages for several hours.</w:t>
            </w:r>
          </w:p>
          <w:p>
            <w:pPr>
              <w:spacing w:after="60"/>
            </w:pPr>
            <w:r>
              <w:rPr>
                <w:rFonts w:ascii="Noto Sans" w:hAnsi="Noto Sans"/>
                <w:sz w:val="19"/>
              </w:rPr>
              <w:t>Mateo used a razor to make several shallow cuts on his forearm. The bleeding stopped without medical treatment. He says he did not expect or intend to die and describes the purpose as “getting the pressure out of my body.”</w:t>
            </w:r>
          </w:p>
          <w:p>
            <w:pPr>
              <w:spacing w:after="60"/>
            </w:pPr>
            <w:r>
              <w:rPr>
                <w:rFonts w:ascii="Noto Sans" w:hAnsi="Noto Sans"/>
                <w:sz w:val="19"/>
              </w:rPr>
              <w:t>He adds, “Cutting is what keeps me from doing something worse.”</w:t>
            </w:r>
          </w:p>
          <w:p>
            <w:pPr>
              <w:spacing w:after="60"/>
            </w:pPr>
            <w:r>
              <w:rPr>
                <w:rFonts w:ascii="Noto Sans" w:hAnsi="Noto Sans"/>
                <w:sz w:val="19"/>
              </w:rPr>
              <w:t>Mateo becomes intensely distressed when someone important to him seems unavailable. He describes close relationships as “either everything or completely fake” and reports frequently moving from feeling extremely close to someone to believing the person does not care about him.</w:t>
            </w:r>
          </w:p>
          <w:p>
            <w:pPr>
              <w:spacing w:after="60"/>
            </w:pPr>
            <w:r>
              <w:rPr>
                <w:rFonts w:ascii="Noto Sans" w:hAnsi="Noto Sans"/>
                <w:sz w:val="19"/>
              </w:rPr>
              <w:t>Similar patterns occur in counseling. After difficult sessions, Mateo sometimes sends several urgent messages. When the counselor replies quickly, he reports brief relief but often sends another message seeking additional contact or clarification. When a reply does not come quickly, Mateo may write that the counselor is abandoning him and threaten to quit treatment.</w:t>
            </w:r>
          </w:p>
          <w:p>
            <w:pPr>
              <w:spacing w:after="60"/>
            </w:pPr>
            <w:r>
              <w:rPr>
                <w:rFonts w:ascii="Noto Sans" w:hAnsi="Noto Sans"/>
                <w:sz w:val="19"/>
              </w:rPr>
              <w:t>The counselor has not yet reached a personality-disorder diagnosis.</w:t>
            </w:r>
          </w:p>
        </w:tc>
      </w:tr>
    </w:tbl>
    <w:p>
      <w:pPr>
        <w:keepNext/>
        <w:spacing w:before="120" w:after="40"/>
      </w:pPr>
      <w:r>
        <w:rPr>
          <w:rFonts w:ascii="Noto Sans" w:hAnsi="Noto Sans"/>
          <w:b/>
          <w:color w:val="1F2937"/>
          <w:sz w:val="20"/>
        </w:rPr>
        <w:t>66. Which assessment would most directly clarify the clinical significance of Mateo's recent cutting?</w:t>
      </w:r>
    </w:p>
    <w:p>
      <w:pPr>
        <w:spacing w:after="10"/>
        <w:ind w:left="230" w:hanging="187"/>
      </w:pPr>
      <w:r>
        <w:rPr>
          <w:rFonts w:ascii="Noto Sans" w:hAnsi="Noto Sans"/>
          <w:sz w:val="19"/>
        </w:rPr>
        <w:t>A. Review wound care, substance use, sleep, recent stress, access to the cutting method, and who was present afterward.</w:t>
      </w:r>
    </w:p>
    <w:p>
      <w:pPr>
        <w:spacing w:after="10"/>
        <w:ind w:left="230" w:hanging="187"/>
      </w:pPr>
      <w:r>
        <w:rPr>
          <w:rFonts w:ascii="Noto Sans" w:hAnsi="Noto Sans"/>
          <w:sz w:val="19"/>
        </w:rPr>
        <w:t>B. Clarify relationship triggers, abandonment fears, urgent-message patterns, provider interactions, and what usually happens after Mateo receives rapid reassurance.</w:t>
      </w:r>
    </w:p>
    <w:p>
      <w:pPr>
        <w:spacing w:after="10"/>
        <w:ind w:left="230" w:hanging="187"/>
      </w:pPr>
      <w:r>
        <w:rPr>
          <w:rFonts w:ascii="Noto Sans" w:hAnsi="Noto Sans"/>
          <w:sz w:val="19"/>
        </w:rPr>
        <w:t>C. Assess cutting intent, expected outcome, medical severity, suicidal thoughts or plans, means, history, intoxication, and protective factors.</w:t>
      </w:r>
    </w:p>
    <w:p>
      <w:pPr>
        <w:spacing w:after="10"/>
        <w:ind w:left="230" w:hanging="187"/>
      </w:pPr>
      <w:r>
        <w:rPr>
          <w:rFonts w:ascii="Noto Sans" w:hAnsi="Noto Sans"/>
          <w:sz w:val="19"/>
        </w:rPr>
        <w:t>D. Complete mood, trauma, bipolar, substance, identity, and personality-pattern history before deciding whether the current episode represents acute risk.</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67. Mateo says, “Cutting is what keeps me from doing something worse.” Which response best demonstrates empathic responding while preserving safety assessment?</w:t>
      </w:r>
    </w:p>
    <w:p>
      <w:pPr>
        <w:spacing w:after="10"/>
        <w:ind w:left="230" w:hanging="187"/>
      </w:pPr>
      <w:r>
        <w:rPr>
          <w:rFonts w:ascii="Noto Sans" w:hAnsi="Noto Sans"/>
          <w:sz w:val="19"/>
        </w:rPr>
        <w:t>A. It sounds like cutting gives temporary relief when the pressure spikes. I want to understand that relief and what ‘something worse’ means.</w:t>
      </w:r>
    </w:p>
    <w:p>
      <w:pPr>
        <w:spacing w:after="10"/>
        <w:ind w:left="230" w:hanging="187"/>
      </w:pPr>
      <w:r>
        <w:rPr>
          <w:rFonts w:ascii="Noto Sans" w:hAnsi="Noto Sans"/>
          <w:sz w:val="19"/>
        </w:rPr>
        <w:t>B. If cutting prevents a suicide attempt, we can treat it as a temporary coping strategy while we build safer alternatives together.</w:t>
      </w:r>
    </w:p>
    <w:p>
      <w:pPr>
        <w:spacing w:after="10"/>
        <w:ind w:left="230" w:hanging="187"/>
      </w:pPr>
      <w:r>
        <w:rPr>
          <w:rFonts w:ascii="Noto Sans" w:hAnsi="Noto Sans"/>
          <w:sz w:val="19"/>
        </w:rPr>
        <w:t>C. You are telling me the urge becomes intense quickly. Let's identify a distress-tolerance skill you can use instead next time.</w:t>
      </w:r>
    </w:p>
    <w:p>
      <w:pPr>
        <w:spacing w:after="10"/>
        <w:ind w:left="230" w:hanging="187"/>
      </w:pPr>
      <w:r>
        <w:rPr>
          <w:rFonts w:ascii="Noto Sans" w:hAnsi="Noto Sans"/>
          <w:sz w:val="19"/>
        </w:rPr>
        <w:t>D. The fact that cutting reduces pressure does not make it safe. We need to focus first on stopping the behavior and risk.</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68. Which working hypothesis would be most useful for understanding Mateo's urgent-message pattern at this stage?</w:t>
      </w:r>
    </w:p>
    <w:p>
      <w:pPr>
        <w:spacing w:after="10"/>
        <w:ind w:left="230" w:hanging="187"/>
      </w:pPr>
      <w:r>
        <w:rPr>
          <w:rFonts w:ascii="Noto Sans" w:hAnsi="Noto Sans"/>
          <w:sz w:val="19"/>
        </w:rPr>
        <w:t>A. The messaging primarily reflects poor respect for boundaries, so firmer consequences will likely reduce the behavior without further relational analysis.</w:t>
      </w:r>
    </w:p>
    <w:p>
      <w:pPr>
        <w:spacing w:after="10"/>
        <w:ind w:left="230" w:hanging="187"/>
      </w:pPr>
      <w:r>
        <w:rPr>
          <w:rFonts w:ascii="Noto Sans" w:hAnsi="Noto Sans"/>
          <w:sz w:val="19"/>
        </w:rPr>
        <w:t>B. The messaging is best understood as evidence of a personality disorder because it escalates whenever the counselor is not immediately available.</w:t>
      </w:r>
    </w:p>
    <w:p>
      <w:pPr>
        <w:spacing w:after="10"/>
        <w:ind w:left="230" w:hanging="187"/>
      </w:pPr>
      <w:r>
        <w:rPr>
          <w:rFonts w:ascii="Noto Sans" w:hAnsi="Noto Sans"/>
          <w:sz w:val="19"/>
        </w:rPr>
        <w:t>C. The messaging mainly signals inadequate coping skills, so skills training should begin before exploring how counselor responses affect the pattern.</w:t>
      </w:r>
    </w:p>
    <w:p>
      <w:pPr>
        <w:spacing w:after="10"/>
        <w:ind w:left="230" w:hanging="187"/>
      </w:pPr>
      <w:r>
        <w:rPr>
          <w:rFonts w:ascii="Noto Sans" w:hAnsi="Noto Sans"/>
          <w:sz w:val="19"/>
        </w:rPr>
        <w:t>D. Urgent contact may briefly regulate abandonment fear and shape a repeating counselor-client cycle; examine triggers, responses, relief, and later consequences.</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Further assessment shows that Mateo's relationship instability began in late adolescence and has occurred across romantic relationships, friendships, family relationships, and several treatment relationships.</w:t>
            </w:r>
          </w:p>
          <w:p>
            <w:pPr>
              <w:spacing w:after="60"/>
            </w:pPr>
            <w:r>
              <w:rPr>
                <w:rFonts w:ascii="Noto Sans" w:hAnsi="Noto Sans"/>
                <w:sz w:val="19"/>
              </w:rPr>
              <w:t>He describes chronic feelings of emptiness and an unstable sense of who he is. His career plans, values, and view of himself can shift markedly depending on whether he feels accepted or rejected by someone important to him. During interpersonal conflict, he can move within hours from intense attachment to anger and rejection.</w:t>
            </w:r>
          </w:p>
          <w:p>
            <w:pPr>
              <w:spacing w:after="60"/>
            </w:pPr>
            <w:r>
              <w:rPr>
                <w:rFonts w:ascii="Noto Sans" w:hAnsi="Noto Sans"/>
                <w:sz w:val="19"/>
              </w:rPr>
              <w:t>Mateo reports no distinct multiday periods of elevated or expansive mood, grandiosity, markedly increased goal-directed activity, or reduced need for sleep. He reports adverse childhood experiences but does not currently describe a trauma syndrome that accounts for the full longitudinal pattern.</w:t>
            </w:r>
          </w:p>
          <w:p>
            <w:pPr>
              <w:spacing w:after="60"/>
            </w:pPr>
            <w:r>
              <w:rPr>
                <w:rFonts w:ascii="Noto Sans" w:hAnsi="Noto Sans"/>
                <w:sz w:val="19"/>
              </w:rPr>
              <w:t>Several times per month during severe interpersonal conflicts, Mateo drinks five to seven alcoholic beverages in an evening. Some cutting episodes have occurred after drinking, although the relationship and self-image patterns also occur when he is sober.</w:t>
            </w:r>
          </w:p>
          <w:p>
            <w:pPr>
              <w:spacing w:after="60"/>
            </w:pPr>
            <w:r>
              <w:rPr>
                <w:rFonts w:ascii="Noto Sans" w:hAnsi="Noto Sans"/>
                <w:sz w:val="19"/>
              </w:rPr>
              <w:t>At age 19, Mateo intentionally took a large quantity of over-the-counter medication because he wanted to die. A roommate found him and called emergency services. Mateo received medical treatment.</w:t>
            </w:r>
          </w:p>
          <w:p>
            <w:pPr>
              <w:spacing w:after="60"/>
            </w:pPr>
            <w:r>
              <w:rPr>
                <w:rFonts w:ascii="Noto Sans" w:hAnsi="Noto Sans"/>
                <w:sz w:val="19"/>
              </w:rPr>
              <w:t>Currently, Mateo reports brief passive thoughts such as “I wish I could disappear” approximately once or twice per week. He denies a current suicide plan, intent, or preparatory behavior. He agrees to reduce access to excess medications and identifies his sister and one close friend as reliable supports.</w:t>
            </w:r>
          </w:p>
          <w:p>
            <w:pPr>
              <w:spacing w:after="60"/>
            </w:pPr>
            <w:r>
              <w:rPr>
                <w:rFonts w:ascii="Noto Sans" w:hAnsi="Noto Sans"/>
                <w:sz w:val="19"/>
              </w:rPr>
              <w:t>The counselor reviews a written communication and crisis policy. Routine messages are generally answered during business hours, while urgent after-hours safety concerns are directed to designated crisis resources rather than guaranteed immediate counselor response.</w:t>
            </w:r>
          </w:p>
          <w:p>
            <w:pPr>
              <w:spacing w:after="60"/>
            </w:pPr>
            <w:r>
              <w:rPr>
                <w:rFonts w:ascii="Noto Sans" w:hAnsi="Noto Sans"/>
                <w:sz w:val="19"/>
              </w:rPr>
              <w:t>Mateo becomes angry and says, “So when I actually need you, you're going to disappear. You're just like everyone else.”</w:t>
            </w:r>
          </w:p>
          <w:p>
            <w:pPr>
              <w:spacing w:after="60"/>
            </w:pPr>
            <w:r>
              <w:rPr>
                <w:rFonts w:ascii="Noto Sans" w:hAnsi="Noto Sans"/>
                <w:sz w:val="19"/>
              </w:rPr>
              <w:t>He nevertheless agrees to continue discussing the treatment structure and begins a structured DBT-informed treatment plan.</w:t>
            </w:r>
          </w:p>
        </w:tc>
      </w:tr>
    </w:tbl>
    <w:p>
      <w:pPr>
        <w:keepNext/>
        <w:spacing w:before="120" w:after="40"/>
      </w:pPr>
      <w:r>
        <w:rPr>
          <w:rFonts w:ascii="Noto Sans" w:hAnsi="Noto Sans"/>
          <w:b/>
          <w:color w:val="1F2937"/>
          <w:sz w:val="20"/>
        </w:rPr>
        <w:t>69. Which provisional diagnosis is best supported by the longitudinal evidence?</w:t>
      </w:r>
    </w:p>
    <w:p>
      <w:pPr>
        <w:spacing w:after="10"/>
        <w:ind w:left="230" w:hanging="187"/>
      </w:pPr>
      <w:r>
        <w:rPr>
          <w:rFonts w:ascii="Noto Sans" w:hAnsi="Noto Sans"/>
          <w:sz w:val="19"/>
        </w:rPr>
        <w:t>A. Bipolar II disorder, because Mateo has intense mood shifts, impulsive behavior, irritability, changing self-image, and rapidly changing judgments of close relationships.</w:t>
      </w:r>
    </w:p>
    <w:p>
      <w:pPr>
        <w:spacing w:after="10"/>
        <w:ind w:left="230" w:hanging="187"/>
      </w:pPr>
      <w:r>
        <w:rPr>
          <w:rFonts w:ascii="Noto Sans" w:hAnsi="Noto Sans"/>
          <w:sz w:val="19"/>
        </w:rPr>
        <w:t>B. Posttraumatic stress disorder, because abandonment sensitivity, anger, self-injury, and relationship instability can develop after adverse interpersonal experiences across many settings.</w:t>
      </w:r>
    </w:p>
    <w:p>
      <w:pPr>
        <w:spacing w:after="10"/>
        <w:ind w:left="230" w:hanging="187"/>
      </w:pPr>
      <w:r>
        <w:rPr>
          <w:rFonts w:ascii="Noto Sans" w:hAnsi="Noto Sans"/>
          <w:sz w:val="19"/>
        </w:rPr>
        <w:t>C. Alcohol-induced mood disorder, because binge drinking occurs during some crises and may intensify impulsivity, anger, and self-harm urges.</w:t>
      </w:r>
    </w:p>
    <w:p>
      <w:pPr>
        <w:spacing w:after="10"/>
        <w:ind w:left="230" w:hanging="187"/>
      </w:pPr>
      <w:r>
        <w:rPr>
          <w:rFonts w:ascii="Noto Sans" w:hAnsi="Noto Sans"/>
          <w:sz w:val="19"/>
        </w:rPr>
        <w:t>D. Borderline personality disorder, provisional, because pervasive abandonment sensitivity, unstable relationships and identity, affective reactivity, emptiness, anger, and self-harm are present.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70. Which treatment-planning approach best organizes Mateo's current priorities?</w:t>
      </w:r>
    </w:p>
    <w:p>
      <w:pPr>
        <w:spacing w:after="10"/>
        <w:ind w:left="230" w:hanging="187"/>
      </w:pPr>
      <w:r>
        <w:rPr>
          <w:rFonts w:ascii="Noto Sans" w:hAnsi="Noto Sans"/>
          <w:sz w:val="19"/>
        </w:rPr>
        <w:t>A. Prioritize suicidal and self-injurious behavior, then therapy-interfering patterns, while also addressing alcohol and broader quality-of-life problems within the structured plan.</w:t>
      </w:r>
    </w:p>
    <w:p>
      <w:pPr>
        <w:spacing w:after="10"/>
        <w:ind w:left="230" w:hanging="187"/>
      </w:pPr>
      <w:r>
        <w:rPr>
          <w:rFonts w:ascii="Noto Sans" w:hAnsi="Noto Sans"/>
          <w:sz w:val="19"/>
        </w:rPr>
        <w:t>B. Prioritize alcohol reduction first because intoxication increases risk, then address self-harm and relationship problems after several weeks of reduced use.</w:t>
      </w:r>
    </w:p>
    <w:p>
      <w:pPr>
        <w:spacing w:after="10"/>
        <w:ind w:left="230" w:hanging="187"/>
      </w:pPr>
      <w:r>
        <w:rPr>
          <w:rFonts w:ascii="Noto Sans" w:hAnsi="Noto Sans"/>
          <w:sz w:val="19"/>
        </w:rPr>
        <w:t>C. Prioritize relationship stability and abandonment fears first because these triggers drive the other symptoms and will reduce risk indirectly.</w:t>
      </w:r>
    </w:p>
    <w:p>
      <w:pPr>
        <w:spacing w:after="10"/>
        <w:ind w:left="230" w:hanging="187"/>
      </w:pPr>
      <w:r>
        <w:rPr>
          <w:rFonts w:ascii="Noto Sans" w:hAnsi="Noto Sans"/>
          <w:sz w:val="19"/>
        </w:rPr>
        <w:t>D. Begin skills training across emotion regulation, interpersonal effectiveness, and distress tolerance simultaneously, allowing Mateo to choose which target matters most each week.</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71. Following a cutting episode, which intervention would provide the most useful DBT-informed behavioral analysis?</w:t>
      </w:r>
    </w:p>
    <w:p>
      <w:pPr>
        <w:spacing w:after="10"/>
        <w:ind w:left="230" w:hanging="187"/>
      </w:pPr>
      <w:r>
        <w:rPr>
          <w:rFonts w:ascii="Noto Sans" w:hAnsi="Noto Sans"/>
          <w:sz w:val="19"/>
        </w:rPr>
        <w:t>A. Reconstruct the prompting event, vulnerabilities, thoughts, emotions, actions, consequences, and points where alternative skills could interrupt the sequence.</w:t>
      </w:r>
    </w:p>
    <w:p>
      <w:pPr>
        <w:spacing w:after="10"/>
        <w:ind w:left="230" w:hanging="187"/>
      </w:pPr>
      <w:r>
        <w:rPr>
          <w:rFonts w:ascii="Noto Sans" w:hAnsi="Noto Sans"/>
          <w:sz w:val="19"/>
        </w:rPr>
        <w:t>B. Teach a distress-tolerance strategy and ask Mateo to practice it daily before examining the details of the most recent episode.</w:t>
      </w:r>
    </w:p>
    <w:p>
      <w:pPr>
        <w:spacing w:after="10"/>
        <w:ind w:left="230" w:hanging="187"/>
      </w:pPr>
      <w:r>
        <w:rPr>
          <w:rFonts w:ascii="Noto Sans" w:hAnsi="Noto Sans"/>
          <w:sz w:val="19"/>
        </w:rPr>
        <w:t>C. Review the safety plan and rehearse crisis contacts so Mateo has a clearer response if the urge to cut returns.</w:t>
      </w:r>
    </w:p>
    <w:p>
      <w:pPr>
        <w:spacing w:after="10"/>
        <w:ind w:left="230" w:hanging="187"/>
      </w:pPr>
      <w:r>
        <w:rPr>
          <w:rFonts w:ascii="Noto Sans" w:hAnsi="Noto Sans"/>
          <w:sz w:val="19"/>
        </w:rPr>
        <w:t>D. Examine the belief that delayed replies mean abandonment and use cognitive restructuring to generate more balanced interpretations for future conflicts.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72. Mateo says angrily, “Your communication policy proves that you will abandon me too.” Which response best demonstrates conflict tolerance and resolution?</w:t>
      </w:r>
    </w:p>
    <w:p>
      <w:pPr>
        <w:spacing w:after="10"/>
        <w:ind w:left="230" w:hanging="187"/>
      </w:pPr>
      <w:r>
        <w:rPr>
          <w:rFonts w:ascii="Noto Sans" w:hAnsi="Noto Sans"/>
          <w:sz w:val="19"/>
        </w:rPr>
        <w:t>A. Explain that the policy applies to every client, reassure Mateo that the counselor still cares, and redirect the conversation toward treatment goals.</w:t>
      </w:r>
    </w:p>
    <w:p>
      <w:pPr>
        <w:spacing w:after="10"/>
        <w:ind w:left="230" w:hanging="187"/>
      </w:pPr>
      <w:r>
        <w:rPr>
          <w:rFonts w:ascii="Noto Sans" w:hAnsi="Noto Sans"/>
          <w:sz w:val="19"/>
        </w:rPr>
        <w:t>B. Temporarily allow additional after-hours replies while trust develops, then return to the original communication policy once Mateo feels more secure.</w:t>
      </w:r>
    </w:p>
    <w:p>
      <w:pPr>
        <w:spacing w:after="10"/>
        <w:ind w:left="230" w:hanging="187"/>
      </w:pPr>
      <w:r>
        <w:rPr>
          <w:rFonts w:ascii="Noto Sans" w:hAnsi="Noto Sans"/>
          <w:sz w:val="19"/>
        </w:rPr>
        <w:t>C. Acknowledge that the limit felt like abandonment, invite Mateo's anger into the discussion, maintain the boundary, and examine what happened between them.</w:t>
      </w:r>
    </w:p>
    <w:p>
      <w:pPr>
        <w:spacing w:after="10"/>
        <w:ind w:left="230" w:hanging="187"/>
      </w:pPr>
      <w:r>
        <w:rPr>
          <w:rFonts w:ascii="Noto Sans" w:hAnsi="Noto Sans"/>
          <w:sz w:val="19"/>
        </w:rPr>
        <w:t>D. Postpone discussion of the policy until Mateo is less angry, using the current session to practice emotion-regulation skills instead.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73. The counselor notices feeling pulled between answering Mateo immediately at all hours and avoiding his messages altogether. What is the best response to this reaction?</w:t>
      </w:r>
    </w:p>
    <w:p>
      <w:pPr>
        <w:spacing w:after="10"/>
        <w:ind w:left="230" w:hanging="187"/>
      </w:pPr>
      <w:r>
        <w:rPr>
          <w:rFonts w:ascii="Noto Sans" w:hAnsi="Noto Sans"/>
          <w:sz w:val="19"/>
        </w:rPr>
        <w:t>A. Transfer Mateo to another clinician because strong counselor reactions indicate that objectivity and therapeutic usefulness have already been compromised.</w:t>
      </w:r>
    </w:p>
    <w:p>
      <w:pPr>
        <w:spacing w:after="10"/>
        <w:ind w:left="230" w:hanging="187"/>
      </w:pPr>
      <w:r>
        <w:rPr>
          <w:rFonts w:ascii="Noto Sans" w:hAnsi="Noto Sans"/>
          <w:sz w:val="19"/>
        </w:rPr>
        <w:t>B. Tell Mateo that the volume of messages is exhausting so he can understand the effect his behavior has on the counselor.</w:t>
      </w:r>
    </w:p>
    <w:p>
      <w:pPr>
        <w:spacing w:after="10"/>
        <w:ind w:left="230" w:hanging="187"/>
      </w:pPr>
      <w:r>
        <w:rPr>
          <w:rFonts w:ascii="Noto Sans" w:hAnsi="Noto Sans"/>
          <w:sz w:val="19"/>
        </w:rPr>
        <w:t>C. Notice the pull toward overavailability or withdrawal, seek supervision or consultation, and use that awareness to maintain a consistent treatment frame.</w:t>
      </w:r>
    </w:p>
    <w:p>
      <w:pPr>
        <w:spacing w:after="10"/>
        <w:ind w:left="230" w:hanging="187"/>
      </w:pPr>
      <w:r>
        <w:rPr>
          <w:rFonts w:ascii="Noto Sans" w:hAnsi="Noto Sans"/>
          <w:sz w:val="19"/>
        </w:rPr>
        <w:t>D. Increase responsiveness temporarily to reduce the counselor's anxiety about risk, then tighten the boundary after Mateo becomes more stable.</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After approximately 10 weeks of structured treatment, Mateo's cutting decreases from roughly weekly to one episode during the past six weeks. He has made no suicide attempts. Passive suicidal thoughts occur less often, and he uses distress-tolerance or interpersonal skills before acting on urges more consistently.</w:t>
            </w:r>
          </w:p>
          <w:p>
            <w:pPr>
              <w:spacing w:after="60"/>
            </w:pPr>
            <w:r>
              <w:rPr>
                <w:rFonts w:ascii="Noto Sans" w:hAnsi="Noto Sans"/>
                <w:sz w:val="19"/>
              </w:rPr>
              <w:t>Alcohol-related crises have decreased but have not disappeared. Mateo has had one binge-drinking episode during the past six weeks.</w:t>
            </w:r>
          </w:p>
          <w:p>
            <w:pPr>
              <w:spacing w:after="60"/>
            </w:pPr>
            <w:r>
              <w:rPr>
                <w:rFonts w:ascii="Noto Sans" w:hAnsi="Noto Sans"/>
                <w:sz w:val="19"/>
              </w:rPr>
              <w:t>He generally attends scheduled sessions and has become more willing to discuss relationship ruptures rather than terminating treatment immediately.</w:t>
            </w:r>
          </w:p>
          <w:p>
            <w:pPr>
              <w:spacing w:after="60"/>
            </w:pPr>
            <w:r>
              <w:rPr>
                <w:rFonts w:ascii="Noto Sans" w:hAnsi="Noto Sans"/>
                <w:sz w:val="19"/>
              </w:rPr>
              <w:t>The counselor then schedules a one-week vacation. Several weeks beforehand, the counselor tells Mateo the dates, reviews the usual communication limits, identifies crisis coverage and alternative supports, and discusses the possibility that the absence may be difficult.</w:t>
            </w:r>
          </w:p>
          <w:p>
            <w:pPr>
              <w:spacing w:after="60"/>
            </w:pPr>
            <w:r>
              <w:rPr>
                <w:rFonts w:ascii="Noto Sans" w:hAnsi="Noto Sans"/>
                <w:sz w:val="19"/>
              </w:rPr>
              <w:t>During the vacation, Mateo sends multiple messages to the usual practice communication channel. He does not report a suicide plan or emergency in the messages. He also posts publicly on social media: “Therapists pretend they care until they leave you when you need them.” He tags the practice's professional account. The counselor becomes aware of the post because the practice receives the tag notification; the counselor had not searched Mateo's social-media account.</w:t>
            </w:r>
          </w:p>
          <w:p>
            <w:pPr>
              <w:spacing w:after="60"/>
            </w:pPr>
            <w:r>
              <w:rPr>
                <w:rFonts w:ascii="Noto Sans" w:hAnsi="Noto Sans"/>
                <w:sz w:val="19"/>
              </w:rPr>
              <w:t>After the vacation, Mateo misses two appointments. When he returns, he reports intense urges to cut during the absence but says he did not act on them. He denies current active suicidal ideation, plan, intent, or preparation.</w:t>
            </w:r>
          </w:p>
          <w:p>
            <w:pPr>
              <w:spacing w:after="60"/>
            </w:pPr>
            <w:r>
              <w:rPr>
                <w:rFonts w:ascii="Noto Sans" w:hAnsi="Noto Sans"/>
                <w:sz w:val="19"/>
              </w:rPr>
              <w:t>Mateo says, “If you actually cared, you would apologize publicly and tell people you left me when I needed you.”</w:t>
            </w:r>
          </w:p>
        </w:tc>
      </w:tr>
    </w:tbl>
    <w:p>
      <w:pPr>
        <w:keepNext/>
        <w:spacing w:before="120" w:after="40"/>
      </w:pPr>
      <w:r>
        <w:rPr>
          <w:rFonts w:ascii="Noto Sans" w:hAnsi="Noto Sans"/>
          <w:b/>
          <w:color w:val="1F2937"/>
          <w:sz w:val="20"/>
        </w:rPr>
        <w:t>74. What is the most appropriate professional response to Mateo's public social-media post?</w:t>
      </w:r>
    </w:p>
    <w:p>
      <w:pPr>
        <w:spacing w:after="10"/>
        <w:ind w:left="230" w:hanging="187"/>
      </w:pPr>
      <w:r>
        <w:rPr>
          <w:rFonts w:ascii="Noto Sans" w:hAnsi="Noto Sans"/>
          <w:sz w:val="19"/>
        </w:rPr>
        <w:t>A. Ignore the post entirely because responding clinically to public online content would violate Mateo's privacy, blur treatment boundaries, and reinforce online contact.</w:t>
      </w:r>
    </w:p>
    <w:p>
      <w:pPr>
        <w:spacing w:after="10"/>
        <w:ind w:left="230" w:hanging="187"/>
      </w:pPr>
      <w:r>
        <w:rPr>
          <w:rFonts w:ascii="Noto Sans" w:hAnsi="Noto Sans"/>
          <w:sz w:val="19"/>
        </w:rPr>
        <w:t>B. Avoid publicly confirming or disputing the counseling relationship, assess safety privately, document the clinical significance, and address the rupture through established channels.</w:t>
      </w:r>
    </w:p>
    <w:p>
      <w:pPr>
        <w:spacing w:after="10"/>
        <w:ind w:left="230" w:hanging="187"/>
      </w:pPr>
      <w:r>
        <w:rPr>
          <w:rFonts w:ascii="Noto Sans" w:hAnsi="Noto Sans"/>
          <w:sz w:val="19"/>
        </w:rPr>
        <w:t>C. Post a general statement that the practice cannot discuss current or former clients, without naming Mateo or addressing his specific complaint.</w:t>
      </w:r>
    </w:p>
    <w:p>
      <w:pPr>
        <w:spacing w:after="10"/>
        <w:ind w:left="230" w:hanging="187"/>
      </w:pPr>
      <w:r>
        <w:rPr>
          <w:rFonts w:ascii="Noto Sans" w:hAnsi="Noto Sans"/>
          <w:sz w:val="19"/>
        </w:rPr>
        <w:t>D. Send Mateo a private message through the platform asking him to remove the post, then discuss the conflict and safety at the next appointment.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75. Which treatment-plan revision best addresses the pattern revealed by the counselor's vacation?</w:t>
      </w:r>
    </w:p>
    <w:p>
      <w:pPr>
        <w:spacing w:after="10"/>
        <w:ind w:left="230" w:hanging="187"/>
      </w:pPr>
      <w:r>
        <w:rPr>
          <w:rFonts w:ascii="Noto Sans" w:hAnsi="Noto Sans"/>
          <w:sz w:val="19"/>
        </w:rPr>
        <w:t>A. Prepare explicitly for future absences by identifying likely triggers, alternative supports, message expectations, crisis routes, skills, and a post-return session plan.</w:t>
      </w:r>
    </w:p>
    <w:p>
      <w:pPr>
        <w:spacing w:after="10"/>
        <w:ind w:left="230" w:hanging="187"/>
      </w:pPr>
      <w:r>
        <w:rPr>
          <w:rFonts w:ascii="Noto Sans" w:hAnsi="Noto Sans"/>
          <w:sz w:val="19"/>
        </w:rPr>
        <w:t>B. Increase counselor availability around future absences so Mateo experiences continuity, then gradually reduce extra contact after the relationship feels more secure.</w:t>
      </w:r>
    </w:p>
    <w:p>
      <w:pPr>
        <w:spacing w:after="10"/>
        <w:ind w:left="230" w:hanging="187"/>
      </w:pPr>
      <w:r>
        <w:rPr>
          <w:rFonts w:ascii="Noto Sans" w:hAnsi="Noto Sans"/>
          <w:sz w:val="19"/>
        </w:rPr>
        <w:t>C. Keep the current plan unchanged because modifying boundaries after a rupture may reinforce escalation and teach Mateo that crises alter treatment structure.</w:t>
      </w:r>
    </w:p>
    <w:p>
      <w:pPr>
        <w:spacing w:after="10"/>
        <w:ind w:left="230" w:hanging="187"/>
      </w:pPr>
      <w:r>
        <w:rPr>
          <w:rFonts w:ascii="Noto Sans" w:hAnsi="Noto Sans"/>
          <w:sz w:val="19"/>
        </w:rPr>
        <w:t>D. Pause absence-related work until Mateo has several weeks without self-harm urges, then revisit how planned separations affect the therapeutic relationship.</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76. Which response best facilitates awareness of the here-and-now therapeutic interaction?</w:t>
      </w:r>
    </w:p>
    <w:p>
      <w:pPr>
        <w:spacing w:after="10"/>
        <w:ind w:left="230" w:hanging="187"/>
      </w:pPr>
      <w:r>
        <w:rPr>
          <w:rFonts w:ascii="Noto Sans" w:hAnsi="Noto Sans"/>
          <w:sz w:val="19"/>
        </w:rPr>
        <w:t>A. I gave you advance notice and coverage information, so I want us to focus on how your interpretation of the vacation escalated the conflict.</w:t>
      </w:r>
    </w:p>
    <w:p>
      <w:pPr>
        <w:spacing w:after="10"/>
        <w:ind w:left="230" w:hanging="187"/>
      </w:pPr>
      <w:r>
        <w:rPr>
          <w:rFonts w:ascii="Noto Sans" w:hAnsi="Noto Sans"/>
          <w:sz w:val="19"/>
        </w:rPr>
        <w:t>B. I am sorry the vacation hurt you. I should have been more available, and I will try not to take extended time away again.</w:t>
      </w:r>
    </w:p>
    <w:p>
      <w:pPr>
        <w:spacing w:after="10"/>
        <w:ind w:left="230" w:hanging="187"/>
      </w:pPr>
      <w:r>
        <w:rPr>
          <w:rFonts w:ascii="Noto Sans" w:hAnsi="Noto Sans"/>
          <w:sz w:val="19"/>
        </w:rPr>
        <w:t>C. When I was unavailable, it felt like proof that I would leave. Can we look at what you expected, felt, and did between us?</w:t>
      </w:r>
    </w:p>
    <w:p>
      <w:pPr>
        <w:spacing w:after="10"/>
        <w:ind w:left="230" w:hanging="187"/>
      </w:pPr>
      <w:r>
        <w:rPr>
          <w:rFonts w:ascii="Noto Sans" w:hAnsi="Noto Sans"/>
          <w:sz w:val="19"/>
        </w:rPr>
        <w:t>D. The public post crossed an important boundary. Before discussing the vacation, we need to decide how you will repair the harm to the practice.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77. Which interpretation best reflects Mateo's treatment progress to date?</w:t>
      </w:r>
    </w:p>
    <w:p>
      <w:pPr>
        <w:spacing w:after="10"/>
        <w:ind w:left="230" w:hanging="187"/>
      </w:pPr>
      <w:r>
        <w:rPr>
          <w:rFonts w:ascii="Noto Sans" w:hAnsi="Noto Sans"/>
          <w:sz w:val="19"/>
        </w:rPr>
        <w:t>A. Self-injury and skill use are improving, but rupture-linked urges, alcohol episodes, attendance problems, and suicide risk still require active monitoring.</w:t>
      </w:r>
    </w:p>
    <w:p>
      <w:pPr>
        <w:spacing w:after="10"/>
        <w:ind w:left="230" w:hanging="187"/>
      </w:pPr>
      <w:r>
        <w:rPr>
          <w:rFonts w:ascii="Noto Sans" w:hAnsi="Noto Sans"/>
          <w:sz w:val="19"/>
        </w:rPr>
        <w:t>B. Treatment is broadly successful because cutting has decreased substantially, so the remaining interpersonal and alcohol concerns can be handled during maintenance.</w:t>
      </w:r>
    </w:p>
    <w:p>
      <w:pPr>
        <w:spacing w:after="10"/>
        <w:ind w:left="230" w:hanging="187"/>
      </w:pPr>
      <w:r>
        <w:rPr>
          <w:rFonts w:ascii="Noto Sans" w:hAnsi="Noto Sans"/>
          <w:sz w:val="19"/>
        </w:rPr>
        <w:t>C. Treatment is ineffective because the vacation triggered renewed self-harm urges, missed sessions, and public criticism despite several weeks of earlier progress.</w:t>
      </w:r>
    </w:p>
    <w:p>
      <w:pPr>
        <w:spacing w:after="10"/>
        <w:ind w:left="230" w:hanging="187"/>
      </w:pPr>
      <w:r>
        <w:rPr>
          <w:rFonts w:ascii="Noto Sans" w:hAnsi="Noto Sans"/>
          <w:sz w:val="19"/>
        </w:rPr>
        <w:t>D. The reduction in cutting indicates lower suicide risk, so future monitoring can focus primarily on relationship functioning and treatment attendance.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78. Which revision would produce the strongest ongoing safety plan?</w:t>
      </w:r>
    </w:p>
    <w:p>
      <w:pPr>
        <w:spacing w:after="10"/>
        <w:ind w:left="230" w:hanging="187"/>
      </w:pPr>
      <w:r>
        <w:rPr>
          <w:rFonts w:ascii="Noto Sans" w:hAnsi="Noto Sans"/>
          <w:sz w:val="19"/>
        </w:rPr>
        <w:t>A. List NSSI warning signs, distress-tolerance skills, supportive contacts, and office hours, while instructing Mateo to use emergency services for any suicidal thought.</w:t>
      </w:r>
    </w:p>
    <w:p>
      <w:pPr>
        <w:spacing w:after="10"/>
        <w:ind w:left="230" w:hanging="187"/>
      </w:pPr>
      <w:r>
        <w:rPr>
          <w:rFonts w:ascii="Noto Sans" w:hAnsi="Noto Sans"/>
          <w:sz w:val="19"/>
        </w:rPr>
        <w:t>B. Link warning signs, NSSI urges, shifts toward suicidal intent or planning, internal coping, supports, crisis routes, means safety, and clear escalation thresholds.</w:t>
      </w:r>
    </w:p>
    <w:p>
      <w:pPr>
        <w:spacing w:after="10"/>
        <w:ind w:left="230" w:hanging="187"/>
      </w:pPr>
      <w:r>
        <w:rPr>
          <w:rFonts w:ascii="Noto Sans" w:hAnsi="Noto Sans"/>
          <w:sz w:val="19"/>
        </w:rPr>
        <w:t>C. Focus the plan on suicidal intent, means restriction, and emergency services, while treating NSSI urges as a psychotherapy target rather than a safety-plan concern.</w:t>
      </w:r>
    </w:p>
    <w:p>
      <w:pPr>
        <w:spacing w:after="10"/>
        <w:ind w:left="230" w:hanging="187"/>
      </w:pPr>
      <w:r>
        <w:rPr>
          <w:rFonts w:ascii="Noto Sans" w:hAnsi="Noto Sans"/>
          <w:sz w:val="19"/>
        </w:rPr>
        <w:t>D. Use one after-hours clinician contact pathway for NSSI and suicidal crises so Mateo does not have to decide which level of risk is occurring.</w:t>
      </w:r>
    </w:p>
    <w:p>
      <w:pPr>
        <w:spacing w:after="40"/>
      </w:pPr>
      <w:r>
        <w:rPr>
          <w:rFonts w:ascii="Noto Sans" w:hAnsi="Noto Sans"/>
          <w:color w:val="6B7280"/>
          <w:sz w:val="17"/>
        </w:rPr>
        <w:t>Answer: ________     Confidence:  1  2  3  4  5</w:t>
      </w:r>
    </w:p>
    <w:p>
      <w:r>
        <w:br w:type="page"/>
      </w:r>
    </w:p>
    <w:p>
      <w:pPr>
        <w:pStyle w:val="Heading1"/>
      </w:pPr>
      <w:r>
        <w:t>CASE 7: Mei L.</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Mei is a 35-year-old Chinese American client who seeks counseling ten weeks after a pregnancy loss. She completed obstetric follow-up, and no current acute medical complication has been identified. Since the loss, sadness and guilt have tended to come in waves, particularly around medical appointments, pregnancy announcements, and gatherings involving friends’ infants. She sleeps five to six interrupted hours most nights and continues working part time. On less intense days, she can enjoy dinner or a walk with her spouse and feels emotionally connected to him. She has nevertheless declined several invitations from friends with infants.</w:t>
            </w:r>
          </w:p>
          <w:p>
            <w:pPr>
              <w:spacing w:after="60"/>
            </w:pPr>
            <w:r>
              <w:rPr>
                <w:rFonts w:ascii="Noto Sans" w:hAnsi="Noto Sans"/>
                <w:sz w:val="19"/>
              </w:rPr>
              <w:t>Mei’s parents know that the pregnancy ended but do not know the detailed medical circumstances. They frequently urge her to “move on” and begin trying for another pregnancy. Mei says Buddhism has been meaningful to her for many years. She explains, “Part of me keeps thinking I did something wrong and this is karma, but I’m not even sure that’s what I believe. Sometimes my practice feels compassionate; sometimes I use it to punish myself.” She denies current suicidal ideation, any past suicide attempt, and any history of self-injury.</w:t>
            </w:r>
          </w:p>
        </w:tc>
      </w:tr>
    </w:tbl>
    <w:p>
      <w:pPr>
        <w:keepNext/>
        <w:spacing w:before="120" w:after="40"/>
      </w:pPr>
      <w:r>
        <w:rPr>
          <w:rFonts w:ascii="Noto Sans" w:hAnsi="Noto Sans"/>
          <w:b/>
          <w:color w:val="1F2937"/>
          <w:sz w:val="20"/>
        </w:rPr>
        <w:t>79. Which assessment approach would provide the STRONGEST foundation for the counselor’s initial formulation?</w:t>
      </w:r>
    </w:p>
    <w:p>
      <w:pPr>
        <w:spacing w:after="10"/>
        <w:ind w:left="230" w:hanging="187"/>
      </w:pPr>
      <w:r>
        <w:rPr>
          <w:rFonts w:ascii="Noto Sans" w:hAnsi="Noto Sans"/>
          <w:sz w:val="19"/>
        </w:rPr>
        <w:t>A. Center the interview on grief intensity, loss chronology, coping, spouse support, and family pressure, adding broader psychiatric assessment as indicated.</w:t>
      </w:r>
    </w:p>
    <w:p>
      <w:pPr>
        <w:spacing w:after="10"/>
        <w:ind w:left="230" w:hanging="187"/>
      </w:pPr>
      <w:r>
        <w:rPr>
          <w:rFonts w:ascii="Noto Sans" w:hAnsi="Noto Sans"/>
          <w:sz w:val="19"/>
        </w:rPr>
        <w:t>B. Center the interview on reproductive follow-up, sleep, and work functioning, then explore cultural and spiritual meanings after symptom severity is established.</w:t>
      </w:r>
    </w:p>
    <w:p>
      <w:pPr>
        <w:spacing w:after="10"/>
        <w:ind w:left="230" w:hanging="187"/>
      </w:pPr>
      <w:r>
        <w:rPr>
          <w:rFonts w:ascii="Noto Sans" w:hAnsi="Noto Sans"/>
          <w:sz w:val="19"/>
        </w:rPr>
        <w:t>C. Build a timeline integrating loss and medical course, grief, mood, trauma, safety, sleep, functioning, supports, avoidance, and spiritual or cultural meaning.</w:t>
      </w:r>
    </w:p>
    <w:p>
      <w:pPr>
        <w:spacing w:after="10"/>
        <w:ind w:left="230" w:hanging="187"/>
      </w:pPr>
      <w:r>
        <w:rPr>
          <w:rFonts w:ascii="Noto Sans" w:hAnsi="Noto Sans"/>
          <w:sz w:val="19"/>
        </w:rPr>
        <w:t>D. Begin with standardized grief, depression, trauma, and functioning measures, then direct the interview toward the domains showing greatest severity.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80. Which additional pattern would MOST strongly support a co-occurring major depressive episode rather than grief-related distress alone?</w:t>
      </w:r>
    </w:p>
    <w:p>
      <w:pPr>
        <w:spacing w:after="10"/>
        <w:ind w:left="230" w:hanging="187"/>
      </w:pPr>
      <w:r>
        <w:rPr>
          <w:rFonts w:ascii="Noto Sans" w:hAnsi="Noto Sans"/>
          <w:sz w:val="19"/>
        </w:rPr>
        <w:t>A. Grief comes in waves around reminders, while connection with her spouse and interest in some activities remain available between waves.</w:t>
      </w:r>
    </w:p>
    <w:p>
      <w:pPr>
        <w:spacing w:after="10"/>
        <w:ind w:left="230" w:hanging="187"/>
      </w:pPr>
      <w:r>
        <w:rPr>
          <w:rFonts w:ascii="Noto Sans" w:hAnsi="Noto Sans"/>
          <w:sz w:val="19"/>
        </w:rPr>
        <w:t>B. Yearning and guilt remain focused on the loss, while functioning improves when Mei feels supported and less pressured by family.</w:t>
      </w:r>
    </w:p>
    <w:p>
      <w:pPr>
        <w:spacing w:after="10"/>
        <w:ind w:left="230" w:hanging="187"/>
      </w:pPr>
      <w:r>
        <w:rPr>
          <w:rFonts w:ascii="Noto Sans" w:hAnsi="Noto Sans"/>
          <w:sz w:val="19"/>
        </w:rPr>
        <w:t>C. Sleep worsens and social avoidance increases after repeated family questions, with distress easing when those interactions become less intense.</w:t>
      </w:r>
    </w:p>
    <w:p>
      <w:pPr>
        <w:spacing w:after="10"/>
        <w:ind w:left="230" w:hanging="187"/>
      </w:pPr>
      <w:r>
        <w:rPr>
          <w:rFonts w:ascii="Noto Sans" w:hAnsi="Noto Sans"/>
          <w:sz w:val="19"/>
        </w:rPr>
        <w:t>D. Depressed mood and loss of interest occur most days, generalized worthlessness develops, and impairment extends well beyond loss-related reminders.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81. Mei asks, “Does karma mean this happened because I failed somehow?” Which counselor response is BEST?</w:t>
      </w:r>
    </w:p>
    <w:p>
      <w:pPr>
        <w:spacing w:after="10"/>
        <w:ind w:left="230" w:hanging="187"/>
      </w:pPr>
      <w:r>
        <w:rPr>
          <w:rFonts w:ascii="Noto Sans" w:hAnsi="Noto Sans"/>
          <w:sz w:val="19"/>
        </w:rPr>
        <w:t>A. Would you like me to consult a Buddhist teacher before we explore this further so that we do not misinterpret your tradition?</w:t>
      </w:r>
    </w:p>
    <w:p>
      <w:pPr>
        <w:spacing w:after="10"/>
        <w:ind w:left="230" w:hanging="187"/>
      </w:pPr>
      <w:r>
        <w:rPr>
          <w:rFonts w:ascii="Noto Sans" w:hAnsi="Noto Sans"/>
          <w:sz w:val="19"/>
        </w:rPr>
        <w:t>B. Would it help if we used Buddhist teachings on compassion to replace the punitive interpretation with a more supportive spiritual meaning?</w:t>
      </w:r>
    </w:p>
    <w:p>
      <w:pPr>
        <w:spacing w:after="10"/>
        <w:ind w:left="230" w:hanging="187"/>
      </w:pPr>
      <w:r>
        <w:rPr>
          <w:rFonts w:ascii="Noto Sans" w:hAnsi="Noto Sans"/>
          <w:sz w:val="19"/>
        </w:rPr>
        <w:t>C. What does karma or moral failure mean to you here, and when does your practice bring compassion versus self-blame?</w:t>
      </w:r>
    </w:p>
    <w:p>
      <w:pPr>
        <w:spacing w:after="10"/>
        <w:ind w:left="230" w:hanging="187"/>
      </w:pPr>
      <w:r>
        <w:rPr>
          <w:rFonts w:ascii="Noto Sans" w:hAnsi="Noto Sans"/>
          <w:sz w:val="19"/>
        </w:rPr>
        <w:t>D. Guilt is common after loss; let’s examine evidence for and against personal responsibility before deciding whether the belief has spiritual meaning.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82. Which assessment would BEST determine whether a distinct trauma-related syndrome is also present?</w:t>
      </w:r>
    </w:p>
    <w:p>
      <w:pPr>
        <w:spacing w:after="10"/>
        <w:ind w:left="230" w:hanging="187"/>
      </w:pPr>
      <w:r>
        <w:rPr>
          <w:rFonts w:ascii="Noto Sans" w:hAnsi="Noto Sans"/>
          <w:sz w:val="19"/>
        </w:rPr>
        <w:t>A. Explore the course of grief waves, loss-focused reminders, avoidance, support, physiological distress, and how quickly symptoms settle after each trigger.</w:t>
      </w:r>
    </w:p>
    <w:p>
      <w:pPr>
        <w:spacing w:after="10"/>
        <w:ind w:left="230" w:hanging="187"/>
      </w:pPr>
      <w:r>
        <w:rPr>
          <w:rFonts w:ascii="Noto Sans" w:hAnsi="Noto Sans"/>
          <w:sz w:val="19"/>
        </w:rPr>
        <w:t>B. Clarify the medical and loss experience, then assess intrusion, avoidance, negative mood or cognition, arousal, dissociation, duration, and impairment.</w:t>
      </w:r>
    </w:p>
    <w:p>
      <w:pPr>
        <w:spacing w:after="10"/>
        <w:ind w:left="230" w:hanging="187"/>
      </w:pPr>
      <w:r>
        <w:rPr>
          <w:rFonts w:ascii="Noto Sans" w:hAnsi="Noto Sans"/>
          <w:sz w:val="19"/>
        </w:rPr>
        <w:t>C. Ask whether Mei describes the medical experience as traumatic and whether appointments now produce marked fear, physiological distress, or avoidance.</w:t>
      </w:r>
    </w:p>
    <w:p>
      <w:pPr>
        <w:spacing w:after="10"/>
        <w:ind w:left="230" w:hanging="187"/>
      </w:pPr>
      <w:r>
        <w:rPr>
          <w:rFonts w:ascii="Noto Sans" w:hAnsi="Noto Sans"/>
          <w:sz w:val="19"/>
        </w:rPr>
        <w:t>D. Use a validated trauma screener and prioritize trauma-focused treatment if the score is elevated while continuing to monitor grief.</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Further assessment shows that Mei does not have pervasive anhedonia or generalized worthlessness. Between grief waves she can enjoy time with her spouse and occasionally with friends. She reports no history of mania or psychosis, no current substance misuse, and no suicidal ideation.</w:t>
            </w:r>
          </w:p>
          <w:p>
            <w:pPr>
              <w:spacing w:after="60"/>
            </w:pPr>
            <w:r>
              <w:rPr>
                <w:rFonts w:ascii="Noto Sans" w:hAnsi="Noto Sans"/>
                <w:sz w:val="19"/>
              </w:rPr>
              <w:t>Mei vividly remembers receiving the news about the pregnancy loss and sometimes cries before medical appointments. She does not report recurrent flashbacks, trauma-related nightmares, persistent hypervigilance, or a broader pattern of trauma symptoms. Her spouse remains supportive.</w:t>
            </w:r>
          </w:p>
          <w:p>
            <w:pPr>
              <w:spacing w:after="60"/>
            </w:pPr>
            <w:r>
              <w:rPr>
                <w:rFonts w:ascii="Noto Sans" w:hAnsi="Noto Sans"/>
                <w:sz w:val="19"/>
              </w:rPr>
              <w:t>Her parents continue to call frequently. Mei says maintaining a close relationship with them is important and that she feels a strong responsibility not to make them worry. She also wants privacy and control over reproductive decisions. She initially says, “Could you tell them to stop asking when we’re trying again?” She then pauses and adds, “Actually, I don’t know if I want you talking to them. I want help figuring out how to handle it.”</w:t>
            </w:r>
          </w:p>
          <w:p>
            <w:pPr>
              <w:spacing w:after="60"/>
            </w:pPr>
            <w:r>
              <w:rPr>
                <w:rFonts w:ascii="Noto Sans" w:hAnsi="Noto Sans"/>
                <w:sz w:val="19"/>
              </w:rPr>
              <w:t>Mei describes meditation and compassion practices as personally meaningful and says she may want to create a remembrance ritual if she can design something that feels authentic to her rather than something prescribed by someone else.</w:t>
            </w:r>
          </w:p>
        </w:tc>
      </w:tr>
    </w:tbl>
    <w:p>
      <w:pPr>
        <w:keepNext/>
        <w:spacing w:before="120" w:after="40"/>
      </w:pPr>
      <w:r>
        <w:rPr>
          <w:rFonts w:ascii="Noto Sans" w:hAnsi="Noto Sans"/>
          <w:b/>
          <w:color w:val="1F2937"/>
          <w:sz w:val="20"/>
        </w:rPr>
        <w:t>83. Which counseling plan is BEST matched to Mei’s current presentation?</w:t>
      </w:r>
    </w:p>
    <w:p>
      <w:pPr>
        <w:spacing w:after="10"/>
        <w:ind w:left="230" w:hanging="187"/>
      </w:pPr>
      <w:r>
        <w:rPr>
          <w:rFonts w:ascii="Noto Sans" w:hAnsi="Noto Sans"/>
          <w:sz w:val="19"/>
        </w:rPr>
        <w:t>A. Use grief-informed counseling that combines meaning-making, paced approach to avoided reminders, restoration activities, and spiritual resources chosen by Mei.</w:t>
      </w:r>
    </w:p>
    <w:p>
      <w:pPr>
        <w:spacing w:after="10"/>
        <w:ind w:left="230" w:hanging="187"/>
      </w:pPr>
      <w:r>
        <w:rPr>
          <w:rFonts w:ascii="Noto Sans" w:hAnsi="Noto Sans"/>
          <w:sz w:val="19"/>
        </w:rPr>
        <w:t>B. Use trauma-focused exposure around medical reminders because avoidance is present, while monitoring grief reactions as a separate treatment target.</w:t>
      </w:r>
    </w:p>
    <w:p>
      <w:pPr>
        <w:spacing w:after="10"/>
        <w:ind w:left="230" w:hanging="187"/>
      </w:pPr>
      <w:r>
        <w:rPr>
          <w:rFonts w:ascii="Noto Sans" w:hAnsi="Noto Sans"/>
          <w:sz w:val="19"/>
        </w:rPr>
        <w:t>C. Use supportive counseling and an early family session to reduce pressure, adding individual grief work after parent communication becomes more stable.</w:t>
      </w:r>
    </w:p>
    <w:p>
      <w:pPr>
        <w:spacing w:after="10"/>
        <w:ind w:left="230" w:hanging="187"/>
      </w:pPr>
      <w:r>
        <w:rPr>
          <w:rFonts w:ascii="Noto Sans" w:hAnsi="Noto Sans"/>
          <w:sz w:val="19"/>
        </w:rPr>
        <w:t>D. Emphasize behavioral activation and restoration activities, postponing direct loss-focused work until sleep and daily routines become more consistent.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84. Before the counselor communicates with Mei’s parents, which step is BEST?</w:t>
      </w:r>
    </w:p>
    <w:p>
      <w:pPr>
        <w:spacing w:after="10"/>
        <w:ind w:left="230" w:hanging="187"/>
      </w:pPr>
      <w:r>
        <w:rPr>
          <w:rFonts w:ascii="Noto Sans" w:hAnsi="Noto Sans"/>
          <w:sz w:val="19"/>
        </w:rPr>
        <w:t>A. Clarify whether Mei wants rehearsal or direct contact; if contact is chosen, agree on recipients, purpose, specific content, limits, risks, and authorization first.</w:t>
      </w:r>
    </w:p>
    <w:p>
      <w:pPr>
        <w:spacing w:after="10"/>
        <w:ind w:left="230" w:hanging="187"/>
      </w:pPr>
      <w:r>
        <w:rPr>
          <w:rFonts w:ascii="Noto Sans" w:hAnsi="Noto Sans"/>
          <w:sz w:val="19"/>
        </w:rPr>
        <w:t>B. Send a brief boundary statement now because Mei initially requested help, then document her verbal permission and preferred limits at the next session.</w:t>
      </w:r>
    </w:p>
    <w:p>
      <w:pPr>
        <w:spacing w:after="10"/>
        <w:ind w:left="230" w:hanging="187"/>
      </w:pPr>
      <w:r>
        <w:rPr>
          <w:rFonts w:ascii="Noto Sans" w:hAnsi="Noto Sans"/>
          <w:sz w:val="19"/>
        </w:rPr>
        <w:t>C. Obtain a broad written release for both parents so the counselor can adjust what is discussed as questions arise during the conversation.</w:t>
      </w:r>
    </w:p>
    <w:p>
      <w:pPr>
        <w:spacing w:after="10"/>
        <w:ind w:left="230" w:hanging="187"/>
      </w:pPr>
      <w:r>
        <w:rPr>
          <w:rFonts w:ascii="Noto Sans" w:hAnsi="Noto Sans"/>
          <w:sz w:val="19"/>
        </w:rPr>
        <w:t>D. Recommend that Mei speak with her parents herself first, reserving counselor contact for later if family pressure continues despite her efforts.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85. Mei wants to remain close to her parents while protecting privacy around grief and reproductive decisions. Which counselor response BEST demonstrates respect for diversity?</w:t>
      </w:r>
    </w:p>
    <w:p>
      <w:pPr>
        <w:spacing w:after="10"/>
        <w:ind w:left="230" w:hanging="187"/>
      </w:pPr>
      <w:r>
        <w:rPr>
          <w:rFonts w:ascii="Noto Sans" w:hAnsi="Noto Sans"/>
          <w:sz w:val="19"/>
        </w:rPr>
        <w:t>A. Explore whether temporary distance from Mei's parents would create needed space while preserving ordinary family contact if that remains important to her.</w:t>
      </w:r>
    </w:p>
    <w:p>
      <w:pPr>
        <w:spacing w:after="10"/>
        <w:ind w:left="230" w:hanging="187"/>
      </w:pPr>
      <w:r>
        <w:rPr>
          <w:rFonts w:ascii="Noto Sans" w:hAnsi="Noto Sans"/>
          <w:sz w:val="19"/>
        </w:rPr>
        <w:t>B. Ask which parts of family responsibility Mei wants to preserve and which expectations feel burdensome, then consider whether her parents' intentions change the boundary she wants.</w:t>
      </w:r>
    </w:p>
    <w:p>
      <w:pPr>
        <w:spacing w:after="10"/>
        <w:ind w:left="230" w:hanging="187"/>
      </w:pPr>
      <w:r>
        <w:rPr>
          <w:rFonts w:ascii="Noto Sans" w:hAnsi="Noto Sans"/>
          <w:sz w:val="19"/>
        </w:rPr>
        <w:t>C. Explore whether direct or indirect boundary styles better fit Mei's family and choose the approach most likely to reduce conflict while preserving closeness.</w:t>
      </w:r>
    </w:p>
    <w:p>
      <w:pPr>
        <w:spacing w:after="10"/>
        <w:ind w:left="230" w:hanging="187"/>
      </w:pPr>
      <w:r>
        <w:rPr>
          <w:rFonts w:ascii="Noto Sans" w:hAnsi="Noto Sans"/>
          <w:sz w:val="19"/>
        </w:rPr>
        <w:t>D. Ask what privacy and family connection each mean to Mei, then help her construct a boundary consistent with both without privileging independence or compliance.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86. Which intervention BEST incorporates cultural considerations into Mei's family-boundary work?</w:t>
      </w:r>
    </w:p>
    <w:p>
      <w:pPr>
        <w:spacing w:after="10"/>
        <w:ind w:left="230" w:hanging="187"/>
      </w:pPr>
      <w:r>
        <w:rPr>
          <w:rFonts w:ascii="Noto Sans" w:hAnsi="Noto Sans"/>
          <w:sz w:val="19"/>
        </w:rPr>
        <w:t>A. Use family-of-origin exploration to identify intergenerational loss and communication patterns, then apply whichever themes Mei identifies as relevant to the current family conflict.</w:t>
      </w:r>
    </w:p>
    <w:p>
      <w:pPr>
        <w:spacing w:after="10"/>
        <w:ind w:left="230" w:hanging="187"/>
      </w:pPr>
      <w:r>
        <w:rPr>
          <w:rFonts w:ascii="Noto Sans" w:hAnsi="Noto Sans"/>
          <w:sz w:val="19"/>
        </w:rPr>
        <w:t>B. Broach bicultural experience and filial expectations, focusing on how they affect communication with Mei's parents about pregnancy loss and future decisions.</w:t>
      </w:r>
    </w:p>
    <w:p>
      <w:pPr>
        <w:spacing w:after="10"/>
        <w:ind w:left="230" w:hanging="187"/>
      </w:pPr>
      <w:r>
        <w:rPr>
          <w:rFonts w:ascii="Noto Sans" w:hAnsi="Noto Sans"/>
          <w:sz w:val="19"/>
        </w:rPr>
        <w:t>C. Explore whether traditional, contemporary, family-specific, or personal values best describe the tension, then use that language when practicing boundaries with her parents.</w:t>
      </w:r>
    </w:p>
    <w:p>
      <w:pPr>
        <w:spacing w:after="10"/>
        <w:ind w:left="230" w:hanging="187"/>
      </w:pPr>
      <w:r>
        <w:rPr>
          <w:rFonts w:ascii="Noto Sans" w:hAnsi="Noto Sans"/>
          <w:sz w:val="19"/>
        </w:rPr>
        <w:t>D. Explore how bicultural identity, filial responsibility, privacy, generational roles, and family experience interact for Mei, then adapt communication practice to her preferred balance.</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During the next four months, Mei creates a private remembrance ritual of her own design. She resumes weekly walks with a friend and attends several social gatherings she previously would have avoided. Her sleep increases to about seven hours most nights, and she maintains her usual part-time work schedule.</w:t>
            </w:r>
          </w:p>
          <w:p>
            <w:pPr>
              <w:spacing w:after="60"/>
            </w:pPr>
            <w:r>
              <w:rPr>
                <w:rFonts w:ascii="Noto Sans" w:hAnsi="Noto Sans"/>
                <w:sz w:val="19"/>
              </w:rPr>
              <w:t>Mei tells her parents, “I’ll bring up future pregnancy if and when I’m ready.” They ask less often, and Mei reports that the relationship remains important to her. After discussing the decision carefully, Mei authorizes the counselor to communicate one limited message to her parents: Mei wants the family to allow her to decide when or whether to discuss another pregnancy, and she appreciates their continued ordinary contact. Mei does not authorize disclosure of her diagnosis, medical details, prognosis, or treatment content.</w:t>
            </w:r>
          </w:p>
          <w:p>
            <w:pPr>
              <w:spacing w:after="60"/>
            </w:pPr>
            <w:r>
              <w:rPr>
                <w:rFonts w:ascii="Noto Sans" w:hAnsi="Noto Sans"/>
                <w:sz w:val="19"/>
              </w:rPr>
              <w:t>As the expected due date arrives, Mei experiences eight to ten days of increased crying and interrupted sleep and declines a baby shower. She continues working, spends time with her spouse, uses her remembrance ritual and social supports, and denies suicidal ideation. The intensity has begun easing by the next session. Mei says, “Maybe therapy failed if I can still feel this bad.”</w:t>
            </w:r>
          </w:p>
          <w:p>
            <w:pPr>
              <w:spacing w:after="60"/>
            </w:pPr>
            <w:r>
              <w:rPr>
                <w:rFonts w:ascii="Noto Sans" w:hAnsi="Noto Sans"/>
                <w:sz w:val="19"/>
              </w:rPr>
              <w:t>Later that week, Mei’s mother emails the counselor asking for Mei’s diagnosis, how long the grief will last, and whether Mei is “ready to try again.”</w:t>
            </w:r>
          </w:p>
        </w:tc>
      </w:tr>
    </w:tbl>
    <w:p>
      <w:pPr>
        <w:keepNext/>
        <w:spacing w:before="120" w:after="40"/>
      </w:pPr>
      <w:r>
        <w:rPr>
          <w:rFonts w:ascii="Noto Sans" w:hAnsi="Noto Sans"/>
          <w:b/>
          <w:color w:val="1F2937"/>
          <w:sz w:val="20"/>
        </w:rPr>
        <w:t>87. During a progress review, which summary BEST reflects Mei's treatment trajectory?</w:t>
      </w:r>
    </w:p>
    <w:p>
      <w:pPr>
        <w:spacing w:after="10"/>
        <w:ind w:left="230" w:hanging="187"/>
      </w:pPr>
      <w:r>
        <w:rPr>
          <w:rFonts w:ascii="Noto Sans" w:hAnsi="Noto Sans"/>
          <w:sz w:val="19"/>
        </w:rPr>
        <w:t>A. The current goals are not being met because the due-date reaction shows Mei is still unable to tolerate major grief reminders without significant symptom recurrence.</w:t>
      </w:r>
    </w:p>
    <w:p>
      <w:pPr>
        <w:spacing w:after="10"/>
        <w:ind w:left="230" w:hanging="187"/>
      </w:pPr>
      <w:r>
        <w:rPr>
          <w:rFonts w:ascii="Noto Sans" w:hAnsi="Noto Sans"/>
          <w:sz w:val="19"/>
        </w:rPr>
        <w:t>B. Overall goals show progress in sleep, social engagement, boundaries, and functioning; review the due-date flare as meaningful data without treating it automatically as failure.</w:t>
      </w:r>
    </w:p>
    <w:p>
      <w:pPr>
        <w:spacing w:after="10"/>
        <w:ind w:left="230" w:hanging="187"/>
      </w:pPr>
      <w:r>
        <w:rPr>
          <w:rFonts w:ascii="Noto Sans" w:hAnsi="Noto Sans"/>
          <w:sz w:val="19"/>
        </w:rPr>
        <w:t>C. The goals are essentially complete because Mei maintained work, relationships, and safety while the due-date symptoms began easing without major intervention.</w:t>
      </w:r>
    </w:p>
    <w:p>
      <w:pPr>
        <w:spacing w:after="10"/>
        <w:ind w:left="230" w:hanging="187"/>
      </w:pPr>
      <w:r>
        <w:rPr>
          <w:rFonts w:ascii="Noto Sans" w:hAnsi="Noto Sans"/>
          <w:sz w:val="19"/>
        </w:rPr>
        <w:t>D. Progress cannot be reviewed accurately until the due-date symptoms fully resolve because temporary grief intensification makes current functioning difficult to interpret.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88. Which interpretation BEST reflects the available evidence about counseling effectiveness?</w:t>
      </w:r>
    </w:p>
    <w:p>
      <w:pPr>
        <w:spacing w:after="10"/>
        <w:ind w:left="230" w:hanging="187"/>
      </w:pPr>
      <w:r>
        <w:rPr>
          <w:rFonts w:ascii="Noto Sans" w:hAnsi="Noto Sans"/>
          <w:sz w:val="19"/>
        </w:rPr>
        <w:t>A. Treatment is not working because grief intensity increased despite several months of counseling and renewed social engagement.</w:t>
      </w:r>
    </w:p>
    <w:p>
      <w:pPr>
        <w:spacing w:after="10"/>
        <w:ind w:left="230" w:hanging="187"/>
      </w:pPr>
      <w:r>
        <w:rPr>
          <w:rFonts w:ascii="Noto Sans" w:hAnsi="Noto Sans"/>
          <w:sz w:val="19"/>
        </w:rPr>
        <w:t>B. Treatment is complete because work, relationships, and social activity improved despite temporary distress around the expected due date.</w:t>
      </w:r>
    </w:p>
    <w:p>
      <w:pPr>
        <w:spacing w:after="10"/>
        <w:ind w:left="230" w:hanging="187"/>
      </w:pPr>
      <w:r>
        <w:rPr>
          <w:rFonts w:ascii="Noto Sans" w:hAnsi="Noto Sans"/>
          <w:sz w:val="19"/>
        </w:rPr>
        <w:t>C. Overall functioning and coping have improved, while the time-limited trigger-related increase remains meaningful outcome data that requires continued monitoring.</w:t>
      </w:r>
    </w:p>
    <w:p>
      <w:pPr>
        <w:spacing w:after="10"/>
        <w:ind w:left="230" w:hanging="187"/>
      </w:pPr>
      <w:r>
        <w:rPr>
          <w:rFonts w:ascii="Noto Sans" w:hAnsi="Noto Sans"/>
          <w:sz w:val="19"/>
        </w:rPr>
        <w:t>D. Improvement cannot be attributed to counseling because spouse support and changes in family pressure occurred during the same period.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89. How should the counselor respond to Mei’s mother’s new questions?</w:t>
      </w:r>
    </w:p>
    <w:p>
      <w:pPr>
        <w:spacing w:after="10"/>
        <w:ind w:left="230" w:hanging="187"/>
      </w:pPr>
      <w:r>
        <w:rPr>
          <w:rFonts w:ascii="Noto Sans" w:hAnsi="Noto Sans"/>
          <w:sz w:val="19"/>
        </w:rPr>
        <w:t>A. Share only information within the current authorization, decline the new diagnosis, prognosis, and reproductive-readiness questions, and revisit any expanded disclosure with Mei.</w:t>
      </w:r>
    </w:p>
    <w:p>
      <w:pPr>
        <w:spacing w:after="10"/>
        <w:ind w:left="230" w:hanging="187"/>
      </w:pPr>
      <w:r>
        <w:rPr>
          <w:rFonts w:ascii="Noto Sans" w:hAnsi="Noto Sans"/>
          <w:sz w:val="19"/>
        </w:rPr>
        <w:t>B. Provide general diagnostic and prognosis information because Mei’s mother already knows about the loss and the counselor has limited family authorization.</w:t>
      </w:r>
    </w:p>
    <w:p>
      <w:pPr>
        <w:spacing w:after="10"/>
        <w:ind w:left="230" w:hanging="187"/>
      </w:pPr>
      <w:r>
        <w:rPr>
          <w:rFonts w:ascii="Noto Sans" w:hAnsi="Noto Sans"/>
          <w:sz w:val="19"/>
        </w:rPr>
        <w:t>C. Decline all further family communication because the mother requested information beyond the current authorization and therefore invalidated the earlier permission.</w:t>
      </w:r>
    </w:p>
    <w:p>
      <w:pPr>
        <w:spacing w:after="10"/>
        <w:ind w:left="230" w:hanging="187"/>
      </w:pPr>
      <w:r>
        <w:rPr>
          <w:rFonts w:ascii="Noto Sans" w:hAnsi="Noto Sans"/>
          <w:sz w:val="19"/>
        </w:rPr>
        <w:t>D. Answer prognosis questions but not diagnosis or medical details, because general recovery expectations may help the parents reduce pressure without revealing private facts.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90. Mei now says, “I don’t know whether I want another pregnancy or whether I just feel that I should.” Which strategy would BEST support her decision-making?</w:t>
      </w:r>
    </w:p>
    <w:p>
      <w:pPr>
        <w:spacing w:after="10"/>
        <w:ind w:left="230" w:hanging="187"/>
      </w:pPr>
      <w:r>
        <w:rPr>
          <w:rFonts w:ascii="Noto Sans" w:hAnsi="Noto Sans"/>
          <w:sz w:val="19"/>
        </w:rPr>
        <w:t>A. Use cognitive restructuring to resolve the belief that the loss was karmic punishment before discussing any future reproductive choice.</w:t>
      </w:r>
    </w:p>
    <w:p>
      <w:pPr>
        <w:spacing w:after="10"/>
        <w:ind w:left="230" w:hanging="187"/>
      </w:pPr>
      <w:r>
        <w:rPr>
          <w:rFonts w:ascii="Noto Sans" w:hAnsi="Noto Sans"/>
          <w:sz w:val="19"/>
        </w:rPr>
        <w:t>B. Use a decisional balance comparing another pregnancy soon with delaying it, giving greater weight to practical consequences than to grief-related emotions.</w:t>
      </w:r>
    </w:p>
    <w:p>
      <w:pPr>
        <w:spacing w:after="10"/>
        <w:ind w:left="230" w:hanging="187"/>
      </w:pPr>
      <w:r>
        <w:rPr>
          <w:rFonts w:ascii="Noto Sans" w:hAnsi="Noto Sans"/>
          <w:sz w:val="19"/>
        </w:rPr>
        <w:t>C. Use values clarification to separate Mei’s own hopes about family, spirituality, health, and timing from guilt, perceived duty, and external expectations.</w:t>
      </w:r>
    </w:p>
    <w:p>
      <w:pPr>
        <w:spacing w:after="10"/>
        <w:ind w:left="230" w:hanging="187"/>
      </w:pPr>
      <w:r>
        <w:rPr>
          <w:rFonts w:ascii="Noto Sans" w:hAnsi="Noto Sans"/>
          <w:sz w:val="19"/>
        </w:rPr>
        <w:t>D. Use a family-of-origin map to identify inherited expectations, then prioritize choices most likely to preserve family harmony while reducing conflict.</w:t>
      </w:r>
    </w:p>
    <w:p>
      <w:pPr>
        <w:spacing w:after="40"/>
      </w:pPr>
      <w:r>
        <w:rPr>
          <w:rFonts w:ascii="Noto Sans" w:hAnsi="Noto Sans"/>
          <w:color w:val="6B7280"/>
          <w:sz w:val="17"/>
        </w:rPr>
        <w:t>Answer: ________     Confidence:  1  2  3  4  5</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Several months later, Mei and the counselor mutually terminate after the agreed goals are met. At a planned three-month follow-up, Mei reports occasional grief waves but maintains work, relationships, and social support. She remains undecided about whether she wants another pregnancy.</w:t>
            </w:r>
          </w:p>
        </w:tc>
      </w:tr>
    </w:tbl>
    <w:p>
      <w:pPr>
        <w:keepNext/>
        <w:spacing w:before="120" w:after="40"/>
      </w:pPr>
      <w:r>
        <w:rPr>
          <w:rFonts w:ascii="Noto Sans" w:hAnsi="Noto Sans"/>
          <w:b/>
          <w:color w:val="1F2937"/>
          <w:sz w:val="20"/>
        </w:rPr>
        <w:t>91. Which follow-up action is MOST appropriate?</w:t>
      </w:r>
    </w:p>
    <w:p>
      <w:pPr>
        <w:spacing w:after="10"/>
        <w:ind w:left="230" w:hanging="187"/>
      </w:pPr>
      <w:r>
        <w:rPr>
          <w:rFonts w:ascii="Noto Sans" w:hAnsi="Noto Sans"/>
          <w:sz w:val="19"/>
        </w:rPr>
        <w:t>A. Reopen weekly counseling prophylactically because recurring grief waves after discharge indicate that the previous gains are not yet durable without professional support.</w:t>
      </w:r>
    </w:p>
    <w:p>
      <w:pPr>
        <w:spacing w:after="10"/>
        <w:ind w:left="230" w:hanging="187"/>
      </w:pPr>
      <w:r>
        <w:rPr>
          <w:rFonts w:ascii="Noto Sans" w:hAnsi="Noto Sans"/>
          <w:sz w:val="19"/>
        </w:rPr>
        <w:t>B. Confirm that Mei remains free of major impairment and close the case permanently if she continues working and using social supports.</w:t>
      </w:r>
    </w:p>
    <w:p>
      <w:pPr>
        <w:spacing w:after="10"/>
        <w:ind w:left="230" w:hanging="187"/>
      </w:pPr>
      <w:r>
        <w:rPr>
          <w:rFonts w:ascii="Noto Sans" w:hAnsi="Noto Sans"/>
          <w:sz w:val="19"/>
        </w:rPr>
        <w:t>C. Focus the follow-up on whether Mei has decided about another pregnancy because reproductive planning is the main unresolved issue from the prior treatment.</w:t>
      </w:r>
    </w:p>
    <w:p>
      <w:pPr>
        <w:spacing w:after="10"/>
        <w:ind w:left="230" w:hanging="187"/>
      </w:pPr>
      <w:r>
        <w:rPr>
          <w:rFonts w:ascii="Noto Sans" w:hAnsi="Noto Sans"/>
          <w:sz w:val="19"/>
        </w:rPr>
        <w:t>D. Review functioning, triggers, coping and support use, any new risk or diagnostic change, and whether booster care or reproductive supports are desired.</w:t>
      </w:r>
    </w:p>
    <w:p>
      <w:pPr>
        <w:spacing w:after="40"/>
      </w:pPr>
      <w:r>
        <w:rPr>
          <w:rFonts w:ascii="Noto Sans" w:hAnsi="Noto Sans"/>
          <w:color w:val="6B7280"/>
          <w:sz w:val="17"/>
        </w:rPr>
        <w:t>Answer: ________     Confidence:  1  2  3  4  5</w:t>
      </w:r>
    </w:p>
    <w:p>
      <w:r>
        <w:br w:type="page"/>
      </w:r>
    </w:p>
    <w:p>
      <w:pPr>
        <w:pStyle w:val="Heading1"/>
      </w:pPr>
      <w:r>
        <w:t>CASE 8: Alan’s Therapy Group</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Alan is a 45-year-old counselor preparing to facilitate a 10-week closed outpatient group for eight adults with anxiety. The group combines anxiety-management work with interpersonal practice and discussion. Members are expected to attend weekly 90-minute sessions.</w:t>
            </w:r>
          </w:p>
          <w:p>
            <w:pPr>
              <w:spacing w:after="60"/>
            </w:pPr>
            <w:r>
              <w:rPr>
                <w:rFonts w:ascii="Noto Sans" w:hAnsi="Noto Sans"/>
                <w:sz w:val="19"/>
              </w:rPr>
              <w:t>During screening, Alan learns that two prospective members, Asha and Ben, work at the same hospital. Asha is not Ben’s direct supervisor, but she occasionally provides input about his schedule requests and annual performance review. Ben says he wants the group but is unsure whether he could discuss workplace anxiety openly with Asha present. Asha says she believes she can keep the two roles separate.</w:t>
            </w:r>
          </w:p>
          <w:p>
            <w:pPr>
              <w:spacing w:after="60"/>
            </w:pPr>
            <w:r>
              <w:rPr>
                <w:rFonts w:ascii="Noto Sans" w:hAnsi="Noto Sans"/>
                <w:sz w:val="19"/>
              </w:rPr>
              <w:t>Another prospective member, Nora, recognizes Leila from a neighborhood association. Nora and Leila report only occasional community contact and no current conflict.</w:t>
            </w:r>
          </w:p>
          <w:p>
            <w:pPr>
              <w:spacing w:after="60"/>
            </w:pPr>
            <w:r>
              <w:rPr>
                <w:rFonts w:ascii="Noto Sans" w:hAnsi="Noto Sans"/>
                <w:sz w:val="19"/>
              </w:rPr>
              <w:t>At a pre-group orientation meeting, Ben participates freely when discussing general anxiety but becomes noticeably brief when workplace examples arise and glances toward Asha before answering. Alan observes the change without drawing a conclusion.</w:t>
            </w:r>
          </w:p>
          <w:p>
            <w:pPr>
              <w:spacing w:after="60"/>
            </w:pPr>
            <w:r>
              <w:rPr>
                <w:rFonts w:ascii="Noto Sans" w:hAnsi="Noto Sans"/>
                <w:sz w:val="19"/>
              </w:rPr>
              <w:t>Several prospective members ask whether Alan can guarantee that nothing discussed in the group will ever be repeated outside it.</w:t>
            </w:r>
          </w:p>
        </w:tc>
      </w:tr>
    </w:tbl>
    <w:p>
      <w:pPr>
        <w:keepNext/>
        <w:spacing w:before="120" w:after="40"/>
      </w:pPr>
      <w:r>
        <w:rPr>
          <w:rFonts w:ascii="Noto Sans" w:hAnsi="Noto Sans"/>
          <w:b/>
          <w:color w:val="1F2937"/>
          <w:sz w:val="20"/>
        </w:rPr>
        <w:t>92. Which orientation framework BEST establishes group privacy and outside-contact expectations before sessions begin?</w:t>
      </w:r>
    </w:p>
    <w:p>
      <w:pPr>
        <w:spacing w:after="10"/>
        <w:ind w:left="230" w:hanging="187"/>
      </w:pPr>
      <w:r>
        <w:rPr>
          <w:rFonts w:ascii="Noto Sans" w:hAnsi="Noto Sans"/>
          <w:sz w:val="19"/>
        </w:rPr>
        <w:t>A. Explain the counselor's confidentiality duties, require binding member confidentiality pledges, and allow outside contact if members agree not to discuss group material.</w:t>
      </w:r>
    </w:p>
    <w:p>
      <w:pPr>
        <w:spacing w:after="10"/>
        <w:ind w:left="230" w:hanging="187"/>
      </w:pPr>
      <w:r>
        <w:rPr>
          <w:rFonts w:ascii="Noto Sans" w:hAnsi="Noto Sans"/>
          <w:sz w:val="19"/>
        </w:rPr>
        <w:t>B. Explain that members control their own behavior, let overlapping pairs set private rules, and use the general informed-consent agreement to cover social-media contact.</w:t>
      </w:r>
    </w:p>
    <w:p>
      <w:pPr>
        <w:spacing w:after="10"/>
        <w:ind w:left="230" w:hanging="187"/>
      </w:pPr>
      <w:r>
        <w:rPr>
          <w:rFonts w:ascii="Noto Sans" w:hAnsi="Noto Sans"/>
          <w:sz w:val="19"/>
        </w:rPr>
        <w:t>C. Review counselor and member confidentiality limits, prohibit members from acknowledging one another publicly, and address unavoidable workplace or neighborhood contact as individual exceptions.</w:t>
      </w:r>
    </w:p>
    <w:p>
      <w:pPr>
        <w:spacing w:after="10"/>
        <w:ind w:left="230" w:hanging="187"/>
      </w:pPr>
      <w:r>
        <w:rPr>
          <w:rFonts w:ascii="Noto Sans" w:hAnsi="Noto Sans"/>
          <w:sz w:val="19"/>
        </w:rPr>
        <w:t>D. Distinguish counselor confidentiality from member behavior, set shared privacy and outside-contact expectations, address social media explicitly, and explain that secrecy cannot be guaranteed.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93. Before deciding whether Asha and Ben should participate in the same group, what should Alan do?</w:t>
      </w:r>
    </w:p>
    <w:p>
      <w:pPr>
        <w:spacing w:after="10"/>
        <w:ind w:left="230" w:hanging="187"/>
      </w:pPr>
      <w:r>
        <w:rPr>
          <w:rFonts w:ascii="Noto Sans" w:hAnsi="Noto Sans"/>
          <w:sz w:val="19"/>
        </w:rPr>
        <w:t>A. Exclude the employee with greater workplace authority so the lower-power employee can participate without concern about job consequences or inhibited disclosure.</w:t>
      </w:r>
    </w:p>
    <w:p>
      <w:pPr>
        <w:spacing w:after="10"/>
        <w:ind w:left="230" w:hanging="187"/>
      </w:pPr>
      <w:r>
        <w:rPr>
          <w:rFonts w:ascii="Noto Sans" w:hAnsi="Noto Sans"/>
          <w:sz w:val="19"/>
        </w:rPr>
        <w:t>B. Admit both employees after an enhanced confidentiality agreement and monitor whether their workplace relationship begins affecting participation once the group starts.</w:t>
      </w:r>
    </w:p>
    <w:p>
      <w:pPr>
        <w:spacing w:after="10"/>
        <w:ind w:left="230" w:hanging="187"/>
      </w:pPr>
      <w:r>
        <w:rPr>
          <w:rFonts w:ascii="Noto Sans" w:hAnsi="Noto Sans"/>
          <w:sz w:val="19"/>
        </w:rPr>
        <w:t>C. Assess voluntariness, likely inhibition, workplace power, privacy concerns, treatment goals, and realistic alternatives with each employee before deciding group placement.</w:t>
      </w:r>
    </w:p>
    <w:p>
      <w:pPr>
        <w:spacing w:after="10"/>
        <w:ind w:left="230" w:hanging="187"/>
      </w:pPr>
      <w:r>
        <w:rPr>
          <w:rFonts w:ascii="Noto Sans" w:hAnsi="Noto Sans"/>
          <w:sz w:val="19"/>
        </w:rPr>
        <w:t>D. Ask the two employees to decide together whether they can participate comfortably, then honor their decision if both understand confidentiality limitations.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94. Which working hypothesis about Ben’s behavior is MOST appropriate to test?</w:t>
      </w:r>
    </w:p>
    <w:p>
      <w:pPr>
        <w:spacing w:after="10"/>
        <w:ind w:left="230" w:hanging="187"/>
      </w:pPr>
      <w:r>
        <w:rPr>
          <w:rFonts w:ascii="Noto Sans" w:hAnsi="Noto Sans"/>
          <w:sz w:val="19"/>
        </w:rPr>
        <w:t>A. Ben’s brief responses may reflect broader social anxiety rather than workplace power, so increase direct invitations before reconsidering whether the group is appropriate.</w:t>
      </w:r>
    </w:p>
    <w:p>
      <w:pPr>
        <w:spacing w:after="10"/>
        <w:ind w:left="230" w:hanging="187"/>
      </w:pPr>
      <w:r>
        <w:rPr>
          <w:rFonts w:ascii="Noto Sans" w:hAnsi="Noto Sans"/>
          <w:sz w:val="19"/>
        </w:rPr>
        <w:t>B. Workplace hierarchy may be suppressing Ben’s disclosure; test that hypothesis through observation and private check-in rather than assuming the meaning of his restraint.</w:t>
      </w:r>
    </w:p>
    <w:p>
      <w:pPr>
        <w:spacing w:after="10"/>
        <w:ind w:left="230" w:hanging="187"/>
      </w:pPr>
      <w:r>
        <w:rPr>
          <w:rFonts w:ascii="Noto Sans" w:hAnsi="Noto Sans"/>
          <w:sz w:val="19"/>
        </w:rPr>
        <w:t>C. Asha’s greater participation may be creating an airtime imbalance, so equalize speaking opportunities before exploring whether their workplace roles are clinically relevant.</w:t>
      </w:r>
    </w:p>
    <w:p>
      <w:pPr>
        <w:spacing w:after="10"/>
        <w:ind w:left="230" w:hanging="187"/>
      </w:pPr>
      <w:r>
        <w:rPr>
          <w:rFonts w:ascii="Noto Sans" w:hAnsi="Noto Sans"/>
          <w:sz w:val="19"/>
        </w:rPr>
        <w:t>D. Both employees may be protecting workplace information from the group, so establish a no-workplace-content agreement before interpreting the pattern further.</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95. Which plan BEST addresses members’ potential interactions outside the group?</w:t>
      </w:r>
    </w:p>
    <w:p>
      <w:pPr>
        <w:spacing w:after="10"/>
        <w:ind w:left="230" w:hanging="187"/>
      </w:pPr>
      <w:r>
        <w:rPr>
          <w:rFonts w:ascii="Noto Sans" w:hAnsi="Noto Sans"/>
          <w:sz w:val="19"/>
        </w:rPr>
        <w:t>A. Ask members never to acknowledge one another outside group, including in unavoidable workplace and neighborhood settings, unless both people explicitly agree first.</w:t>
      </w:r>
    </w:p>
    <w:p>
      <w:pPr>
        <w:spacing w:after="10"/>
        <w:ind w:left="230" w:hanging="187"/>
      </w:pPr>
      <w:r>
        <w:rPr>
          <w:rFonts w:ascii="Noto Sans" w:hAnsi="Noto Sans"/>
          <w:sz w:val="19"/>
        </w:rPr>
        <w:t>B. Establish shared expectations for accidental encounters, online contact, privacy, and voluntary social contact while acknowledging unavoidable overlaps and revisiting their effects.</w:t>
      </w:r>
    </w:p>
    <w:p>
      <w:pPr>
        <w:spacing w:after="10"/>
        <w:ind w:left="230" w:hanging="187"/>
      </w:pPr>
      <w:r>
        <w:rPr>
          <w:rFonts w:ascii="Noto Sans" w:hAnsi="Noto Sans"/>
          <w:sz w:val="19"/>
        </w:rPr>
        <w:t>C. Let each overlapping pair establish its own outside-contact rules privately so Alan does not impose one standard on different relationships.</w:t>
      </w:r>
    </w:p>
    <w:p>
      <w:pPr>
        <w:spacing w:after="10"/>
        <w:ind w:left="230" w:hanging="187"/>
      </w:pPr>
      <w:r>
        <w:rPr>
          <w:rFonts w:ascii="Noto Sans" w:hAnsi="Noto Sans"/>
          <w:sz w:val="19"/>
        </w:rPr>
        <w:t>D. Prohibit social-media connections among members and require disclosure to Alan whenever two members communicate outside group about one another.</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The group begins with eight members. During the first three sessions, participation increases gradually and members begin taking more interpersonal risks.</w:t>
            </w:r>
          </w:p>
          <w:p>
            <w:pPr>
              <w:spacing w:after="60"/>
            </w:pPr>
            <w:r>
              <w:rPr>
                <w:rFonts w:ascii="Noto Sans" w:hAnsi="Noto Sans"/>
                <w:sz w:val="19"/>
              </w:rPr>
              <w:t>After the third session, Maya posts publicly on social media: “Someone in my anxiety group lies about panic attacks to get attention.”</w:t>
            </w:r>
          </w:p>
          <w:p>
            <w:pPr>
              <w:spacing w:after="60"/>
            </w:pPr>
            <w:r>
              <w:rPr>
                <w:rFonts w:ascii="Noto Sans" w:hAnsi="Noto Sans"/>
                <w:sz w:val="19"/>
              </w:rPr>
              <w:t>The post does not name Leila, Alan, the practice, or the group. However, another member who follows Maya believes the post refers to Leila because Leila recently discussed feeling dismissed when others questioned whether her panic symptoms were genuine. That member sends Leila a screenshot.</w:t>
            </w:r>
          </w:p>
          <w:p>
            <w:pPr>
              <w:spacing w:after="60"/>
            </w:pPr>
            <w:r>
              <w:rPr>
                <w:rFonts w:ascii="Noto Sans" w:hAnsi="Noto Sans"/>
                <w:sz w:val="19"/>
              </w:rPr>
              <w:t>Leila tells Alan that she feels exposed and is now afraid that people in her community could identify her. Maya says she was angry after the previous session and was “venting,” but insists that she never named anyone. She voluntarily deletes the post after Alan speaks with her.</w:t>
            </w:r>
          </w:p>
          <w:p>
            <w:pPr>
              <w:spacing w:after="60"/>
            </w:pPr>
            <w:r>
              <w:rPr>
                <w:rFonts w:ascii="Noto Sans" w:hAnsi="Noto Sans"/>
                <w:sz w:val="19"/>
              </w:rPr>
              <w:t>There have been no threats, stalking, doxxing, or reports of intent to harm anyone.</w:t>
            </w:r>
          </w:p>
          <w:p>
            <w:pPr>
              <w:spacing w:after="60"/>
            </w:pPr>
            <w:r>
              <w:rPr>
                <w:rFonts w:ascii="Noto Sans" w:hAnsi="Noto Sans"/>
                <w:sz w:val="19"/>
              </w:rPr>
              <w:t>At the next group meeting, three members begin criticizing Maya and saying she should leave. Two defend her. Several quieter members stop participating. Attendance at the following meeting drops from eight members to six.</w:t>
            </w:r>
          </w:p>
          <w:p>
            <w:pPr>
              <w:spacing w:after="60"/>
            </w:pPr>
            <w:r>
              <w:rPr>
                <w:rFonts w:ascii="Noto Sans" w:hAnsi="Noto Sans"/>
                <w:sz w:val="19"/>
              </w:rPr>
              <w:t>The group is still early in its development, and Alan had planned to continue anxiety-management and interpersonal-practice content.</w:t>
            </w:r>
          </w:p>
        </w:tc>
      </w:tr>
    </w:tbl>
    <w:p>
      <w:pPr>
        <w:keepNext/>
        <w:spacing w:before="120" w:after="40"/>
      </w:pPr>
      <w:r>
        <w:rPr>
          <w:rFonts w:ascii="Noto Sans" w:hAnsi="Noto Sans"/>
          <w:b/>
          <w:color w:val="1F2937"/>
          <w:sz w:val="20"/>
        </w:rPr>
        <w:t>96. Which intervention BEST fits the group’s current developmental needs?</w:t>
      </w:r>
    </w:p>
    <w:p>
      <w:pPr>
        <w:spacing w:after="10"/>
        <w:ind w:left="230" w:hanging="187"/>
      </w:pPr>
      <w:r>
        <w:rPr>
          <w:rFonts w:ascii="Noto Sans" w:hAnsi="Noto Sans"/>
          <w:sz w:val="19"/>
        </w:rPr>
        <w:t>A. Continue the planned anxiety curriculum while meeting individually with the affected members, then return to the incident only if attendance continues declining further.</w:t>
      </w:r>
    </w:p>
    <w:p>
      <w:pPr>
        <w:spacing w:after="10"/>
        <w:ind w:left="230" w:hanging="187"/>
      </w:pPr>
      <w:r>
        <w:rPr>
          <w:rFonts w:ascii="Noto Sans" w:hAnsi="Noto Sans"/>
          <w:sz w:val="19"/>
        </w:rPr>
        <w:t>B. Suspend Maya from the next session while trust recovers, then reconsider participation after an individual accountability and readiness meeting.</w:t>
      </w:r>
    </w:p>
    <w:p>
      <w:pPr>
        <w:spacing w:after="10"/>
        <w:ind w:left="230" w:hanging="187"/>
      </w:pPr>
      <w:r>
        <w:rPr>
          <w:rFonts w:ascii="Noto Sans" w:hAnsi="Noto Sans"/>
          <w:sz w:val="19"/>
        </w:rPr>
        <w:t>C. Ask members to vote on whether Maya should remain, using the decision to restore shared ownership of the group’s safety expectations.</w:t>
      </w:r>
    </w:p>
    <w:p>
      <w:pPr>
        <w:spacing w:after="10"/>
        <w:ind w:left="230" w:hanging="187"/>
      </w:pPr>
      <w:r>
        <w:rPr>
          <w:rFonts w:ascii="Noto Sans" w:hAnsi="Noto Sans"/>
          <w:sz w:val="19"/>
        </w:rPr>
        <w:t>D. Pause planned content to address the rupture, clarify impact and agreements, assess safety and fit, and help the early group rebuild working norms.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97. Three members begin attacking Maya while two defend her and quieter members withdraw. Which response BEST uses linking and blocking?</w:t>
      </w:r>
    </w:p>
    <w:p>
      <w:pPr>
        <w:spacing w:after="10"/>
        <w:ind w:left="230" w:hanging="187"/>
      </w:pPr>
      <w:r>
        <w:rPr>
          <w:rFonts w:ascii="Noto Sans" w:hAnsi="Noto Sans"/>
          <w:sz w:val="19"/>
        </w:rPr>
        <w:t>A. Let the members who feel harmed complete their feedback first, then invite Maya and her supporters to respond after everyone has been heard.</w:t>
      </w:r>
    </w:p>
    <w:p>
      <w:pPr>
        <w:spacing w:after="10"/>
        <w:ind w:left="230" w:hanging="187"/>
      </w:pPr>
      <w:r>
        <w:rPr>
          <w:rFonts w:ascii="Noto Sans" w:hAnsi="Noto Sans"/>
          <w:sz w:val="19"/>
        </w:rPr>
        <w:t>B. Stop personal attacks, link different reactions to shared concerns about trust and exposure, and invite concise first-person responses from quieter members.</w:t>
      </w:r>
    </w:p>
    <w:p>
      <w:pPr>
        <w:spacing w:after="10"/>
        <w:ind w:left="230" w:hanging="187"/>
      </w:pPr>
      <w:r>
        <w:rPr>
          <w:rFonts w:ascii="Noto Sans" w:hAnsi="Noto Sans"/>
          <w:sz w:val="19"/>
        </w:rPr>
        <w:t>C. Invite Maya to answer each concern individually while Alan monitors tone and reminds members to keep their comments specific and respectful.</w:t>
      </w:r>
    </w:p>
    <w:p>
      <w:pPr>
        <w:spacing w:after="10"/>
        <w:ind w:left="230" w:hanging="187"/>
      </w:pPr>
      <w:r>
        <w:rPr>
          <w:rFonts w:ascii="Noto Sans" w:hAnsi="Noto Sans"/>
          <w:sz w:val="19"/>
        </w:rPr>
        <w:t>D. Stop discussion of Maya’s behavior and redirect members to their own feelings about trust so the group does not become punitive.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98. After Alan interrupts the personal attacks, which intervention BEST fosters therapeutic group factors?</w:t>
      </w:r>
    </w:p>
    <w:p>
      <w:pPr>
        <w:spacing w:after="10"/>
        <w:ind w:left="230" w:hanging="187"/>
      </w:pPr>
      <w:r>
        <w:rPr>
          <w:rFonts w:ascii="Noto Sans" w:hAnsi="Noto Sans"/>
          <w:sz w:val="19"/>
        </w:rPr>
        <w:t>A. Invite members to describe their own reactions and needs, notice shared vulnerability, support accountability, and identify what would permit continued participation without requiring forgiveness.</w:t>
      </w:r>
    </w:p>
    <w:p>
      <w:pPr>
        <w:spacing w:after="10"/>
        <w:ind w:left="230" w:hanging="187"/>
      </w:pPr>
      <w:r>
        <w:rPr>
          <w:rFonts w:ascii="Noto Sans" w:hAnsi="Noto Sans"/>
          <w:sz w:val="19"/>
        </w:rPr>
        <w:t>B. Summarize the group’s common rules and ask every member to recommit to them so cohesion can reform around a shared behavioral standard before proceeding.</w:t>
      </w:r>
    </w:p>
    <w:p>
      <w:pPr>
        <w:spacing w:after="10"/>
        <w:ind w:left="230" w:hanging="187"/>
      </w:pPr>
      <w:r>
        <w:rPr>
          <w:rFonts w:ascii="Noto Sans" w:hAnsi="Noto Sans"/>
          <w:sz w:val="19"/>
        </w:rPr>
        <w:t>C. Ask Maya and Leila to conduct a structured repair dialogue in front of the group so members can learn from direct interpersonal resolution.</w:t>
      </w:r>
    </w:p>
    <w:p>
      <w:pPr>
        <w:spacing w:after="10"/>
        <w:ind w:left="230" w:hanging="187"/>
      </w:pPr>
      <w:r>
        <w:rPr>
          <w:rFonts w:ascii="Noto Sans" w:hAnsi="Noto Sans"/>
          <w:sz w:val="19"/>
        </w:rPr>
        <w:t>D. Normalize that early groups often encounter conflict and reassure members that working through the rupture can strengthen cohesion over time.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99. Alan notices a strong urge to remove Maya immediately to protect Leila, followed by irritation when Maya becomes defensive. What should Alan do with this reaction?</w:t>
      </w:r>
    </w:p>
    <w:p>
      <w:pPr>
        <w:spacing w:after="10"/>
        <w:ind w:left="230" w:hanging="187"/>
      </w:pPr>
      <w:r>
        <w:rPr>
          <w:rFonts w:ascii="Noto Sans" w:hAnsi="Noto Sans"/>
          <w:sz w:val="19"/>
        </w:rPr>
        <w:t>A. Follow the protective impulse by suspending Maya now, then use consultation before deciding whether she can return to the group.</w:t>
      </w:r>
    </w:p>
    <w:p>
      <w:pPr>
        <w:spacing w:after="10"/>
        <w:ind w:left="230" w:hanging="187"/>
      </w:pPr>
      <w:r>
        <w:rPr>
          <w:rFonts w:ascii="Noto Sans" w:hAnsi="Noto Sans"/>
          <w:sz w:val="19"/>
        </w:rPr>
        <w:t>B. Tell the group that Alan feels protective of Leila and irritated with Maya so members understand why he is slowing the decision.</w:t>
      </w:r>
    </w:p>
    <w:p>
      <w:pPr>
        <w:spacing w:after="10"/>
        <w:ind w:left="230" w:hanging="187"/>
      </w:pPr>
      <w:r>
        <w:rPr>
          <w:rFonts w:ascii="Noto Sans" w:hAnsi="Noto Sans"/>
          <w:sz w:val="19"/>
        </w:rPr>
        <w:t>C. Counterbalance the protective reaction by giving Maya additional time to explain herself and ensuring her perspective receives equal group attention.</w:t>
      </w:r>
    </w:p>
    <w:p>
      <w:pPr>
        <w:spacing w:after="10"/>
        <w:ind w:left="230" w:hanging="187"/>
      </w:pPr>
      <w:r>
        <w:rPr>
          <w:rFonts w:ascii="Noto Sans" w:hAnsi="Noto Sans"/>
          <w:sz w:val="19"/>
        </w:rPr>
        <w:t>D. Notice the competing pulls, seek consultation or supervision, examine how they may shape judgment, and return to explicit safety and group-fit criteria.</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During the next three sessions, Alan reviews the group agreement, facilitates structured discussion of the impact of the post, and conducts individual check-ins when clinically indicated. Maya acknowledges that the post had an effect she did not anticipate and reiterates that she deleted it. Leila resumes participating but remains more cautious than before the incident.</w:t>
            </w:r>
          </w:p>
          <w:p>
            <w:pPr>
              <w:spacing w:after="60"/>
            </w:pPr>
            <w:r>
              <w:rPr>
                <w:rFonts w:ascii="Noto Sans" w:hAnsi="Noto Sans"/>
                <w:sz w:val="19"/>
              </w:rPr>
              <w:t>Attendance returns to seven of eight members. Anonymous weekly ratings of psychological safety, which fell sharply after the incident, improve but have not returned completely to their pre-incident level. No additional outside-group incidents are reported, and members continue making progress on individual anxiety goals.</w:t>
            </w:r>
          </w:p>
          <w:p>
            <w:pPr>
              <w:spacing w:after="60"/>
            </w:pPr>
            <w:r>
              <w:rPr>
                <w:rFonts w:ascii="Noto Sans" w:hAnsi="Noto Sans"/>
                <w:sz w:val="19"/>
              </w:rPr>
              <w:t>Nora decides the group is no longer the right treatment setting for her and accepts a referral to another service. She authorizes Alan to tell the group only: “I decided this group is not the right fit for me and am moving to another treatment option.” She does not authorize Alan to explain her private reasons.</w:t>
            </w:r>
          </w:p>
          <w:p>
            <w:pPr>
              <w:spacing w:after="60"/>
            </w:pPr>
            <w:r>
              <w:rPr>
                <w:rFonts w:ascii="Noto Sans" w:hAnsi="Noto Sans"/>
                <w:sz w:val="19"/>
              </w:rPr>
              <w:t>Asha and Ben remain in the group. Each separately asks Alan whether he can also become their individual therapist while they continue attending the group. Both say they trust Alan and would prefer not to begin again with another clinician.</w:t>
            </w:r>
          </w:p>
          <w:p>
            <w:pPr>
              <w:spacing w:after="60"/>
            </w:pPr>
            <w:r>
              <w:rPr>
                <w:rFonts w:ascii="Noto Sans" w:hAnsi="Noto Sans"/>
                <w:sz w:val="19"/>
              </w:rPr>
              <w:t>During the next group meeting, another member says: “I’m participating again, but I still don’t know what is actually safe to say here.”</w:t>
            </w:r>
          </w:p>
        </w:tc>
      </w:tr>
    </w:tbl>
    <w:p>
      <w:pPr>
        <w:keepNext/>
        <w:spacing w:before="120" w:after="40"/>
      </w:pPr>
      <w:r>
        <w:rPr>
          <w:rFonts w:ascii="Noto Sans" w:hAnsi="Noto Sans"/>
          <w:b/>
          <w:color w:val="1F2937"/>
          <w:sz w:val="20"/>
        </w:rPr>
        <w:t>100. Which approach BEST manages Nora's planned departure from the group?</w:t>
      </w:r>
    </w:p>
    <w:p>
      <w:pPr>
        <w:spacing w:after="10"/>
        <w:ind w:left="230" w:hanging="187"/>
      </w:pPr>
      <w:r>
        <w:rPr>
          <w:rFonts w:ascii="Noto Sans" w:hAnsi="Noto Sans"/>
          <w:sz w:val="19"/>
        </w:rPr>
        <w:t>A. Share Nora's authorized statement at the next session, invite brief reactions, and then redirect to planned content so the departure does not dominate group work.</w:t>
      </w:r>
    </w:p>
    <w:p>
      <w:pPr>
        <w:spacing w:after="10"/>
        <w:ind w:left="230" w:hanging="187"/>
      </w:pPr>
      <w:r>
        <w:rPr>
          <w:rFonts w:ascii="Noto Sans" w:hAnsi="Noto Sans"/>
          <w:sz w:val="19"/>
        </w:rPr>
        <w:t>B. Offer Nora an optional closing session; if she declines, tell the group she transferred and address logistics without inviting discussion of private reasons.</w:t>
      </w:r>
    </w:p>
    <w:p>
      <w:pPr>
        <w:spacing w:after="10"/>
        <w:ind w:left="230" w:hanging="187"/>
      </w:pPr>
      <w:r>
        <w:rPr>
          <w:rFonts w:ascii="Noto Sans" w:hAnsi="Noto Sans"/>
          <w:sz w:val="19"/>
        </w:rPr>
        <w:t>C. Invite the group to process its assumptions about the departure before sharing Nora's authorized statement, then correct only information she permitted Alan to clarify.</w:t>
      </w:r>
    </w:p>
    <w:p>
      <w:pPr>
        <w:spacing w:after="10"/>
        <w:ind w:left="230" w:hanging="187"/>
      </w:pPr>
      <w:r>
        <w:rPr>
          <w:rFonts w:ascii="Noto Sans" w:hAnsi="Noto Sans"/>
          <w:sz w:val="19"/>
        </w:rPr>
        <w:t>D. With Nora's agreement, offer a closing opportunity or authorized statement, clarify transition logistics, and invite members to process the departure without adding private reasons.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101. Which pre/post approach BEST determines whether the group's repair efforts are improving group functioning?</w:t>
      </w:r>
    </w:p>
    <w:p>
      <w:pPr>
        <w:spacing w:after="10"/>
        <w:ind w:left="230" w:hanging="187"/>
      </w:pPr>
      <w:r>
        <w:rPr>
          <w:rFonts w:ascii="Noto Sans" w:hAnsi="Noto Sans"/>
          <w:sz w:val="19"/>
        </w:rPr>
        <w:t>A. Compare attendance before and after repair and use individual anxiety-symptom change as the secondary indicator of whether the group has returned to effective functioning.</w:t>
      </w:r>
    </w:p>
    <w:p>
      <w:pPr>
        <w:spacing w:after="10"/>
        <w:ind w:left="230" w:hanging="187"/>
      </w:pPr>
      <w:r>
        <w:rPr>
          <w:rFonts w:ascii="Noto Sans" w:hAnsi="Noto Sans"/>
          <w:sz w:val="19"/>
        </w:rPr>
        <w:t>B. Repeat the psychological-safety rating after each session and treat return to the preincident mean as the primary evidence that the rupture has resolved.</w:t>
      </w:r>
    </w:p>
    <w:p>
      <w:pPr>
        <w:spacing w:after="10"/>
        <w:ind w:left="230" w:hanging="187"/>
      </w:pPr>
      <w:r>
        <w:rPr>
          <w:rFonts w:ascii="Noto Sans" w:hAnsi="Noto Sans"/>
          <w:sz w:val="19"/>
        </w:rPr>
        <w:t>C. Repeat the same safety or cohesion measure at planned intervals from the pre-rupture baseline and pair it with participation, attendance, and individual anxiety-function data.</w:t>
      </w:r>
    </w:p>
    <w:p>
      <w:pPr>
        <w:spacing w:after="10"/>
        <w:ind w:left="230" w:hanging="187"/>
      </w:pPr>
      <w:r>
        <w:rPr>
          <w:rFonts w:ascii="Noto Sans" w:hAnsi="Noto Sans"/>
          <w:sz w:val="19"/>
        </w:rPr>
        <w:t>D. Use open-ended member feedback after repair and compare themes with Alan's pre-rupture process notes so outcome assessment remains individualized rather than score-driven.</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102. How should Alan respond to Asha’s and Ben’s requests for individual therapy?</w:t>
      </w:r>
    </w:p>
    <w:p>
      <w:pPr>
        <w:spacing w:after="10"/>
        <w:ind w:left="230" w:hanging="187"/>
      </w:pPr>
      <w:r>
        <w:rPr>
          <w:rFonts w:ascii="Noto Sans" w:hAnsi="Noto Sans"/>
          <w:sz w:val="19"/>
        </w:rPr>
        <w:t>A. Accept one employee for individual therapy and refer the other, reducing overlapping roles while preserving access to a clinician already familiar with the group.</w:t>
      </w:r>
    </w:p>
    <w:p>
      <w:pPr>
        <w:spacing w:after="10"/>
        <w:ind w:left="230" w:hanging="187"/>
      </w:pPr>
      <w:r>
        <w:rPr>
          <w:rFonts w:ascii="Noto Sans" w:hAnsi="Noto Sans"/>
          <w:sz w:val="19"/>
        </w:rPr>
        <w:t>B. Before accepting, assess role-change consequences, workplace power, confidentiality conflicts, group impact, alternatives, and consultation; use separate referrals if conflicts cannot be managed.</w:t>
      </w:r>
    </w:p>
    <w:p>
      <w:pPr>
        <w:spacing w:after="10"/>
        <w:ind w:left="230" w:hanging="187"/>
      </w:pPr>
      <w:r>
        <w:rPr>
          <w:rFonts w:ascii="Noto Sans" w:hAnsi="Noto Sans"/>
          <w:sz w:val="19"/>
        </w:rPr>
        <w:t>C. Decline both requests because a group counselor should not provide individual therapy to any current group member regardless of circumstances or informed consent.</w:t>
      </w:r>
    </w:p>
    <w:p>
      <w:pPr>
        <w:spacing w:after="10"/>
        <w:ind w:left="230" w:hanging="187"/>
      </w:pPr>
      <w:r>
        <w:rPr>
          <w:rFonts w:ascii="Noto Sans" w:hAnsi="Noto Sans"/>
          <w:sz w:val="19"/>
        </w:rPr>
        <w:t>D. Accept both requests with separate informed-consent agreements, keeping individual-session information outside group and reviewing role conflicts only if problems later emerge.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103. A member says, “I still don’t know what is actually safe to say here.” Which response BEST uses the here-and-now group process?</w:t>
      </w:r>
    </w:p>
    <w:p>
      <w:pPr>
        <w:spacing w:after="10"/>
        <w:ind w:left="230" w:hanging="187"/>
      </w:pPr>
      <w:r>
        <w:rPr>
          <w:rFonts w:ascii="Noto Sans" w:hAnsi="Noto Sans"/>
          <w:sz w:val="19"/>
        </w:rPr>
        <w:t>A. Invite members to notice what is happening now—what they are holding back, what feels risky, and what responses would increase workable trust.</w:t>
      </w:r>
    </w:p>
    <w:p>
      <w:pPr>
        <w:spacing w:after="10"/>
        <w:ind w:left="230" w:hanging="187"/>
      </w:pPr>
      <w:r>
        <w:rPr>
          <w:rFonts w:ascii="Noto Sans" w:hAnsi="Noto Sans"/>
          <w:sz w:val="19"/>
        </w:rPr>
        <w:t>B. Review the confidentiality agreement and acknowledge that no rule can eliminate all risk, then return to planned anxiety content after answering questions.</w:t>
      </w:r>
    </w:p>
    <w:p>
      <w:pPr>
        <w:spacing w:after="10"/>
        <w:ind w:left="230" w:hanging="187"/>
      </w:pPr>
      <w:r>
        <w:rPr>
          <w:rFonts w:ascii="Noto Sans" w:hAnsi="Noto Sans"/>
          <w:sz w:val="19"/>
        </w:rPr>
        <w:t>C. Ask members privately after group what feels unsafe, then summarize themes anonymously next session so concerns can be addressed without public pressure.</w:t>
      </w:r>
    </w:p>
    <w:p>
      <w:pPr>
        <w:spacing w:after="10"/>
        <w:ind w:left="230" w:hanging="187"/>
      </w:pPr>
      <w:r>
        <w:rPr>
          <w:rFonts w:ascii="Noto Sans" w:hAnsi="Noto Sans"/>
          <w:sz w:val="19"/>
        </w:rPr>
        <w:t>D. Ask members to identify specific rule changes that would make disclosure feel safe enough, then resume process work after the new agreement is adopted.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104. Members ask Alan whether Nora left because of the social-media incident. Which response BEST respects Nora’s authorization?</w:t>
      </w:r>
    </w:p>
    <w:p>
      <w:pPr>
        <w:spacing w:after="10"/>
        <w:ind w:left="230" w:hanging="187"/>
      </w:pPr>
      <w:r>
        <w:rPr>
          <w:rFonts w:ascii="Noto Sans" w:hAnsi="Noto Sans"/>
          <w:sz w:val="19"/>
        </w:rPr>
        <w:t>A. Tell the group Nora left because privacy concerns remained, without mentioning the neighborhood connection or any other details from her private conversation.</w:t>
      </w:r>
    </w:p>
    <w:p>
      <w:pPr>
        <w:spacing w:after="10"/>
        <w:ind w:left="230" w:hanging="187"/>
      </w:pPr>
      <w:r>
        <w:rPr>
          <w:rFonts w:ascii="Noto Sans" w:hAnsi="Noto Sans"/>
          <w:sz w:val="19"/>
        </w:rPr>
        <w:t>B. Say Nora requested another treatment format and will continue elsewhere, then decline further questions because the exact reason remains confidential.</w:t>
      </w:r>
    </w:p>
    <w:p>
      <w:pPr>
        <w:spacing w:after="10"/>
        <w:ind w:left="230" w:hanging="187"/>
      </w:pPr>
      <w:r>
        <w:rPr>
          <w:rFonts w:ascii="Noto Sans" w:hAnsi="Noto Sans"/>
          <w:sz w:val="19"/>
        </w:rPr>
        <w:t>C. Use only Nora’s authorized statement, decline to confirm or deny specific reasons, and invite the group to process reactions to the departure.</w:t>
      </w:r>
    </w:p>
    <w:p>
      <w:pPr>
        <w:spacing w:after="10"/>
        <w:ind w:left="230" w:hanging="187"/>
      </w:pPr>
      <w:r>
        <w:rPr>
          <w:rFonts w:ascii="Noto Sans" w:hAnsi="Noto Sans"/>
          <w:sz w:val="19"/>
        </w:rPr>
        <w:t>D. Decline to discuss Nora’s departure at all once she leaves, even though she authorized a limited statement about changing treatment.</w:t>
      </w:r>
    </w:p>
    <w:p>
      <w:pPr>
        <w:spacing w:after="40"/>
      </w:pPr>
      <w:r>
        <w:rPr>
          <w:rFonts w:ascii="Noto Sans" w:hAnsi="Noto Sans"/>
          <w:color w:val="6B7280"/>
          <w:sz w:val="17"/>
        </w:rPr>
        <w:t>Answer: ________     Confidence:  1  2  3  4  5</w:t>
      </w:r>
    </w:p>
    <w:p>
      <w:r>
        <w:br w:type="page"/>
      </w:r>
    </w:p>
    <w:p>
      <w:pPr>
        <w:pStyle w:val="Heading1"/>
      </w:pPr>
      <w:r>
        <w:t>CASE 9: Harold B.</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Harold is 71 and is the primary caregiver for his spouse, who has moderate dementia. His spouse needs assistance with medications and bathing and has previously attempted to leave the home when confused. No other caregiver is regularly present.</w:t>
            </w:r>
          </w:p>
          <w:p>
            <w:pPr>
              <w:spacing w:after="60"/>
            </w:pPr>
            <w:r>
              <w:rPr>
                <w:rFonts w:ascii="Noto Sans" w:hAnsi="Noto Sans"/>
                <w:sz w:val="19"/>
              </w:rPr>
              <w:t>Harold says he is exhausted and increasingly irritable. During the intake he says, “Sometimes I think about walking away and never coming back.”</w:t>
            </w:r>
          </w:p>
          <w:p>
            <w:pPr>
              <w:spacing w:after="60"/>
            </w:pPr>
            <w:r>
              <w:rPr>
                <w:rFonts w:ascii="Noto Sans" w:hAnsi="Noto Sans"/>
                <w:sz w:val="19"/>
              </w:rPr>
              <w:t>Harold acknowledges leaving his spouse alone for two to three hours at a time when he runs errands, even though he worries about wandering. A neighbor is staying with his spouse during today's appointment.</w:t>
            </w:r>
          </w:p>
          <w:p>
            <w:pPr>
              <w:spacing w:after="60"/>
            </w:pPr>
            <w:r>
              <w:rPr>
                <w:rFonts w:ascii="Noto Sans" w:hAnsi="Noto Sans"/>
                <w:sz w:val="19"/>
              </w:rPr>
              <w:t>Harold says he has also been “pouring more whiskey at night to shut my brain off,” but he has not yet described how much he drinks.</w:t>
            </w:r>
          </w:p>
          <w:p>
            <w:pPr>
              <w:spacing w:after="60"/>
            </w:pPr>
            <w:r>
              <w:rPr>
                <w:rFonts w:ascii="Noto Sans" w:hAnsi="Noto Sans"/>
                <w:sz w:val="19"/>
              </w:rPr>
              <w:t>His two adult children live within an hour of the home. Harold has told them very little about how difficult caregiving has become. He says, “I promised I would take care of my spouse. If I ask my kids to step in, I've failed as a husband.”</w:t>
            </w:r>
          </w:p>
        </w:tc>
      </w:tr>
    </w:tbl>
    <w:p>
      <w:pPr>
        <w:keepNext/>
        <w:spacing w:before="120" w:after="40"/>
      </w:pPr>
      <w:r>
        <w:rPr>
          <w:rFonts w:ascii="Noto Sans" w:hAnsi="Noto Sans"/>
          <w:b/>
          <w:color w:val="1F2937"/>
          <w:sz w:val="20"/>
        </w:rPr>
        <w:t>105. Which inquiry would MOST directly clarify the immediate safety concerns in Harold's presentation?</w:t>
      </w:r>
    </w:p>
    <w:p>
      <w:pPr>
        <w:spacing w:after="10"/>
        <w:ind w:left="230" w:hanging="187"/>
      </w:pPr>
      <w:r>
        <w:rPr>
          <w:rFonts w:ascii="Noto Sans" w:hAnsi="Noto Sans"/>
          <w:sz w:val="19"/>
        </w:rPr>
        <w:t>A. Clarify Harold's depression, anxiety, cognition, sleep, alcohol use, medical conditions, medications, and recent changes in his own daily functioning.</w:t>
      </w:r>
    </w:p>
    <w:p>
      <w:pPr>
        <w:spacing w:after="10"/>
        <w:ind w:left="230" w:hanging="187"/>
      </w:pPr>
      <w:r>
        <w:rPr>
          <w:rFonts w:ascii="Noto Sans" w:hAnsi="Noto Sans"/>
          <w:sz w:val="19"/>
        </w:rPr>
        <w:t>B. Assess caregiver burden, marital role expectations, family supports, barriers to asking for help, respite access, and the recent increase in anger.</w:t>
      </w:r>
    </w:p>
    <w:p>
      <w:pPr>
        <w:spacing w:after="10"/>
        <w:ind w:left="230" w:hanging="187"/>
      </w:pPr>
      <w:r>
        <w:rPr>
          <w:rFonts w:ascii="Noto Sans" w:hAnsi="Noto Sans"/>
          <w:sz w:val="19"/>
        </w:rPr>
        <w:t>C. Review the spouse's dementia course, wandering history, medication and bathing needs, home hazards, backup care, and current level of supervision.</w:t>
      </w:r>
    </w:p>
    <w:p>
      <w:pPr>
        <w:spacing w:after="10"/>
        <w:ind w:left="230" w:hanging="187"/>
      </w:pPr>
      <w:r>
        <w:rPr>
          <w:rFonts w:ascii="Noto Sans" w:hAnsi="Noto Sans"/>
          <w:sz w:val="19"/>
        </w:rPr>
        <w:t>D. Clarify what “never coming back” means, suicidal or violent thoughts, recent caregiving lapses, current supervision, and Harold's ability to maintain safety.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106. Harold says, “If I ask my kids for help, I've failed my spouse.” Which response BEST demonstrates empathic responding?</w:t>
      </w:r>
    </w:p>
    <w:p>
      <w:pPr>
        <w:spacing w:after="10"/>
        <w:ind w:left="230" w:hanging="187"/>
      </w:pPr>
      <w:r>
        <w:rPr>
          <w:rFonts w:ascii="Noto Sans" w:hAnsi="Noto Sans"/>
          <w:sz w:val="19"/>
        </w:rPr>
        <w:t>A. You have carried a great deal because caring for your spouse matters to you. Let's identify which tasks your children could take over.</w:t>
      </w:r>
    </w:p>
    <w:p>
      <w:pPr>
        <w:spacing w:after="10"/>
        <w:ind w:left="230" w:hanging="187"/>
      </w:pPr>
      <w:r>
        <w:rPr>
          <w:rFonts w:ascii="Noto Sans" w:hAnsi="Noto Sans"/>
          <w:sz w:val="19"/>
        </w:rPr>
        <w:t>B. Being a good husband seems deeply important to you, and asking for help feels like failing that commitment. What makes it mean failure?</w:t>
      </w:r>
    </w:p>
    <w:p>
      <w:pPr>
        <w:spacing w:after="10"/>
        <w:ind w:left="230" w:hanging="187"/>
      </w:pPr>
      <w:r>
        <w:rPr>
          <w:rFonts w:ascii="Noto Sans" w:hAnsi="Noto Sans"/>
          <w:sz w:val="19"/>
        </w:rPr>
        <w:t>C. You sound exhausted, but the current arrangement may be unsafe. We should separate the feeling of failure from the practical care decisions.</w:t>
      </w:r>
    </w:p>
    <w:p>
      <w:pPr>
        <w:spacing w:after="10"/>
        <w:ind w:left="230" w:hanging="187"/>
      </w:pPr>
      <w:r>
        <w:rPr>
          <w:rFonts w:ascii="Noto Sans" w:hAnsi="Noto Sans"/>
          <w:sz w:val="19"/>
        </w:rPr>
        <w:t>D. Many devoted spouses eventually need help. Accepting support does not mean you have failed, and your children may want to contribute.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107. Which assessment plan would BEST permit the counselor to formulate both the severity of Harold's alcohol use and its relationship to caregiving safety?</w:t>
      </w:r>
    </w:p>
    <w:p>
      <w:pPr>
        <w:spacing w:after="10"/>
        <w:ind w:left="230" w:hanging="187"/>
      </w:pPr>
      <w:r>
        <w:rPr>
          <w:rFonts w:ascii="Noto Sans" w:hAnsi="Noto Sans"/>
          <w:sz w:val="19"/>
        </w:rPr>
        <w:t>A. Clarify amount, frequency, sleep-related use, medication interactions, caregiving-time drinking, and whether safety incidents followed alcohol use so immediate risk can be estimated.</w:t>
      </w:r>
    </w:p>
    <w:p>
      <w:pPr>
        <w:spacing w:after="10"/>
        <w:ind w:left="230" w:hanging="187"/>
      </w:pPr>
      <w:r>
        <w:rPr>
          <w:rFonts w:ascii="Noto Sans" w:hAnsi="Noto Sans"/>
          <w:sz w:val="19"/>
        </w:rPr>
        <w:t>B. Clarify tolerance, withdrawal, craving, unsuccessful cut-downs, consequences, prior alcohol history, and readiness for change so disorder severity can be estimated.</w:t>
      </w:r>
    </w:p>
    <w:p>
      <w:pPr>
        <w:spacing w:after="10"/>
        <w:ind w:left="230" w:hanging="187"/>
      </w:pPr>
      <w:r>
        <w:rPr>
          <w:rFonts w:ascii="Noto Sans" w:hAnsi="Noto Sans"/>
          <w:sz w:val="19"/>
        </w:rPr>
        <w:t>C. Clarify perceived benefits, concerns, prior change attempts, family feedback, and caregiving functioning on drinking versus nondrinking days so motivation can be explored.</w:t>
      </w:r>
    </w:p>
    <w:p>
      <w:pPr>
        <w:spacing w:after="10"/>
        <w:ind w:left="230" w:hanging="187"/>
      </w:pPr>
      <w:r>
        <w:rPr>
          <w:rFonts w:ascii="Noto Sans" w:hAnsi="Noto Sans"/>
          <w:sz w:val="19"/>
        </w:rPr>
        <w:t>D. Map amount, frequency, timing, tolerance, withdrawal, cut-down attempts, caregiving-time use, consequences, interactions, and function so both severity and safety can be formulated.</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Harold explains that “walking away and never coming back” means imagining getting in his car and leaving the caregiving situation. He denies wanting to die, current suicidal ideation, a suicide plan, previous suicide attempts, or thoughts or intent to physically harm his spouse.</w:t>
            </w:r>
          </w:p>
          <w:p>
            <w:pPr>
              <w:spacing w:after="60"/>
            </w:pPr>
            <w:r>
              <w:rPr>
                <w:rFonts w:ascii="Noto Sans" w:hAnsi="Noto Sans"/>
                <w:sz w:val="19"/>
              </w:rPr>
              <w:t>He reports sleeping approximately three hours most nights.</w:t>
            </w:r>
          </w:p>
          <w:p>
            <w:pPr>
              <w:spacing w:after="60"/>
            </w:pPr>
            <w:r>
              <w:rPr>
                <w:rFonts w:ascii="Noto Sans" w:hAnsi="Noto Sans"/>
                <w:sz w:val="19"/>
              </w:rPr>
              <w:t>During the past month, Harold has been drinking three to four standard alcoholic drinks on most evenings, compared with approximately one drink previously. He sometimes begins drinking before his spouse is settled for the night. He reports needing more alcohol than before to obtain the same relaxing effect and has twice tried to reduce his use but returned to the previous amount because he could not sleep.</w:t>
            </w:r>
          </w:p>
          <w:p>
            <w:pPr>
              <w:spacing w:after="60"/>
            </w:pPr>
            <w:r>
              <w:rPr>
                <w:rFonts w:ascii="Noto Sans" w:hAnsi="Noto Sans"/>
                <w:sz w:val="19"/>
              </w:rPr>
              <w:t>Harold reports that he has missed three evening medication doses for his spouse during the past month. On one occasion, after becoming angry during an argument, he chose not to prepare the evening meal that his spouse depends on him to provide. A neighbor later brought food.</w:t>
            </w:r>
          </w:p>
          <w:p>
            <w:pPr>
              <w:spacing w:after="60"/>
            </w:pPr>
            <w:r>
              <w:rPr>
                <w:rFonts w:ascii="Noto Sans" w:hAnsi="Noto Sans"/>
                <w:sz w:val="19"/>
              </w:rPr>
              <w:t>One week ago, Harold fell asleep and his spouse wandered outside during the night. A neighbor found his spouse several houses away and returned them home.</w:t>
            </w:r>
          </w:p>
          <w:p>
            <w:pPr>
              <w:spacing w:after="60"/>
            </w:pPr>
            <w:r>
              <w:rPr>
                <w:rFonts w:ascii="Noto Sans" w:hAnsi="Noto Sans"/>
                <w:sz w:val="19"/>
              </w:rPr>
              <w:t>The spouse's dementia clinician has documented that the spouse currently requires reliable supervision because of wandering risk and assistance with medication management. Harold's adult children were unaware of the extent of the recent problems.</w:t>
            </w:r>
          </w:p>
          <w:p>
            <w:pPr>
              <w:spacing w:after="60"/>
            </w:pPr>
            <w:r>
              <w:rPr>
                <w:rFonts w:ascii="Noto Sans" w:hAnsi="Noto Sans"/>
                <w:sz w:val="19"/>
              </w:rPr>
              <w:t>CASE LEGAL ASSUMPTION — FOR THIS SIMULATION ONLY: Assume Harold's jurisdiction requires a licensed counselor who, in professional practice, knows or reasonably suspects that a protected adult with substantial cognitive impairment has been neglected by a caregiver to make an immediate report to the designated protective-services agency. Reasonable suspicion is sufficient; proof and malicious intent are not required. The counselor may disclose information reasonably necessary to make the required report.</w:t>
            </w:r>
          </w:p>
          <w:p>
            <w:pPr>
              <w:spacing w:after="60"/>
            </w:pPr>
            <w:r>
              <w:rPr>
                <w:rFonts w:ascii="Noto Sans" w:hAnsi="Noto Sans"/>
                <w:sz w:val="19"/>
              </w:rPr>
              <w:t>This is a fictional examination rule supplied for this case. Candidates are not expected to infer any particular state's reporting statute.</w:t>
            </w:r>
          </w:p>
          <w:p>
            <w:pPr>
              <w:spacing w:after="60"/>
            </w:pPr>
            <w:r>
              <w:rPr>
                <w:rFonts w:ascii="Noto Sans" w:hAnsi="Noto Sans"/>
                <w:sz w:val="19"/>
              </w:rPr>
              <w:t>When the counselor explains the required protective response, Harold becomes angry and says, “I told you because I trusted you. Now you've betrayed me.”</w:t>
            </w:r>
          </w:p>
        </w:tc>
      </w:tr>
    </w:tbl>
    <w:p>
      <w:pPr>
        <w:keepNext/>
        <w:spacing w:before="120" w:after="40"/>
      </w:pPr>
      <w:r>
        <w:rPr>
          <w:rFonts w:ascii="Noto Sans" w:hAnsi="Noto Sans"/>
          <w:b/>
          <w:color w:val="1F2937"/>
          <w:sz w:val="20"/>
        </w:rPr>
        <w:t>108. Which response BEST applies the legal rule supplied in the case?</w:t>
      </w:r>
    </w:p>
    <w:p>
      <w:pPr>
        <w:spacing w:after="10"/>
        <w:ind w:left="230" w:hanging="187"/>
      </w:pPr>
      <w:r>
        <w:rPr>
          <w:rFonts w:ascii="Noto Sans" w:hAnsi="Noto Sans"/>
          <w:sz w:val="19"/>
        </w:rPr>
        <w:t>A. Keep the information confidential if Harold immediately accepts respite and a supervision plan, reserving a report for any subsequent caregiving incident.</w:t>
      </w:r>
    </w:p>
    <w:p>
      <w:pPr>
        <w:spacing w:after="10"/>
        <w:ind w:left="230" w:hanging="187"/>
      </w:pPr>
      <w:r>
        <w:rPr>
          <w:rFonts w:ascii="Noto Sans" w:hAnsi="Noto Sans"/>
          <w:sz w:val="19"/>
        </w:rPr>
        <w:t>B. Ask the adult children to verify the medication, meal, and wandering events before deciding whether reasonable suspicion exists under the stated rule.</w:t>
      </w:r>
    </w:p>
    <w:p>
      <w:pPr>
        <w:spacing w:after="10"/>
        <w:ind w:left="230" w:hanging="187"/>
      </w:pPr>
      <w:r>
        <w:rPr>
          <w:rFonts w:ascii="Noto Sans" w:hAnsi="Noto Sans"/>
          <w:sz w:val="19"/>
        </w:rPr>
        <w:t>C. Coordinate dementia and respite services first, because exhaustion rather than malicious intent is driving the caregiving lapses described in the case.</w:t>
      </w:r>
    </w:p>
    <w:p>
      <w:pPr>
        <w:spacing w:after="10"/>
        <w:ind w:left="230" w:hanging="187"/>
      </w:pPr>
      <w:r>
        <w:rPr>
          <w:rFonts w:ascii="Noto Sans" w:hAnsi="Noto Sans"/>
          <w:sz w:val="19"/>
        </w:rPr>
        <w:t>D. Explain the stated duty, make the required protective report, share information necessary for that purpose, address immediate safety, and continue engaging Harold.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109. After immediate protective steps are addressed, which concurrent-care plan BEST fits the household's needs?</w:t>
      </w:r>
    </w:p>
    <w:p>
      <w:pPr>
        <w:spacing w:after="10"/>
        <w:ind w:left="230" w:hanging="187"/>
      </w:pPr>
      <w:r>
        <w:rPr>
          <w:rFonts w:ascii="Noto Sans" w:hAnsi="Noto Sans"/>
          <w:sz w:val="19"/>
        </w:rPr>
        <w:t>A. Coordinate Harold's medical, sleep, and alcohol evaluation with dementia-care, respite, and home-safety services, defining roles, releases, handoffs, and follow-up responsibilities.</w:t>
      </w:r>
    </w:p>
    <w:p>
      <w:pPr>
        <w:spacing w:after="10"/>
        <w:ind w:left="230" w:hanging="187"/>
      </w:pPr>
      <w:r>
        <w:rPr>
          <w:rFonts w:ascii="Noto Sans" w:hAnsi="Noto Sans"/>
          <w:sz w:val="19"/>
        </w:rPr>
        <w:t>B. Ask the spouse's dementia clinician to coordinate the whole household plan so medication, supervision, Harold's sleep, alcohol, and counseling stay under one lead provider.</w:t>
      </w:r>
    </w:p>
    <w:p>
      <w:pPr>
        <w:spacing w:after="10"/>
        <w:ind w:left="230" w:hanging="187"/>
      </w:pPr>
      <w:r>
        <w:rPr>
          <w:rFonts w:ascii="Noto Sans" w:hAnsi="Noto Sans"/>
          <w:sz w:val="19"/>
        </w:rPr>
        <w:t>C. Refer Harold for alcohol treatment and the spouse for dementia services, then resume caregiver counseling after both specialty plans have been established.</w:t>
      </w:r>
    </w:p>
    <w:p>
      <w:pPr>
        <w:spacing w:after="10"/>
        <w:ind w:left="230" w:hanging="187"/>
      </w:pPr>
      <w:r>
        <w:rPr>
          <w:rFonts w:ascii="Noto Sans" w:hAnsi="Noto Sans"/>
          <w:sz w:val="19"/>
        </w:rPr>
        <w:t>D. Give Harold several medical, respite, and aging-service options and let him decide which providers communicate so his autonomy remains central.</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110. Which approach BEST helps Harold develop a sustainable support system?</w:t>
      </w:r>
    </w:p>
    <w:p>
      <w:pPr>
        <w:spacing w:after="10"/>
        <w:ind w:left="230" w:hanging="187"/>
      </w:pPr>
      <w:r>
        <w:rPr>
          <w:rFonts w:ascii="Noto Sans" w:hAnsi="Noto Sans"/>
          <w:sz w:val="19"/>
        </w:rPr>
        <w:t>A. Ask each adult child to take one fixed caregiving shift weekly, then use community respite only for duties the family cannot cover consistently each month.</w:t>
      </w:r>
    </w:p>
    <w:p>
      <w:pPr>
        <w:spacing w:after="10"/>
        <w:ind w:left="230" w:hanging="187"/>
      </w:pPr>
      <w:r>
        <w:rPr>
          <w:rFonts w:ascii="Noto Sans" w:hAnsi="Noto Sans"/>
          <w:sz w:val="19"/>
        </w:rPr>
        <w:t>B. Identify willing family, friends, and community resources, clarify each person's actual capacity, and build an agreed backup plan that does not depend on one caregiver.</w:t>
      </w:r>
    </w:p>
    <w:p>
      <w:pPr>
        <w:spacing w:after="10"/>
        <w:ind w:left="230" w:hanging="187"/>
      </w:pPr>
      <w:r>
        <w:rPr>
          <w:rFonts w:ascii="Noto Sans" w:hAnsi="Noto Sans"/>
          <w:sz w:val="19"/>
        </w:rPr>
        <w:t>C. Use professional respite and adult-day services instead of family help so Harold's children are not pulled into the marital caregiving relationship.</w:t>
      </w:r>
    </w:p>
    <w:p>
      <w:pPr>
        <w:spacing w:after="10"/>
        <w:ind w:left="230" w:hanging="187"/>
      </w:pPr>
      <w:r>
        <w:rPr>
          <w:rFonts w:ascii="Noto Sans" w:hAnsi="Noto Sans"/>
          <w:sz w:val="19"/>
        </w:rPr>
        <w:t>D. Ask Harold which child is most dependable, then invite that person to coordinate the family schedule and distribute responsibilities to other relatives.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111. Harold says, “You betrayed me by reporting this.” Which response BEST demonstrates conflict tolerance and resolution?</w:t>
      </w:r>
    </w:p>
    <w:p>
      <w:pPr>
        <w:spacing w:after="10"/>
        <w:ind w:left="230" w:hanging="187"/>
      </w:pPr>
      <w:r>
        <w:rPr>
          <w:rFonts w:ascii="Noto Sans" w:hAnsi="Noto Sans"/>
          <w:sz w:val="19"/>
        </w:rPr>
        <w:t>A. I hear how angry you are. Before we discuss trust, I want us to review the safety events and why the report was necessary under the stated rule.</w:t>
      </w:r>
    </w:p>
    <w:p>
      <w:pPr>
        <w:spacing w:after="10"/>
        <w:ind w:left="230" w:hanging="187"/>
      </w:pPr>
      <w:r>
        <w:rPr>
          <w:rFonts w:ascii="Noto Sans" w:hAnsi="Noto Sans"/>
          <w:sz w:val="19"/>
        </w:rPr>
        <w:t>B. I understand this felt like a betrayal. I was required to act under the rule we discussed, and I want to understand what this did to our trust.</w:t>
      </w:r>
    </w:p>
    <w:p>
      <w:pPr>
        <w:spacing w:after="10"/>
        <w:ind w:left="230" w:hanging="187"/>
      </w:pPr>
      <w:r>
        <w:rPr>
          <w:rFonts w:ascii="Noto Sans" w:hAnsi="Noto Sans"/>
          <w:sz w:val="19"/>
        </w:rPr>
        <w:t>C. I am sorry the report damaged our relationship. Going forward, I will limit outside contact unless there is clear proof that immediate harm is occurring.</w:t>
      </w:r>
    </w:p>
    <w:p>
      <w:pPr>
        <w:spacing w:after="10"/>
        <w:ind w:left="230" w:hanging="187"/>
      </w:pPr>
      <w:r>
        <w:rPr>
          <w:rFonts w:ascii="Noto Sans" w:hAnsi="Noto Sans"/>
          <w:sz w:val="19"/>
        </w:rPr>
        <w:t>D. Your anger makes sense. If you no longer trust me after the report, we should discuss whether another counselor could work with you more effectively.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112. Which formulation BEST captures a systemic pattern contributing to Harold's isolation?</w:t>
      </w:r>
    </w:p>
    <w:p>
      <w:pPr>
        <w:spacing w:after="10"/>
        <w:ind w:left="230" w:hanging="187"/>
      </w:pPr>
      <w:r>
        <w:rPr>
          <w:rFonts w:ascii="Noto Sans" w:hAnsi="Noto Sans"/>
          <w:sz w:val="19"/>
        </w:rPr>
        <w:t>A. Harold's overresponsibility and secrecy reduce opportunities for planned help, so support often appears only during crises and reinforces his sense of failure.</w:t>
      </w:r>
    </w:p>
    <w:p>
      <w:pPr>
        <w:spacing w:after="10"/>
        <w:ind w:left="230" w:hanging="187"/>
      </w:pPr>
      <w:r>
        <w:rPr>
          <w:rFonts w:ascii="Noto Sans" w:hAnsi="Noto Sans"/>
          <w:sz w:val="19"/>
        </w:rPr>
        <w:t>B. Harold's marital identity makes accepting help difficult, so changing his beliefs about independence should precede attempts to alter the family system.</w:t>
      </w:r>
    </w:p>
    <w:p>
      <w:pPr>
        <w:spacing w:after="10"/>
        <w:ind w:left="230" w:hanging="187"/>
      </w:pPr>
      <w:r>
        <w:rPr>
          <w:rFonts w:ascii="Noto Sans" w:hAnsi="Noto Sans"/>
          <w:sz w:val="19"/>
        </w:rPr>
        <w:t>C. The spouse's dementia is the central driver of the family pattern, so modifying caregiving demands should resolve most secrecy and relational tension.</w:t>
      </w:r>
    </w:p>
    <w:p>
      <w:pPr>
        <w:spacing w:after="10"/>
        <w:ind w:left="230" w:hanging="187"/>
      </w:pPr>
      <w:r>
        <w:rPr>
          <w:rFonts w:ascii="Noto Sans" w:hAnsi="Noto Sans"/>
          <w:sz w:val="19"/>
        </w:rPr>
        <w:t>D. The adult children's limited involvement has caused Harold's burnout, so family treatment should focus first on increasing their caregiving responsibility.</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Six weeks later, Harold's spouse has a structured supervision plan that includes professional respite, an adult-day program, and identified backup contacts. The spouse has had no further unsupervised wandering, missed medication doses, or missed meals.</w:t>
            </w:r>
          </w:p>
          <w:p>
            <w:pPr>
              <w:spacing w:after="60"/>
            </w:pPr>
            <w:r>
              <w:rPr>
                <w:rFonts w:ascii="Noto Sans" w:hAnsi="Noto Sans"/>
                <w:sz w:val="19"/>
              </w:rPr>
              <w:t>Harold now sleeps approximately five and a half hours on most nights. After medical assessment and discussion of his alcohol use, he reports drinking one to two drinks on approximately three evenings per week rather than three to four drinks most nights. Alcohol use remains an active treatment and medical-monitoring issue.</w:t>
            </w:r>
          </w:p>
          <w:p>
            <w:pPr>
              <w:spacing w:after="60"/>
            </w:pPr>
            <w:r>
              <w:rPr>
                <w:rFonts w:ascii="Noto Sans" w:hAnsi="Noto Sans"/>
                <w:sz w:val="19"/>
              </w:rPr>
              <w:t>One adult child helps coordinate appointments and groceries. The other can provide an occasional weekend visit but is not able to provide routine hands-on care. Neither child can provide overnight caregiving.</w:t>
            </w:r>
          </w:p>
          <w:p>
            <w:pPr>
              <w:spacing w:after="60"/>
            </w:pPr>
            <w:r>
              <w:rPr>
                <w:rFonts w:ascii="Noto Sans" w:hAnsi="Noto Sans"/>
                <w:sz w:val="19"/>
              </w:rPr>
              <w:t>Harold initially resisted respite but now says the breaks help. He remains uncomfortable asking for assistance and says, “I still hate that people know I couldn't handle it.”</w:t>
            </w:r>
          </w:p>
          <w:p>
            <w:pPr>
              <w:spacing w:after="60"/>
            </w:pPr>
            <w:r>
              <w:rPr>
                <w:rFonts w:ascii="Noto Sans" w:hAnsi="Noto Sans"/>
                <w:sz w:val="19"/>
              </w:rPr>
              <w:t>His relationship with his children is strained. Harold wants a family meeting because he worries they now see him as “a terrible person.” The children agree to attend but state that they cannot become full-time caregivers.</w:t>
            </w:r>
          </w:p>
          <w:p>
            <w:pPr>
              <w:spacing w:after="60"/>
            </w:pPr>
            <w:r>
              <w:rPr>
                <w:rFonts w:ascii="Noto Sans" w:hAnsi="Noto Sans"/>
                <w:sz w:val="19"/>
              </w:rPr>
              <w:t>Harold's spouse continues to have moderate dementia with intermittent nighttime wakefulness, and the dementia-care team has explained that care requirements will need ongoing reassessment as the condition changes.</w:t>
            </w:r>
          </w:p>
        </w:tc>
      </w:tr>
    </w:tbl>
    <w:p>
      <w:pPr>
        <w:keepNext/>
        <w:spacing w:before="120" w:after="40"/>
      </w:pPr>
      <w:r>
        <w:rPr>
          <w:rFonts w:ascii="Noto Sans" w:hAnsi="Noto Sans"/>
          <w:b/>
          <w:color w:val="1F2937"/>
          <w:sz w:val="20"/>
        </w:rPr>
        <w:t>113. Which treatment-plan revision BEST fits the current course?</w:t>
      </w:r>
    </w:p>
    <w:p>
      <w:pPr>
        <w:spacing w:after="10"/>
        <w:ind w:left="230" w:hanging="187"/>
      </w:pPr>
      <w:r>
        <w:rPr>
          <w:rFonts w:ascii="Noto Sans" w:hAnsi="Noto Sans"/>
          <w:sz w:val="19"/>
        </w:rPr>
        <w:t>A. Keep the existing plan unchanged until Harold's caregiver burden reaches the mild range, then decide whether additional family or substance-focused work is needed.</w:t>
      </w:r>
    </w:p>
    <w:p>
      <w:pPr>
        <w:spacing w:after="10"/>
        <w:ind w:left="230" w:hanging="187"/>
      </w:pPr>
      <w:r>
        <w:rPr>
          <w:rFonts w:ascii="Noto Sans" w:hAnsi="Noto Sans"/>
          <w:sz w:val="19"/>
        </w:rPr>
        <w:t>B. Shift primarily to relapse prevention because the report, respite plan, and absence of new neglect events show that the acute treatment targets are resolved.</w:t>
      </w:r>
    </w:p>
    <w:p>
      <w:pPr>
        <w:spacing w:after="10"/>
        <w:ind w:left="230" w:hanging="187"/>
      </w:pPr>
      <w:r>
        <w:rPr>
          <w:rFonts w:ascii="Noto Sans" w:hAnsi="Noto Sans"/>
          <w:sz w:val="19"/>
        </w:rPr>
        <w:t>C. Consolidate the safer supervision plan while revising targets for Harold's sleep, alcohol use, anger, support use, and changing caregiving demands.</w:t>
      </w:r>
    </w:p>
    <w:p>
      <w:pPr>
        <w:spacing w:after="10"/>
        <w:ind w:left="230" w:hanging="187"/>
      </w:pPr>
      <w:r>
        <w:rPr>
          <w:rFonts w:ascii="Noto Sans" w:hAnsi="Noto Sans"/>
          <w:sz w:val="19"/>
        </w:rPr>
        <w:t>D. Make family-repair sessions the primary treatment focus because practical supervision is now stable and Harold's remaining distress centers on his children's reactions.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114. Which family-meeting structure BEST supports conflict resolution?</w:t>
      </w:r>
    </w:p>
    <w:p>
      <w:pPr>
        <w:spacing w:after="10"/>
        <w:ind w:left="230" w:hanging="187"/>
      </w:pPr>
      <w:r>
        <w:rPr>
          <w:rFonts w:ascii="Noto Sans" w:hAnsi="Noto Sans"/>
          <w:sz w:val="19"/>
        </w:rPr>
        <w:t>A. Ask Harold to explain the incidents and apologize first, then ask the children what caregiving help they are willing to provide after hearing his account.</w:t>
      </w:r>
    </w:p>
    <w:p>
      <w:pPr>
        <w:spacing w:after="10"/>
        <w:ind w:left="230" w:hanging="187"/>
      </w:pPr>
      <w:r>
        <w:rPr>
          <w:rFonts w:ascii="Noto Sans" w:hAnsi="Noto Sans"/>
          <w:sz w:val="19"/>
        </w:rPr>
        <w:t>B. Ask the children to divide medication, meal, and respite duties based on availability, while Harold retains overnight care and final household decision-making.</w:t>
      </w:r>
    </w:p>
    <w:p>
      <w:pPr>
        <w:spacing w:after="10"/>
        <w:ind w:left="230" w:hanging="187"/>
      </w:pPr>
      <w:r>
        <w:rPr>
          <w:rFonts w:ascii="Noto Sans" w:hAnsi="Noto Sans"/>
          <w:sz w:val="19"/>
        </w:rPr>
        <w:t>C. Set shared safety and relationship goals, invite each adult to state capacity and limits, negotiate voluntary roles, and create direct communication and backup procedures.</w:t>
      </w:r>
    </w:p>
    <w:p>
      <w:pPr>
        <w:spacing w:after="10"/>
        <w:ind w:left="230" w:hanging="187"/>
      </w:pPr>
      <w:r>
        <w:rPr>
          <w:rFonts w:ascii="Noto Sans" w:hAnsi="Noto Sans"/>
          <w:sz w:val="19"/>
        </w:rPr>
        <w:t>D. Keep the meeting focused on feelings and relationship repair, postponing practical role decisions until resentment and shame have decreased for everyone.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115. Which response would BEST facilitate Harold's motivation to continue accepting support?</w:t>
      </w:r>
    </w:p>
    <w:p>
      <w:pPr>
        <w:spacing w:after="10"/>
        <w:ind w:left="230" w:hanging="187"/>
      </w:pPr>
      <w:r>
        <w:rPr>
          <w:rFonts w:ascii="Noto Sans" w:hAnsi="Noto Sans"/>
          <w:sz w:val="19"/>
        </w:rPr>
        <w:t>A. Review the decrease in safety incidents and explain that respite is working, then ask Harold to commit to keeping the current schedule for another month for now.</w:t>
      </w:r>
    </w:p>
    <w:p>
      <w:pPr>
        <w:spacing w:after="10"/>
        <w:ind w:left="230" w:hanging="187"/>
      </w:pPr>
      <w:r>
        <w:rPr>
          <w:rFonts w:ascii="Noto Sans" w:hAnsi="Noto Sans"/>
          <w:sz w:val="19"/>
        </w:rPr>
        <w:t>B. Explore the kind of spouse and father Harold wants to be, how the current arrangement fits those values, and which one support step he will choose next.</w:t>
      </w:r>
    </w:p>
    <w:p>
      <w:pPr>
        <w:spacing w:after="10"/>
        <w:ind w:left="230" w:hanging="187"/>
      </w:pPr>
      <w:r>
        <w:rPr>
          <w:rFonts w:ascii="Noto Sans" w:hAnsi="Noto Sans"/>
          <w:sz w:val="19"/>
        </w:rPr>
        <w:t>C. Ask Harold to list the costs of refusing help and compare them with the benefits of respite until he identifies enough reasons to continue.</w:t>
      </w:r>
    </w:p>
    <w:p>
      <w:pPr>
        <w:spacing w:after="10"/>
        <w:ind w:left="230" w:hanging="187"/>
      </w:pPr>
      <w:r>
        <w:rPr>
          <w:rFonts w:ascii="Noto Sans" w:hAnsi="Noto Sans"/>
          <w:sz w:val="19"/>
        </w:rPr>
        <w:t>D. Reassure Harold that accepting respite does not represent failure, then help him identify the family member or service he trusts most to take over care.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116. When the counselor and Harold review treatment progress together, which summary BEST supports the next-phase discussion?</w:t>
      </w:r>
    </w:p>
    <w:p>
      <w:pPr>
        <w:spacing w:after="10"/>
        <w:ind w:left="230" w:hanging="187"/>
      </w:pPr>
      <w:r>
        <w:rPr>
          <w:rFonts w:ascii="Noto Sans" w:hAnsi="Noto Sans"/>
          <w:sz w:val="19"/>
        </w:rPr>
        <w:t>A. The main safety goals are met because there have been no new neglect events; Harold can step down while sleep and alcohol concerns continue through medical follow-up.</w:t>
      </w:r>
    </w:p>
    <w:p>
      <w:pPr>
        <w:spacing w:after="10"/>
        <w:ind w:left="230" w:hanging="187"/>
      </w:pPr>
      <w:r>
        <w:rPr>
          <w:rFonts w:ascii="Noto Sans" w:hAnsi="Noto Sans"/>
          <w:sz w:val="19"/>
        </w:rPr>
        <w:t>B. Progress remains insufficient because Harold still needs respite and uses alcohol; maintain the same counseling intensity until both concerns are fully resolved and family strain improves.</w:t>
      </w:r>
    </w:p>
    <w:p>
      <w:pPr>
        <w:spacing w:after="10"/>
        <w:ind w:left="230" w:hanging="187"/>
      </w:pPr>
      <w:r>
        <w:rPr>
          <w:rFonts w:ascii="Noto Sans" w:hAnsi="Noto Sans"/>
          <w:sz w:val="19"/>
        </w:rPr>
        <w:t>C. Counseling progress cannot be separated from the effects of respite and family support, so postpone judging goals until external services have been stable longer.</w:t>
      </w:r>
    </w:p>
    <w:p>
      <w:pPr>
        <w:spacing w:after="10"/>
        <w:ind w:left="230" w:hanging="187"/>
      </w:pPr>
      <w:r>
        <w:rPr>
          <w:rFonts w:ascii="Noto Sans" w:hAnsi="Noto Sans"/>
          <w:sz w:val="19"/>
        </w:rPr>
        <w:t>D. Household safety and support have improved, while sleep, alcohol use, help-seeking, and relationship strain remain active; review with Harold which goals feel met and what comes next.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117. Which maintenance plan BEST prepares Harold for future caregiving changes?</w:t>
      </w:r>
    </w:p>
    <w:p>
      <w:pPr>
        <w:spacing w:after="10"/>
        <w:ind w:left="230" w:hanging="187"/>
      </w:pPr>
      <w:r>
        <w:rPr>
          <w:rFonts w:ascii="Noto Sans" w:hAnsi="Noto Sans"/>
          <w:sz w:val="19"/>
        </w:rPr>
        <w:t>A. Continue scheduled counseling while Harold remains the primary caregiver, because progressive dementia creates ongoing stress that cannot be managed through maintenance planning alone right now.</w:t>
      </w:r>
    </w:p>
    <w:p>
      <w:pPr>
        <w:spacing w:after="10"/>
        <w:ind w:left="230" w:hanging="187"/>
      </w:pPr>
      <w:r>
        <w:rPr>
          <w:rFonts w:ascii="Noto Sans" w:hAnsi="Noto Sans"/>
          <w:sz w:val="19"/>
        </w:rPr>
        <w:t>B. Plan around current respite and family arrangements, revising the plan only if the spouse's dementia progresses enough to require a different living setting.</w:t>
      </w:r>
    </w:p>
    <w:p>
      <w:pPr>
        <w:spacing w:after="10"/>
        <w:ind w:left="230" w:hanging="187"/>
      </w:pPr>
      <w:r>
        <w:rPr>
          <w:rFonts w:ascii="Noto Sans" w:hAnsi="Noto Sans"/>
          <w:sz w:val="19"/>
        </w:rPr>
        <w:t>C. Step down once the household has remained incident-free for several months, asking Harold to return if caregiver burden again reaches a severe level.</w:t>
      </w:r>
    </w:p>
    <w:p>
      <w:pPr>
        <w:spacing w:after="10"/>
        <w:ind w:left="230" w:hanging="187"/>
      </w:pPr>
      <w:r>
        <w:rPr>
          <w:rFonts w:ascii="Noto Sans" w:hAnsi="Noto Sans"/>
          <w:sz w:val="19"/>
        </w:rPr>
        <w:t>D. Link overload warning signs to backup care, respite, Harold's health and alcohol follow-up, family or community supports, reassessment, and changes in the spouse's care needs.</w:t>
      </w:r>
    </w:p>
    <w:p>
      <w:pPr>
        <w:spacing w:after="40"/>
      </w:pPr>
      <w:r>
        <w:rPr>
          <w:rFonts w:ascii="Noto Sans" w:hAnsi="Noto Sans"/>
          <w:color w:val="6B7280"/>
          <w:sz w:val="17"/>
        </w:rPr>
        <w:t>Answer: ________     Confidence:  1  2  3  4  5</w:t>
      </w:r>
    </w:p>
    <w:p>
      <w:r>
        <w:br w:type="page"/>
      </w:r>
    </w:p>
    <w:p>
      <w:pPr>
        <w:pStyle w:val="Heading1"/>
      </w:pPr>
      <w:r>
        <w:t>CASE 10: Fatima R.</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Fatima is a 31-year-old engineer who has worked for the same firm for five years. She wears hijab and previously had strong performance reviews and no history of treatment for an anxiety disorder. About four months ago, after a supervisory change, she began receiving comments in meetings about her accent and religion. Her manager has asked whether her accent is “too strong for client presentations,” and a coworker has made jokes about whether her religious practices allow her to attend evening client events. Fatima says similar remarks have occurred several times and that the manager has not interrupted them.</w:t>
            </w:r>
          </w:p>
          <w:p>
            <w:pPr>
              <w:spacing w:after="60"/>
            </w:pPr>
            <w:r>
              <w:rPr>
                <w:rFonts w:ascii="Noto Sans" w:hAnsi="Noto Sans"/>
                <w:sz w:val="19"/>
              </w:rPr>
              <w:t>During or just before meetings involving these coworkers, Fatima now experiences sudden episodes of racing heart, chest tightness, trembling, shortness of breath, dizziness, and fear that she will lose control. The episodes peak within several minutes. She has begun avoiding two recurring meetings and using email when possible. On Sunday evenings she often becomes tense and preoccupied with the coming workweek.</w:t>
            </w:r>
          </w:p>
          <w:p>
            <w:pPr>
              <w:spacing w:after="60"/>
            </w:pPr>
            <w:r>
              <w:rPr>
                <w:rFonts w:ascii="Noto Sans" w:hAnsi="Noto Sans"/>
                <w:sz w:val="19"/>
              </w:rPr>
              <w:t>Fatima worries that making a formal workplace complaint could affect a pending immigration matter, but she has not received legal advice about that concern. She depends on her salary and employer-sponsored health insurance and has about six weeks of savings. She reports supportive friends. She denies suicidal or self-harm thoughts, mania, psychosis, and substance misuse. She asks, “Should I file a legal complaint?”</w:t>
            </w:r>
          </w:p>
        </w:tc>
      </w:tr>
    </w:tbl>
    <w:p>
      <w:pPr>
        <w:keepNext/>
        <w:spacing w:before="120" w:after="40"/>
      </w:pPr>
      <w:r>
        <w:rPr>
          <w:rFonts w:ascii="Noto Sans" w:hAnsi="Noto Sans"/>
          <w:b/>
          <w:color w:val="1F2937"/>
          <w:sz w:val="20"/>
        </w:rPr>
        <w:t>118. Which assessment approach would provide the STRONGEST foundation for the counselor’s initial formulation?</w:t>
      </w:r>
    </w:p>
    <w:p>
      <w:pPr>
        <w:spacing w:after="10"/>
        <w:ind w:left="230" w:hanging="187"/>
      </w:pPr>
      <w:r>
        <w:rPr>
          <w:rFonts w:ascii="Noto Sans" w:hAnsi="Noto Sans"/>
          <w:sz w:val="19"/>
        </w:rPr>
        <w:t>A. Focus first on panic phenomenology and medical contributors, then address workplace and career factors after the broader anxiety pattern is clinically clearer.</w:t>
      </w:r>
    </w:p>
    <w:p>
      <w:pPr>
        <w:spacing w:after="10"/>
        <w:ind w:left="230" w:hanging="187"/>
      </w:pPr>
      <w:r>
        <w:rPr>
          <w:rFonts w:ascii="Noto Sans" w:hAnsi="Noto Sans"/>
          <w:sz w:val="19"/>
        </w:rPr>
        <w:t>B. Build an integrated timeline of panic episodes, triggers, medical and safety factors, workplace events, functioning, supports, constraints, and Fatima’s own cultural meanings.</w:t>
      </w:r>
    </w:p>
    <w:p>
      <w:pPr>
        <w:spacing w:after="10"/>
        <w:ind w:left="230" w:hanging="187"/>
      </w:pPr>
      <w:r>
        <w:rPr>
          <w:rFonts w:ascii="Noto Sans" w:hAnsi="Noto Sans"/>
          <w:sz w:val="19"/>
        </w:rPr>
        <w:t>C. Focus first on the workplace comments and legal or career goals, then assess panic only if symptoms continue to impair overall functioning.</w:t>
      </w:r>
    </w:p>
    <w:p>
      <w:pPr>
        <w:spacing w:after="10"/>
        <w:ind w:left="230" w:hanging="187"/>
      </w:pPr>
      <w:r>
        <w:rPr>
          <w:rFonts w:ascii="Noto Sans" w:hAnsi="Noto Sans"/>
          <w:sz w:val="19"/>
        </w:rPr>
        <w:t>D. Administer standardized anxiety and discrimination measures first, then let the highest symptom score determine which areas receive more detailed clinical follow-up.</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119. Fatima says, “Maybe I’m just being too sensitive.” Which counselor response BEST demonstrates empathic responding at this point?</w:t>
      </w:r>
    </w:p>
    <w:p>
      <w:pPr>
        <w:spacing w:after="10"/>
        <w:ind w:left="230" w:hanging="187"/>
      </w:pPr>
      <w:r>
        <w:rPr>
          <w:rFonts w:ascii="Noto Sans" w:hAnsi="Noto Sans"/>
          <w:sz w:val="19"/>
        </w:rPr>
        <w:t>A. We should separate objective workplace facts from anxiety-driven interpretations before deciding how much the comments are contributing to your distress.</w:t>
      </w:r>
    </w:p>
    <w:p>
      <w:pPr>
        <w:spacing w:after="10"/>
        <w:ind w:left="230" w:hanging="187"/>
      </w:pPr>
      <w:r>
        <w:rPr>
          <w:rFonts w:ascii="Noto Sans" w:hAnsi="Noto Sans"/>
          <w:sz w:val="19"/>
        </w:rPr>
        <w:t>B. The comments sound discriminatory to me, so I do not want therapy to suggest that your distress is an overreaction.</w:t>
      </w:r>
    </w:p>
    <w:p>
      <w:pPr>
        <w:spacing w:after="10"/>
        <w:ind w:left="230" w:hanging="187"/>
      </w:pPr>
      <w:r>
        <w:rPr>
          <w:rFonts w:ascii="Noto Sans" w:hAnsi="Noto Sans"/>
          <w:sz w:val="19"/>
        </w:rPr>
        <w:t>C. Your panic is real even if the employees intended no harm. Let’s focus on the parts of the situation you can control clinically.</w:t>
      </w:r>
    </w:p>
    <w:p>
      <w:pPr>
        <w:spacing w:after="10"/>
        <w:ind w:left="230" w:hanging="187"/>
      </w:pPr>
      <w:r>
        <w:rPr>
          <w:rFonts w:ascii="Noto Sans" w:hAnsi="Noto Sans"/>
          <w:sz w:val="19"/>
        </w:rPr>
        <w:t>D. You’re questioning your own reaction while dealing with comments that have felt threatening and costly. What has this experience been like for you?</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120. Which inquiry BEST supports a cultural formulation of Fatima's workplace distress?</w:t>
      </w:r>
    </w:p>
    <w:p>
      <w:pPr>
        <w:spacing w:after="10"/>
        <w:ind w:left="230" w:hanging="187"/>
      </w:pPr>
      <w:r>
        <w:rPr>
          <w:rFonts w:ascii="Noto Sans" w:hAnsi="Noto Sans"/>
          <w:sz w:val="19"/>
        </w:rPr>
        <w:t>A. Ask how being targeted for hijab, religion, and accent affects belonging and whether Fatima wants the counselor to broach discrimination explicitly during treatment.</w:t>
      </w:r>
    </w:p>
    <w:p>
      <w:pPr>
        <w:spacing w:after="10"/>
        <w:ind w:left="230" w:hanging="187"/>
      </w:pPr>
      <w:r>
        <w:rPr>
          <w:rFonts w:ascii="Noto Sans" w:hAnsi="Noto Sans"/>
          <w:sz w:val="19"/>
        </w:rPr>
        <w:t>B. Explore migration, finances, professional identity, and workplace power first, then invite religion and gender if Fatima identifies them as relevant to the current problem.</w:t>
      </w:r>
    </w:p>
    <w:p>
      <w:pPr>
        <w:spacing w:after="10"/>
        <w:ind w:left="230" w:hanging="187"/>
      </w:pPr>
      <w:r>
        <w:rPr>
          <w:rFonts w:ascii="Noto Sans" w:hAnsi="Noto Sans"/>
          <w:sz w:val="19"/>
        </w:rPr>
        <w:t>C. Ask how hijab, religion, accent, migration, gender, professional identity, workplace power, belonging, and help-seeking intersect for Fatima while she decides which are central.</w:t>
      </w:r>
    </w:p>
    <w:p>
      <w:pPr>
        <w:spacing w:after="10"/>
        <w:ind w:left="230" w:hanging="187"/>
      </w:pPr>
      <w:r>
        <w:rPr>
          <w:rFonts w:ascii="Noto Sans" w:hAnsi="Noto Sans"/>
          <w:sz w:val="19"/>
        </w:rPr>
        <w:t>D. Explore prior experiences of bias and resilience, then compare them with the current workplace situation to identify culturally meaningful coping and support resources.</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A primary-care evaluation, including physical examination and basic cardiac and thyroid screening, does not identify a medical explanation for the episodes. Fatima drinks one cup of coffee most mornings and reports no stimulant or illicit-substance use.</w:t>
            </w:r>
          </w:p>
          <w:p>
            <w:pPr>
              <w:spacing w:after="60"/>
            </w:pPr>
            <w:r>
              <w:rPr>
                <w:rFonts w:ascii="Noto Sans" w:hAnsi="Noto Sans"/>
                <w:sz w:val="19"/>
              </w:rPr>
              <w:t>The panic episodes remain tied to workplace situations involving the manager or coworkers connected to the comments. She reports no unexpected attacks at home, while driving, in stores, or during sleep. She can give presentations at a professional association, meet new people, socialize, and shop without marked fear of scrutiny. She denies intrusive trauma memories, nightmares about the workplace events, or a persistent sense that unrelated settings are dangerous. Her worry is concentrated on work, finances, and the unresolved immigration question rather than on numerous areas of daily life.</w:t>
            </w:r>
          </w:p>
          <w:p>
            <w:pPr>
              <w:spacing w:after="60"/>
            </w:pPr>
            <w:r>
              <w:rPr>
                <w:rFonts w:ascii="Noto Sans" w:hAnsi="Noto Sans"/>
                <w:sz w:val="19"/>
              </w:rPr>
              <w:t>The symptoms began within several weeks of the workplace comments intensifying and have continued for about four months, with increasing avoidance and occupational strain. Fatima says, “I don’t want therapy to teach me to tolerate being treated badly. I also don’t want fear making every career decision.” She has learned that an internal transfer may be available and that an employee-assistance/workplace resource can explain internal processes, but she has not yet consulted an employment or immigration attorney.</w:t>
            </w:r>
          </w:p>
        </w:tc>
      </w:tr>
    </w:tbl>
    <w:p>
      <w:pPr>
        <w:keepNext/>
        <w:spacing w:before="120" w:after="40"/>
      </w:pPr>
      <w:r>
        <w:rPr>
          <w:rFonts w:ascii="Noto Sans" w:hAnsi="Noto Sans"/>
          <w:b/>
          <w:color w:val="1F2937"/>
          <w:sz w:val="20"/>
        </w:rPr>
        <w:t>121. Based on all information now available, which diagnosis is BEST supported?</w:t>
      </w:r>
    </w:p>
    <w:p>
      <w:pPr>
        <w:spacing w:after="10"/>
        <w:ind w:left="230" w:hanging="187"/>
      </w:pPr>
      <w:r>
        <w:rPr>
          <w:rFonts w:ascii="Noto Sans" w:hAnsi="Noto Sans"/>
          <w:sz w:val="19"/>
        </w:rPr>
        <w:t>A. Adjustment disorder with anxiety because symptoms followed ongoing workplace stressors and panic remains situationally cued rather than unexpected.</w:t>
      </w:r>
    </w:p>
    <w:p>
      <w:pPr>
        <w:spacing w:after="10"/>
        <w:ind w:left="230" w:hanging="187"/>
      </w:pPr>
      <w:r>
        <w:rPr>
          <w:rFonts w:ascii="Noto Sans" w:hAnsi="Noto Sans"/>
          <w:sz w:val="19"/>
        </w:rPr>
        <w:t>B. Panic disorder because recurrent panic, anticipatory worry, and meeting avoidance have persisted for months and now interfere with occupational functioning.</w:t>
      </w:r>
    </w:p>
    <w:p>
      <w:pPr>
        <w:spacing w:after="10"/>
        <w:ind w:left="230" w:hanging="187"/>
      </w:pPr>
      <w:r>
        <w:rPr>
          <w:rFonts w:ascii="Noto Sans" w:hAnsi="Noto Sans"/>
          <w:sz w:val="19"/>
        </w:rPr>
        <w:t>C. Social anxiety disorder because meetings involve scrutiny, possible negative evaluation, increasing avoidance, and meaningful impairment in her professional role.</w:t>
      </w:r>
    </w:p>
    <w:p>
      <w:pPr>
        <w:spacing w:after="10"/>
        <w:ind w:left="230" w:hanging="187"/>
      </w:pPr>
      <w:r>
        <w:rPr>
          <w:rFonts w:ascii="Noto Sans" w:hAnsi="Noto Sans"/>
          <w:sz w:val="19"/>
        </w:rPr>
        <w:t>D. Posttraumatic stress disorder because discriminatory comments produced avoidance, physiological arousal, anticipatory fear, and persistent impairment across her occupational functioning.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122. Which treatment stance BEST integrates the cultural and contextual information in the case?</w:t>
      </w:r>
    </w:p>
    <w:p>
      <w:pPr>
        <w:spacing w:after="10"/>
        <w:ind w:left="230" w:hanging="187"/>
      </w:pPr>
      <w:r>
        <w:rPr>
          <w:rFonts w:ascii="Noto Sans" w:hAnsi="Noto Sans"/>
          <w:sz w:val="19"/>
        </w:rPr>
        <w:t>A. Integrate discrimination and workplace power into CBT, distinguish realistic threat from panic amplification, and target avoidance without requiring endurance of discriminatory conduct.</w:t>
      </w:r>
    </w:p>
    <w:p>
      <w:pPr>
        <w:spacing w:after="10"/>
        <w:ind w:left="230" w:hanging="187"/>
      </w:pPr>
      <w:r>
        <w:rPr>
          <w:rFonts w:ascii="Noto Sans" w:hAnsi="Noto Sans"/>
          <w:sz w:val="19"/>
        </w:rPr>
        <w:t>B. Use standard CBT and repeated meeting exposure while avoiding discussion of discrimination during practice so treatment currently remains focused on panic symptoms.</w:t>
      </w:r>
    </w:p>
    <w:p>
      <w:pPr>
        <w:spacing w:after="10"/>
        <w:ind w:left="230" w:hanging="187"/>
      </w:pPr>
      <w:r>
        <w:rPr>
          <w:rFonts w:ascii="Noto Sans" w:hAnsi="Noto Sans"/>
          <w:sz w:val="19"/>
        </w:rPr>
        <w:t>C. Encourage immediate formal reporting or legal action while symptoms are documented, then reassess whether anxiety persists after the workplace response unfolds.</w:t>
      </w:r>
    </w:p>
    <w:p>
      <w:pPr>
        <w:spacing w:after="10"/>
        <w:ind w:left="230" w:hanging="187"/>
      </w:pPr>
      <w:r>
        <w:rPr>
          <w:rFonts w:ascii="Noto Sans" w:hAnsi="Noto Sans"/>
          <w:sz w:val="19"/>
        </w:rPr>
        <w:t>D. Validate the discrimination-related stress and prioritize career advocacy, postponing anxiety treatment so realistic workplace threat is not pathologized.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123. Which barrier should be given the GREATEST weight when the counselor and Fatima review whether she can act on her career goals now?</w:t>
      </w:r>
    </w:p>
    <w:p>
      <w:pPr>
        <w:spacing w:after="10"/>
        <w:ind w:left="230" w:hanging="187"/>
      </w:pPr>
      <w:r>
        <w:rPr>
          <w:rFonts w:ascii="Noto Sans" w:hAnsi="Noto Sans"/>
          <w:sz w:val="19"/>
        </w:rPr>
        <w:t>A. Lack of confidence is the main barrier because her technical skills and friendships are intact, making self-efficacy the central ongoing treatment target.</w:t>
      </w:r>
    </w:p>
    <w:p>
      <w:pPr>
        <w:spacing w:after="10"/>
        <w:ind w:left="230" w:hanging="187"/>
      </w:pPr>
      <w:r>
        <w:rPr>
          <w:rFonts w:ascii="Noto Sans" w:hAnsi="Noto Sans"/>
          <w:sz w:val="19"/>
        </w:rPr>
        <w:t>B. Panic symptoms are the main barrier, so career decision work should wait until Fatima can attend meetings without marked anticipatory anxiety.</w:t>
      </w:r>
    </w:p>
    <w:p>
      <w:pPr>
        <w:spacing w:after="10"/>
        <w:ind w:left="230" w:hanging="187"/>
      </w:pPr>
      <w:r>
        <w:rPr>
          <w:rFonts w:ascii="Noto Sans" w:hAnsi="Noto Sans"/>
          <w:sz w:val="19"/>
        </w:rPr>
        <w:t>C. Immigration and employment uncertainty, limited financial runway, and incomplete information most directly constrain informed career action; anxiety avoidance remains a parallel target.</w:t>
      </w:r>
    </w:p>
    <w:p>
      <w:pPr>
        <w:spacing w:after="10"/>
        <w:ind w:left="230" w:hanging="187"/>
      </w:pPr>
      <w:r>
        <w:rPr>
          <w:rFonts w:ascii="Noto Sans" w:hAnsi="Noto Sans"/>
          <w:sz w:val="19"/>
        </w:rPr>
        <w:t>D. The employer’s behavior is the main barrier, so treatment cannot progress meaningfully until the workplace comments stop or Fatima changes jobs.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124. Which response BEST demonstrates respect and acceptance for diversity while preserving client autonomy?</w:t>
      </w:r>
    </w:p>
    <w:p>
      <w:pPr>
        <w:spacing w:after="10"/>
        <w:ind w:left="230" w:hanging="187"/>
      </w:pPr>
      <w:r>
        <w:rPr>
          <w:rFonts w:ascii="Noto Sans" w:hAnsi="Noto Sans"/>
          <w:sz w:val="19"/>
        </w:rPr>
        <w:t>A. Leaving may best protect your religious identity, while staying may require tolerating treatment that conflicts with your professional and personal values.</w:t>
      </w:r>
    </w:p>
    <w:p>
      <w:pPr>
        <w:spacing w:after="10"/>
        <w:ind w:left="230" w:hanging="187"/>
      </w:pPr>
      <w:r>
        <w:rPr>
          <w:rFonts w:ascii="Noto Sans" w:hAnsi="Noto Sans"/>
          <w:sz w:val="19"/>
        </w:rPr>
        <w:t>B. You do not need to prove your faith or career here; we can work from the identities, risks, and priorities that matter to you.</w:t>
      </w:r>
    </w:p>
    <w:p>
      <w:pPr>
        <w:spacing w:after="10"/>
        <w:ind w:left="230" w:hanging="187"/>
      </w:pPr>
      <w:r>
        <w:rPr>
          <w:rFonts w:ascii="Noto Sans" w:hAnsi="Noto Sans"/>
          <w:sz w:val="19"/>
        </w:rPr>
        <w:t>C. Assertiveness may be the key skill here; focusing heavily on religion or immigration during treatment could make the problem feel larger than it is.</w:t>
      </w:r>
    </w:p>
    <w:p>
      <w:pPr>
        <w:spacing w:after="10"/>
        <w:ind w:left="230" w:hanging="187"/>
      </w:pPr>
      <w:r>
        <w:rPr>
          <w:rFonts w:ascii="Noto Sans" w:hAnsi="Noto Sans"/>
          <w:sz w:val="19"/>
        </w:rPr>
        <w:t>D. Because financial stability is important, we should avoid options that could jeopardize employment until the legal and immigration situation becomes clearer.</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125. Which intervention plan BEST fits the current formulation?</w:t>
      </w:r>
    </w:p>
    <w:p>
      <w:pPr>
        <w:spacing w:after="10"/>
        <w:ind w:left="230" w:hanging="187"/>
      </w:pPr>
      <w:r>
        <w:rPr>
          <w:rFonts w:ascii="Noto Sans" w:hAnsi="Noto Sans"/>
          <w:sz w:val="19"/>
        </w:rPr>
        <w:t>A. Begin interoceptive exposure and cognitive restructuring now, but postpone workplace practice until the discrimination concern has been resolved through another resource.</w:t>
      </w:r>
    </w:p>
    <w:p>
      <w:pPr>
        <w:spacing w:after="10"/>
        <w:ind w:left="230" w:hanging="187"/>
      </w:pPr>
      <w:r>
        <w:rPr>
          <w:rFonts w:ascii="Noto Sans" w:hAnsi="Noto Sans"/>
          <w:sz w:val="19"/>
        </w:rPr>
        <w:t>B. Prioritize advocacy and career decision-making first because the anxiety should improve once Fatima has chosen whether to stay, transfer, or leave.</w:t>
      </w:r>
    </w:p>
    <w:p>
      <w:pPr>
        <w:spacing w:after="10"/>
        <w:ind w:left="230" w:hanging="187"/>
      </w:pPr>
      <w:r>
        <w:rPr>
          <w:rFonts w:ascii="Noto Sans" w:hAnsi="Noto Sans"/>
          <w:sz w:val="19"/>
        </w:rPr>
        <w:t>C. Use CBT for panic and anticipatory anxiety, graded return to selected legitimate work tasks, coping practice, and problem-solving around realistic risks and resources.</w:t>
      </w:r>
    </w:p>
    <w:p>
      <w:pPr>
        <w:spacing w:after="10"/>
        <w:ind w:left="230" w:hanging="187"/>
      </w:pPr>
      <w:r>
        <w:rPr>
          <w:rFonts w:ascii="Noto Sans" w:hAnsi="Noto Sans"/>
          <w:sz w:val="19"/>
        </w:rPr>
        <w:t>D. Use exposure in meetings where comments may recur, remaining until anxiety declines so Fatima learns that the workplace situation is emotionally tolerable over time.</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Eight weeks later, Fatima has re-entered selected legitimate work meetings using grounding, paced breathing, and agreed coping strategies. Panic episodes have decreased from about three per week to one in the past three weeks; anticipatory anxiety, avoidance, and sleep disruption have also improved. She continues to record workplace incidents for her own records.</w:t>
            </w:r>
          </w:p>
          <w:p>
            <w:pPr>
              <w:spacing w:after="60"/>
            </w:pPr>
            <w:r>
              <w:rPr>
                <w:rFonts w:ascii="Noto Sans" w:hAnsi="Noto Sans"/>
                <w:sz w:val="19"/>
              </w:rPr>
              <w:t>Fatima has separately consulted a qualified immigration attorney about immigration questions and an employment attorney about workplace options and documentation. The consultations give her more accurate information but do not determine which career choice she should make. She remains employed, has requested consideration for an internal transfer, and has begun interviewing externally. She has not decided whether to remain, transfer, or leave.</w:t>
            </w:r>
          </w:p>
          <w:p>
            <w:pPr>
              <w:spacing w:after="60"/>
            </w:pPr>
            <w:r>
              <w:rPr>
                <w:rFonts w:ascii="Noto Sans" w:hAnsi="Noto Sans"/>
                <w:sz w:val="19"/>
              </w:rPr>
              <w:t>Fatima asks the counselor to write a letter for human resources: “Please say that my employer caused my panic disorder and violated federal law.”</w:t>
            </w:r>
          </w:p>
        </w:tc>
      </w:tr>
    </w:tbl>
    <w:p>
      <w:pPr>
        <w:keepNext/>
        <w:spacing w:before="120" w:after="40"/>
      </w:pPr>
      <w:r>
        <w:rPr>
          <w:rFonts w:ascii="Noto Sans" w:hAnsi="Noto Sans"/>
          <w:b/>
          <w:color w:val="1F2937"/>
          <w:sz w:val="20"/>
        </w:rPr>
        <w:t>126. Given Fatima’s progress and new information, how should the treatment plan be revised?</w:t>
      </w:r>
    </w:p>
    <w:p>
      <w:pPr>
        <w:spacing w:after="10"/>
        <w:ind w:left="230" w:hanging="187"/>
      </w:pPr>
      <w:r>
        <w:rPr>
          <w:rFonts w:ascii="Noto Sans" w:hAnsi="Noto Sans"/>
          <w:sz w:val="19"/>
        </w:rPr>
        <w:t>A. Keep the current plan unchanged until Fatima makes a final employment decision, because changing goals now could interfere with the progress already established.</w:t>
      </w:r>
    </w:p>
    <w:p>
      <w:pPr>
        <w:spacing w:after="10"/>
        <w:ind w:left="230" w:hanging="187"/>
      </w:pPr>
      <w:r>
        <w:rPr>
          <w:rFonts w:ascii="Noto Sans" w:hAnsi="Noto Sans"/>
          <w:sz w:val="19"/>
        </w:rPr>
        <w:t>B. End structured anxiety work because panic has improved enough that the remaining concerns now belong primarily to career counseling.</w:t>
      </w:r>
    </w:p>
    <w:p>
      <w:pPr>
        <w:spacing w:after="10"/>
        <w:ind w:left="230" w:hanging="187"/>
      </w:pPr>
      <w:r>
        <w:rPr>
          <w:rFonts w:ascii="Noto Sans" w:hAnsi="Noto Sans"/>
          <w:sz w:val="19"/>
        </w:rPr>
        <w:t>C. Revise the plan toward residual anxiety, decision criteria, transfer or job-search actions, support use, continuity needs, and preservation of the gains already made.</w:t>
      </w:r>
    </w:p>
    <w:p>
      <w:pPr>
        <w:spacing w:after="10"/>
        <w:ind w:left="230" w:hanging="187"/>
      </w:pPr>
      <w:r>
        <w:rPr>
          <w:rFonts w:ascii="Noto Sans" w:hAnsi="Noto Sans"/>
          <w:sz w:val="19"/>
        </w:rPr>
        <w:t>D. Prioritize internal transfer as the next treatment objective because the new legal information and financial constraints make it the least disruptive option.</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127. Which conclusion BEST describes Fatima's current level of mental health functioning?</w:t>
      </w:r>
    </w:p>
    <w:p>
      <w:pPr>
        <w:spacing w:after="10"/>
        <w:ind w:left="230" w:hanging="187"/>
      </w:pPr>
      <w:r>
        <w:rPr>
          <w:rFonts w:ascii="Noto Sans" w:hAnsi="Noto Sans"/>
          <w:sz w:val="19"/>
        </w:rPr>
        <w:t>A. Fatima shows substantial improvement in anxiety-related work functioning and decision capacity, with residual workplace distress and uncertainty still creating meaningful strain.</w:t>
      </w:r>
    </w:p>
    <w:p>
      <w:pPr>
        <w:spacing w:after="10"/>
        <w:ind w:left="230" w:hanging="187"/>
      </w:pPr>
      <w:r>
        <w:rPr>
          <w:rFonts w:ascii="Noto Sans" w:hAnsi="Noto Sans"/>
          <w:sz w:val="19"/>
        </w:rPr>
        <w:t>B. Fatima's functioning is intact because she remains employed and is interviewing elsewhere; residual discrimination-related distress does not indicate clinical impairment.</w:t>
      </w:r>
    </w:p>
    <w:p>
      <w:pPr>
        <w:spacing w:after="10"/>
        <w:ind w:left="230" w:hanging="187"/>
      </w:pPr>
      <w:r>
        <w:rPr>
          <w:rFonts w:ascii="Noto Sans" w:hAnsi="Noto Sans"/>
          <w:sz w:val="19"/>
        </w:rPr>
        <w:t>C. Fatima remains substantially impaired because the employer's behavior is unresolved and her job choice remains uncertain despite reduced panic and avoidance.</w:t>
      </w:r>
    </w:p>
    <w:p>
      <w:pPr>
        <w:spacing w:after="10"/>
        <w:ind w:left="230" w:hanging="187"/>
      </w:pPr>
      <w:r>
        <w:rPr>
          <w:rFonts w:ascii="Noto Sans" w:hAnsi="Noto Sans"/>
          <w:sz w:val="19"/>
        </w:rPr>
        <w:t>D. Mental health functioning cannot be estimated until Fatima makes an employment decision and the legal or workplace processes have concluded.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128. What is the counselor’s MOST appropriate response to Fatima’s requested letter?</w:t>
      </w:r>
    </w:p>
    <w:p>
      <w:pPr>
        <w:spacing w:after="10"/>
        <w:ind w:left="230" w:hanging="187"/>
      </w:pPr>
      <w:r>
        <w:rPr>
          <w:rFonts w:ascii="Noto Sans" w:hAnsi="Noto Sans"/>
          <w:sz w:val="19"/>
        </w:rPr>
        <w:t>A. Write the requested letter using Fatima’s allegations as clearly labeled client report, while stating that the workplace events are clinically consistent with causing her anxiety condition.</w:t>
      </w:r>
    </w:p>
    <w:p>
      <w:pPr>
        <w:spacing w:after="10"/>
        <w:ind w:left="230" w:hanging="187"/>
      </w:pPr>
      <w:r>
        <w:rPr>
          <w:rFonts w:ascii="Noto Sans" w:hAnsi="Noto Sans"/>
          <w:sz w:val="19"/>
        </w:rPr>
        <w:t>B. Decline any letter because once a workplace dispute involves legal issues, all treatment documentation becomes a forensic evaluation outside the counselor’s therapeutic role.</w:t>
      </w:r>
    </w:p>
    <w:p>
      <w:pPr>
        <w:spacing w:after="10"/>
        <w:ind w:left="230" w:hanging="187"/>
      </w:pPr>
      <w:r>
        <w:rPr>
          <w:rFonts w:ascii="Noto Sans" w:hAnsi="Noto Sans"/>
          <w:sz w:val="19"/>
        </w:rPr>
        <w:t>C. Provide a complete treatment summary or record release with authorization and allow the employer, attorney, or other recipient to draw any causation or legal conclusions.</w:t>
      </w:r>
    </w:p>
    <w:p>
      <w:pPr>
        <w:spacing w:after="10"/>
        <w:ind w:left="230" w:hanging="187"/>
      </w:pPr>
      <w:r>
        <w:rPr>
          <w:rFonts w:ascii="Noto Sans" w:hAnsi="Noto Sans"/>
          <w:sz w:val="19"/>
        </w:rPr>
        <w:t>D. Clarify the letter’s purpose and, with authorization, provide treatment, diagnosis, and functional observations; label workplace events as client-reported and decline unsupported causation or legal conclusions.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129. Which counseling strategy BEST helps Fatima make the employment decision without directing the outcome?</w:t>
      </w:r>
    </w:p>
    <w:p>
      <w:pPr>
        <w:spacing w:after="10"/>
        <w:ind w:left="230" w:hanging="187"/>
      </w:pPr>
      <w:r>
        <w:rPr>
          <w:rFonts w:ascii="Noto Sans" w:hAnsi="Noto Sans"/>
          <w:sz w:val="19"/>
        </w:rPr>
        <w:t>A. Use a decision matrix for values, finances, qualified legal information, career growth, identity, health, risk, and reversibility; Fatima then chooses the next step.</w:t>
      </w:r>
    </w:p>
    <w:p>
      <w:pPr>
        <w:spacing w:after="10"/>
        <w:ind w:left="230" w:hanging="187"/>
      </w:pPr>
      <w:r>
        <w:rPr>
          <w:rFonts w:ascii="Noto Sans" w:hAnsi="Noto Sans"/>
          <w:sz w:val="19"/>
        </w:rPr>
        <w:t>B. Rank the available career options by which one is most likely to reduce Fatima’s anxiety symptoms and recommend the highest-scoring choice to her.</w:t>
      </w:r>
    </w:p>
    <w:p>
      <w:pPr>
        <w:spacing w:after="10"/>
        <w:ind w:left="230" w:hanging="187"/>
      </w:pPr>
      <w:r>
        <w:rPr>
          <w:rFonts w:ascii="Noto Sans" w:hAnsi="Noto Sans"/>
          <w:sz w:val="19"/>
        </w:rPr>
        <w:t>C. Recommend an internal transfer as a compromise because it preserves income while reducing contact with the manager connected to the comments for now.</w:t>
      </w:r>
    </w:p>
    <w:p>
      <w:pPr>
        <w:spacing w:after="10"/>
        <w:ind w:left="230" w:hanging="187"/>
      </w:pPr>
      <w:r>
        <w:rPr>
          <w:rFonts w:ascii="Noto Sans" w:hAnsi="Noto Sans"/>
          <w:sz w:val="19"/>
        </w:rPr>
        <w:t>D. Delay major career decisions until panic symptoms are in remission so anxiety does not distort Fatima’s judgment about employment options or long-term goals.</w:t>
      </w:r>
    </w:p>
    <w:p>
      <w:pPr>
        <w:spacing w:after="40"/>
      </w:pPr>
      <w:r>
        <w:rPr>
          <w:rFonts w:ascii="Noto Sans" w:hAnsi="Noto Sans"/>
          <w:color w:val="6B7280"/>
          <w:sz w:val="17"/>
        </w:rPr>
        <w:t>Answer: ________     Confidence:  1  2  3  4  5</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After several additional sessions, Fatima reports stable symptom gains and says the counseling goals feel substantially complete even though the final details of her employment transition are still unfolding. She asks to conclude scheduled counseling.</w:t>
            </w:r>
          </w:p>
        </w:tc>
      </w:tr>
    </w:tbl>
    <w:p>
      <w:pPr>
        <w:keepNext/>
        <w:spacing w:before="120" w:after="40"/>
      </w:pPr>
      <w:r>
        <w:rPr>
          <w:rFonts w:ascii="Noto Sans" w:hAnsi="Noto Sans"/>
          <w:b/>
          <w:color w:val="1F2937"/>
          <w:sz w:val="20"/>
        </w:rPr>
        <w:t>130. Which termination discussion is MOST appropriate?</w:t>
      </w:r>
    </w:p>
    <w:p>
      <w:pPr>
        <w:spacing w:after="10"/>
        <w:ind w:left="230" w:hanging="187"/>
      </w:pPr>
      <w:r>
        <w:rPr>
          <w:rFonts w:ascii="Noto Sans" w:hAnsi="Noto Sans"/>
          <w:sz w:val="19"/>
        </w:rPr>
        <w:t>A. Continue counseling until Fatima's employment situation is fully settled because ending during an unresolved transition would create unnecessary recurrence risk.</w:t>
      </w:r>
    </w:p>
    <w:p>
      <w:pPr>
        <w:spacing w:after="10"/>
        <w:ind w:left="230" w:hanging="187"/>
      </w:pPr>
      <w:r>
        <w:rPr>
          <w:rFonts w:ascii="Noto Sans" w:hAnsi="Noto Sans"/>
          <w:sz w:val="19"/>
        </w:rPr>
        <w:t>B. End at the next session if Fatima reports no recent panic attacks, leaving career and legal resources available outside counseling if needed.</w:t>
      </w:r>
    </w:p>
    <w:p>
      <w:pPr>
        <w:spacing w:after="10"/>
        <w:ind w:left="230" w:hanging="187"/>
      </w:pPr>
      <w:r>
        <w:rPr>
          <w:rFonts w:ascii="Noto Sans" w:hAnsi="Noto Sans"/>
          <w:sz w:val="19"/>
        </w:rPr>
        <w:t>C. Review goals, response, feelings about ending, residual risks, supports, care continuity, and how Fatima can re-enter counseling if needs recur.</w:t>
      </w:r>
    </w:p>
    <w:p>
      <w:pPr>
        <w:spacing w:after="10"/>
        <w:ind w:left="230" w:hanging="187"/>
      </w:pPr>
      <w:r>
        <w:rPr>
          <w:rFonts w:ascii="Noto Sans" w:hAnsi="Noto Sans"/>
          <w:sz w:val="19"/>
        </w:rPr>
        <w:t>D. Transfer Fatima to a career-focused counselor before ending because an unresolved employment transition makes ordinary termination clinically premature.</w:t>
      </w:r>
    </w:p>
    <w:p>
      <w:pPr>
        <w:spacing w:after="40"/>
      </w:pPr>
      <w:r>
        <w:rPr>
          <w:rFonts w:ascii="Noto Sans" w:hAnsi="Noto Sans"/>
          <w:color w:val="6B7280"/>
          <w:sz w:val="17"/>
        </w:rPr>
        <w:t>Answer: ________     Confidence:  1  2  3  4  5</w:t>
      </w:r>
    </w:p>
    <w:p>
      <w:r>
        <w:br w:type="page"/>
      </w:r>
    </w:p>
    <w:p>
      <w:pPr>
        <w:pStyle w:val="Heading1"/>
      </w:pPr>
      <w:r>
        <w:t>CASE 11: Tasha G.</w:t>
      </w:r>
    </w:p>
    <w:p>
      <w:pPr>
        <w:pStyle w:val="Heading2"/>
      </w:pPr>
      <w:r>
        <w:t>SECTION 1 - INITIAL PRESENTATION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Tasha is a 29-year-old entrepreneur who has received treatment for ADHD from an outside prescriber for approximately six years. She describes her usual baseline as energetic and ambitious but says she normally sleeps seven hours, maintains one primary business at a time, consults others before major purchases, and is able to slow down when a plan does not make financial sense.</w:t>
            </w:r>
          </w:p>
          <w:p>
            <w:pPr>
              <w:spacing w:after="60"/>
            </w:pPr>
            <w:r>
              <w:rPr>
                <w:rFonts w:ascii="Noto Sans" w:hAnsi="Noto Sans"/>
                <w:sz w:val="19"/>
              </w:rPr>
              <w:t>During the past 10 days, Tasha has slept approximately two and a half to three hours per night and says she is “not tired at all.” She has launched plans for three new businesses, purchased approximately $12,000 in equipment, and contacted several potential investors. She speaks rapidly and frequently shifts topics while describing an idea she says will “change the entire industry.”</w:t>
            </w:r>
          </w:p>
          <w:p>
            <w:pPr>
              <w:spacing w:after="60"/>
            </w:pPr>
            <w:r>
              <w:rPr>
                <w:rFonts w:ascii="Noto Sans" w:hAnsi="Noto Sans"/>
                <w:sz w:val="19"/>
              </w:rPr>
              <w:t>Her prescribed stimulant is taken each morning for ADHD. Tasha acknowledges that during the past several days she has sometimes taken additional medication beyond the prescribed dose because she believes it helps her “keep up with all the ideas.” She also reports nightly cannabis use.</w:t>
            </w:r>
          </w:p>
          <w:p>
            <w:pPr>
              <w:spacing w:after="60"/>
            </w:pPr>
            <w:r>
              <w:rPr>
                <w:rFonts w:ascii="Noto Sans" w:hAnsi="Noto Sans"/>
                <w:sz w:val="19"/>
              </w:rPr>
              <w:t>Tasha denies suicidal or homicidal thoughts and reports no hallucinations. She plans to drive across several states the following morning to meet an investor, although the investor has not confirmed the meeting. Her partner says the current behavior is “way beyond her normal ambitious.”</w:t>
            </w:r>
          </w:p>
        </w:tc>
      </w:tr>
    </w:tbl>
    <w:p>
      <w:pPr>
        <w:keepNext/>
        <w:spacing w:before="120" w:after="40"/>
      </w:pPr>
      <w:r>
        <w:rPr>
          <w:rFonts w:ascii="Noto Sans" w:hAnsi="Noto Sans"/>
          <w:b/>
          <w:color w:val="1F2937"/>
          <w:sz w:val="20"/>
        </w:rPr>
        <w:t>131. Which approach BEST represents an appropriate mental status examination?</w:t>
      </w:r>
    </w:p>
    <w:p>
      <w:pPr>
        <w:spacing w:after="10"/>
        <w:ind w:left="230" w:hanging="187"/>
      </w:pPr>
      <w:r>
        <w:rPr>
          <w:rFonts w:ascii="Noto Sans" w:hAnsi="Noto Sans"/>
          <w:sz w:val="19"/>
        </w:rPr>
        <w:t>A. Assess mood, sleep, speech, spending, and business judgment in detail, then defer orientation and perception because no psychotic symptoms are reported.</w:t>
      </w:r>
    </w:p>
    <w:p>
      <w:pPr>
        <w:spacing w:after="10"/>
        <w:ind w:left="230" w:hanging="187"/>
      </w:pPr>
      <w:r>
        <w:rPr>
          <w:rFonts w:ascii="Noto Sans" w:hAnsi="Noto Sans"/>
          <w:sz w:val="19"/>
        </w:rPr>
        <w:t>B. Assess appearance, behavior, psychomotor activity, speech, orientation, attention, thought process and content, perception, insight, judgment, and departure from baseline.</w:t>
      </w:r>
    </w:p>
    <w:p>
      <w:pPr>
        <w:spacing w:after="10"/>
        <w:ind w:left="230" w:hanging="187"/>
      </w:pPr>
      <w:r>
        <w:rPr>
          <w:rFonts w:ascii="Noto Sans" w:hAnsi="Noto Sans"/>
          <w:sz w:val="19"/>
        </w:rPr>
        <w:t>C. Compare Tasha's behavior with partner-reported baseline, emphasizing sleep, activity, and decision-making while leaving formal mental-status findings to the psychiatric evaluator.</w:t>
      </w:r>
    </w:p>
    <w:p>
      <w:pPr>
        <w:spacing w:after="10"/>
        <w:ind w:left="230" w:hanging="187"/>
      </w:pPr>
      <w:r>
        <w:rPr>
          <w:rFonts w:ascii="Noto Sans" w:hAnsi="Noto Sans"/>
          <w:sz w:val="19"/>
        </w:rPr>
        <w:t>D. Use a brief cognitive screen, observe attention and speech, and treat intact orientation as evidence that current judgment is likely preserved.</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132. Which substance and medication inquiry would provide the MOST useful diagnostic information?</w:t>
      </w:r>
    </w:p>
    <w:p>
      <w:pPr>
        <w:spacing w:after="10"/>
        <w:ind w:left="230" w:hanging="187"/>
      </w:pPr>
      <w:r>
        <w:rPr>
          <w:rFonts w:ascii="Noto Sans" w:hAnsi="Noto Sans"/>
          <w:sz w:val="19"/>
        </w:rPr>
        <w:t>A. Ask Tasha to stop cannabis for several days and compare symptoms before clarifying stimulant dose because cannabis can affect sleep and cognition.</w:t>
      </w:r>
    </w:p>
    <w:p>
      <w:pPr>
        <w:spacing w:after="10"/>
        <w:ind w:left="230" w:hanging="187"/>
      </w:pPr>
      <w:r>
        <w:rPr>
          <w:rFonts w:ascii="Noto Sans" w:hAnsi="Noto Sans"/>
          <w:sz w:val="19"/>
        </w:rPr>
        <w:t>B. Focus primarily on stimulant misuse because it is more directly relevant to activation, leaving stable nightly cannabis use for later assessment.</w:t>
      </w:r>
    </w:p>
    <w:p>
      <w:pPr>
        <w:spacing w:after="10"/>
        <w:ind w:left="230" w:hanging="187"/>
      </w:pPr>
      <w:r>
        <w:rPr>
          <w:rFonts w:ascii="Noto Sans" w:hAnsi="Noto Sans"/>
          <w:sz w:val="19"/>
        </w:rPr>
        <w:t>C. Review pharmacy records and prescriber notes first, then determine whether the stimulant exposure is sufficient to explain Tasha's behavioral change.</w:t>
      </w:r>
    </w:p>
    <w:p>
      <w:pPr>
        <w:spacing w:after="10"/>
        <w:ind w:left="230" w:hanging="187"/>
      </w:pPr>
      <w:r>
        <w:rPr>
          <w:rFonts w:ascii="Noto Sans" w:hAnsi="Noto Sans"/>
          <w:sz w:val="19"/>
        </w:rPr>
        <w:t>D. Clarify prescribed versus actual stimulant use, dose-change timing, cannabis and other substances, intended effects, consequences, tolerance, and relation to activation.</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133. Which assessment BEST determines whether Tasha's current level of mental health functioning is impaired?</w:t>
      </w:r>
    </w:p>
    <w:p>
      <w:pPr>
        <w:spacing w:after="10"/>
        <w:ind w:left="230" w:hanging="187"/>
      </w:pPr>
      <w:r>
        <w:rPr>
          <w:rFonts w:ascii="Noto Sans" w:hAnsi="Noto Sans"/>
          <w:sz w:val="19"/>
        </w:rPr>
        <w:t>A. Focus on financial losses and impulsive travel plans, because those consequences provide a more objective functional measure than mood or productivity changes.</w:t>
      </w:r>
    </w:p>
    <w:p>
      <w:pPr>
        <w:spacing w:after="10"/>
        <w:ind w:left="230" w:hanging="187"/>
      </w:pPr>
      <w:r>
        <w:rPr>
          <w:rFonts w:ascii="Noto Sans" w:hAnsi="Noto Sans"/>
          <w:sz w:val="19"/>
        </w:rPr>
        <w:t>B. Use the number of ventures launched and hours worked as primary indicators, because preserved productivity would argue against substantial functional impairment.</w:t>
      </w:r>
    </w:p>
    <w:p>
      <w:pPr>
        <w:spacing w:after="10"/>
        <w:ind w:left="230" w:hanging="187"/>
      </w:pPr>
      <w:r>
        <w:rPr>
          <w:rFonts w:ascii="Noto Sans" w:hAnsi="Noto Sans"/>
          <w:sz w:val="19"/>
        </w:rPr>
        <w:t>C. Compare Tasha's self-report with her partner's observations and consider functioning intact when both agree she is completing essential daily responsibilities.</w:t>
      </w:r>
    </w:p>
    <w:p>
      <w:pPr>
        <w:spacing w:after="10"/>
        <w:ind w:left="230" w:hanging="187"/>
      </w:pPr>
      <w:r>
        <w:rPr>
          <w:rFonts w:ascii="Noto Sans" w:hAnsi="Noto Sans"/>
          <w:sz w:val="19"/>
        </w:rPr>
        <w:t>D. Evaluate spending, contracts, driving, sleep, follow-through, relationships, occupational consequences, and ability to reconsider decisions compared with Tasha's usual functioning.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134. Which immediate disposition is MOST proportionate to the information currently available?</w:t>
      </w:r>
    </w:p>
    <w:p>
      <w:pPr>
        <w:spacing w:after="10"/>
        <w:ind w:left="230" w:hanging="187"/>
      </w:pPr>
      <w:r>
        <w:rPr>
          <w:rFonts w:ascii="Noto Sans" w:hAnsi="Noto Sans"/>
          <w:sz w:val="19"/>
        </w:rPr>
        <w:t>A. Arrange same-day psychiatric evaluation with safe transportation, recommend no driving, travel, or major commitments pending assessment, and coordinate with prescriber and support.</w:t>
      </w:r>
    </w:p>
    <w:p>
      <w:pPr>
        <w:spacing w:after="10"/>
        <w:ind w:left="230" w:hanging="187"/>
      </w:pPr>
      <w:r>
        <w:rPr>
          <w:rFonts w:ascii="Noto Sans" w:hAnsi="Noto Sans"/>
          <w:sz w:val="19"/>
        </w:rPr>
        <w:t>B. Recommend voluntary psychiatric hospitalization now because markedly reduced sleep, overspending, and risky travel show that outpatient treatment cannot safely contain the episode.</w:t>
      </w:r>
    </w:p>
    <w:p>
      <w:pPr>
        <w:spacing w:after="10"/>
        <w:ind w:left="230" w:hanging="187"/>
      </w:pPr>
      <w:r>
        <w:rPr>
          <w:rFonts w:ascii="Noto Sans" w:hAnsi="Noto Sans"/>
          <w:sz w:val="19"/>
        </w:rPr>
        <w:t>C. Arrange prescriber contact within forty-eight hours, ask Tasha's partner to monitor sleep and spending, and continue frequent outpatient counseling until evaluation.</w:t>
      </w:r>
    </w:p>
    <w:p>
      <w:pPr>
        <w:spacing w:after="10"/>
        <w:ind w:left="230" w:hanging="187"/>
      </w:pPr>
      <w:r>
        <w:rPr>
          <w:rFonts w:ascii="Noto Sans" w:hAnsi="Noto Sans"/>
          <w:sz w:val="19"/>
        </w:rPr>
        <w:t>D. Initiate involuntary emergency evaluation because impaired judgment, overspending, and planned cross-country travel establish inability to participate safely in voluntary care.</w:t>
      </w:r>
    </w:p>
    <w:p>
      <w:pPr>
        <w:spacing w:after="40"/>
      </w:pPr>
      <w:r>
        <w:rPr>
          <w:rFonts w:ascii="Noto Sans" w:hAnsi="Noto Sans"/>
          <w:color w:val="6B7280"/>
          <w:sz w:val="17"/>
        </w:rPr>
        <w:t>Answer: ________     Confidence:  1  2  3  4  5</w:t>
      </w:r>
    </w:p>
    <w:p>
      <w:pPr>
        <w:pStyle w:val="Heading2"/>
      </w:pPr>
      <w:r>
        <w:t>SECTION 2 - ADDITIONAL INFORMATION</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Further assessment clarifies that Tasha's longstanding ADHD symptoms primarily involve distractibility, disorganization, difficulty completing routine tasks, and procrastination. At baseline, she does not experience sustained periods of markedly elevated mood, dramatically increased goal-directed activity, or a reduced need for sleep.</w:t>
            </w:r>
          </w:p>
          <w:p>
            <w:pPr>
              <w:spacing w:after="60"/>
            </w:pPr>
            <w:r>
              <w:rPr>
                <w:rFonts w:ascii="Noto Sans" w:hAnsi="Noto Sans"/>
                <w:sz w:val="19"/>
              </w:rPr>
              <w:t>The current change began 10 days ago. Tasha first began sleeping only three hours, speaking rapidly, generating multiple business plans, and feeling unusually powerful and productive. Five days into that change, she began taking approximately twice her prescribed stimulant dose without consulting the prescriber.</w:t>
            </w:r>
          </w:p>
          <w:p>
            <w:pPr>
              <w:spacing w:after="60"/>
            </w:pPr>
            <w:r>
              <w:rPr>
                <w:rFonts w:ascii="Noto Sans" w:hAnsi="Noto Sans"/>
                <w:sz w:val="19"/>
              </w:rPr>
              <w:t>Her cannabis pattern—one nightly edible—has been essentially unchanged for about six months. She denies other drugs, nonprescribed stimulants, energy products, or heavy caffeine use.</w:t>
            </w:r>
          </w:p>
          <w:p>
            <w:pPr>
              <w:spacing w:after="60"/>
            </w:pPr>
            <w:r>
              <w:rPr>
                <w:rFonts w:ascii="Noto Sans" w:hAnsi="Noto Sans"/>
                <w:sz w:val="19"/>
              </w:rPr>
              <w:t>Tasha's partner describes another distinct episode three years ago, during a period when Tasha had been off stimulant medication for approximately two months and was not using cannabis. For nine days she slept only two to three hours without fatigue, spoke much more rapidly than usual, became unusually expansive and irritable, spent approximately $8,000 on an abrupt business venture, and quit a stable job with little planning. Her functioning deteriorated enough that family members intervened financially. No psychiatric evaluation occurred at the time.</w:t>
            </w:r>
          </w:p>
          <w:p>
            <w:pPr>
              <w:spacing w:after="60"/>
            </w:pPr>
            <w:r>
              <w:rPr>
                <w:rFonts w:ascii="Noto Sans" w:hAnsi="Noto Sans"/>
                <w:sz w:val="19"/>
              </w:rPr>
              <w:t>Tasha later experienced a six-week period of marked depression, loss of interest, low energy, excessive sleep, and difficulty functioning. Her mother has bipolar I disorder.</w:t>
            </w:r>
          </w:p>
          <w:p>
            <w:pPr>
              <w:spacing w:after="60"/>
            </w:pPr>
            <w:r>
              <w:rPr>
                <w:rFonts w:ascii="Noto Sans" w:hAnsi="Noto Sans"/>
                <w:sz w:val="19"/>
              </w:rPr>
              <w:t>During the current examination Tasha is oriented to person, place, time, and situation. Her speech is pressured, her thoughts move rapidly between loosely connected business ideas, and she is easily distracted. She reports no hallucinations or fixed delusions. Insight into the degree of change is limited, and judgment regarding spending, driving, and business commitments appears impaired.</w:t>
            </w:r>
          </w:p>
          <w:p>
            <w:pPr>
              <w:spacing w:after="60"/>
            </w:pPr>
            <w:r>
              <w:rPr>
                <w:rFonts w:ascii="Noto Sans" w:hAnsi="Noto Sans"/>
                <w:sz w:val="19"/>
              </w:rPr>
              <w:t>Tasha agrees to same-day psychiatric evaluation and permits communication with her prescriber and evaluator. She authorizes her partner to assist with transportation and with temporary safeguards they agree upon.</w:t>
            </w:r>
          </w:p>
          <w:p>
            <w:pPr>
              <w:spacing w:after="60"/>
            </w:pPr>
            <w:r>
              <w:rPr>
                <w:rFonts w:ascii="Noto Sans" w:hAnsi="Noto Sans"/>
                <w:sz w:val="19"/>
              </w:rPr>
              <w:t>She later says, “Women entrepreneurs get called unstable for being confident all the time. My family taught me to work hard and be independent. I don't want everyone treating every ambitious idea like a symptom.”</w:t>
            </w:r>
          </w:p>
        </w:tc>
      </w:tr>
    </w:tbl>
    <w:p>
      <w:pPr>
        <w:keepNext/>
        <w:spacing w:before="120" w:after="40"/>
      </w:pPr>
      <w:r>
        <w:rPr>
          <w:rFonts w:ascii="Noto Sans" w:hAnsi="Noto Sans"/>
          <w:b/>
          <w:color w:val="1F2937"/>
          <w:sz w:val="20"/>
        </w:rPr>
        <w:t>135. Which provisional formulation is BEST supported by the longitudinal evidence?</w:t>
      </w:r>
    </w:p>
    <w:p>
      <w:pPr>
        <w:spacing w:after="10"/>
        <w:ind w:left="230" w:hanging="187"/>
      </w:pPr>
      <w:r>
        <w:rPr>
          <w:rFonts w:ascii="Noto Sans" w:hAnsi="Noto Sans"/>
          <w:sz w:val="19"/>
        </w:rPr>
        <w:t>A. Bipolar I disorder, current manic episode, with stimulant misuse as a possible exacerbating factor rather than the sole explanation for the episode.</w:t>
      </w:r>
    </w:p>
    <w:p>
      <w:pPr>
        <w:spacing w:after="10"/>
        <w:ind w:left="230" w:hanging="187"/>
      </w:pPr>
      <w:r>
        <w:rPr>
          <w:rFonts w:ascii="Noto Sans" w:hAnsi="Noto Sans"/>
          <w:sz w:val="19"/>
        </w:rPr>
        <w:t>B. Substance/medication-induced bipolar and related disorder, because stimulant overuse occurred during the episode and stimulants can produce manic symptoms in susceptible individuals.</w:t>
      </w:r>
    </w:p>
    <w:p>
      <w:pPr>
        <w:spacing w:after="10"/>
        <w:ind w:left="230" w:hanging="187"/>
      </w:pPr>
      <w:r>
        <w:rPr>
          <w:rFonts w:ascii="Noto Sans" w:hAnsi="Noto Sans"/>
          <w:sz w:val="19"/>
        </w:rPr>
        <w:t>C. Bipolar II disorder, current hypomanic episode, because Tasha remains oriented, has no psychosis, and continues managing basic responsibilities despite substantial activation.</w:t>
      </w:r>
    </w:p>
    <w:p>
      <w:pPr>
        <w:spacing w:after="10"/>
        <w:ind w:left="230" w:hanging="187"/>
      </w:pPr>
      <w:r>
        <w:rPr>
          <w:rFonts w:ascii="Noto Sans" w:hAnsi="Noto Sans"/>
          <w:sz w:val="19"/>
        </w:rPr>
        <w:t>D. ADHD with stimulant misuse and sleep deprivation, because distractibility, rapid activity, impulsive projects, and reduced sleep can intensify when stimulant dosing increases.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136. Which collaboration plan is MOST appropriate at this point?</w:t>
      </w:r>
    </w:p>
    <w:p>
      <w:pPr>
        <w:spacing w:after="10"/>
        <w:ind w:left="230" w:hanging="187"/>
      </w:pPr>
      <w:r>
        <w:rPr>
          <w:rFonts w:ascii="Noto Sans" w:hAnsi="Noto Sans"/>
          <w:sz w:val="19"/>
        </w:rPr>
        <w:t>A. Ask Tasha's partner to contact the prescriber because collateral information is more reliable during mania, while the counselor focuses on maintaining Tasha's alliance.</w:t>
      </w:r>
    </w:p>
    <w:p>
      <w:pPr>
        <w:spacing w:after="10"/>
        <w:ind w:left="230" w:hanging="187"/>
      </w:pPr>
      <w:r>
        <w:rPr>
          <w:rFonts w:ascii="Noto Sans" w:hAnsi="Noto Sans"/>
          <w:sz w:val="19"/>
        </w:rPr>
        <w:t>B. Tell the prescriber the stimulant likely caused the episode and recommend stopping it immediately, while asking the partner to monitor Tasha until symptoms resolve.</w:t>
      </w:r>
    </w:p>
    <w:p>
      <w:pPr>
        <w:spacing w:after="10"/>
        <w:ind w:left="230" w:hanging="187"/>
      </w:pPr>
      <w:r>
        <w:rPr>
          <w:rFonts w:ascii="Noto Sans" w:hAnsi="Noto Sans"/>
          <w:sz w:val="19"/>
        </w:rPr>
        <w:t>C. With Tasha's permission, share the symptom timeline, MSE findings, actual stimulant and cannabis use, functional risks, and collateral information with the evaluator and prescriber.</w:t>
      </w:r>
    </w:p>
    <w:p>
      <w:pPr>
        <w:spacing w:after="10"/>
        <w:ind w:left="230" w:hanging="187"/>
      </w:pPr>
      <w:r>
        <w:rPr>
          <w:rFonts w:ascii="Noto Sans" w:hAnsi="Noto Sans"/>
          <w:sz w:val="19"/>
        </w:rPr>
        <w:t>D. Wait for the psychiatric evaluator to request records before communicating, because proactive coordination could influence the evaluator's independent diagnostic judgment and treatment planning.</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137. Tasha says, “I'm scared everyone will start calling my ambition an illness.” Which response BEST demonstrates empathic attunement?</w:t>
      </w:r>
    </w:p>
    <w:p>
      <w:pPr>
        <w:spacing w:after="10"/>
        <w:ind w:left="230" w:hanging="187"/>
      </w:pPr>
      <w:r>
        <w:rPr>
          <w:rFonts w:ascii="Noto Sans" w:hAnsi="Noto Sans"/>
          <w:sz w:val="19"/>
        </w:rPr>
        <w:t>A. Your ambition is not the problem. The issue is the manic episode, and we can learn to separate the two once your mood stabilizes.</w:t>
      </w:r>
    </w:p>
    <w:p>
      <w:pPr>
        <w:spacing w:after="10"/>
        <w:ind w:left="230" w:hanging="187"/>
      </w:pPr>
      <w:r>
        <w:rPr>
          <w:rFonts w:ascii="Noto Sans" w:hAnsi="Noto Sans"/>
          <w:sz w:val="19"/>
        </w:rPr>
        <w:t>B. It sounds frightening that concern about your mood feels like people are dismissing the ambition you value. Can we compare this with your usual drive?</w:t>
      </w:r>
    </w:p>
    <w:p>
      <w:pPr>
        <w:spacing w:after="10"/>
        <w:ind w:left="230" w:hanging="187"/>
      </w:pPr>
      <w:r>
        <w:rPr>
          <w:rFonts w:ascii="Noto Sans" w:hAnsi="Noto Sans"/>
          <w:sz w:val="19"/>
        </w:rPr>
        <w:t>C. Many entrepreneurs sleep less and take risks when building something new, so we should be careful not to pathologize traits that may help you succeed.</w:t>
      </w:r>
    </w:p>
    <w:p>
      <w:pPr>
        <w:spacing w:after="10"/>
        <w:ind w:left="230" w:hanging="187"/>
      </w:pPr>
      <w:r>
        <w:rPr>
          <w:rFonts w:ascii="Noto Sans" w:hAnsi="Noto Sans"/>
          <w:sz w:val="19"/>
        </w:rPr>
        <w:t>D. The spending and sleep changes show this is more than ordinary ambition. Understanding that difference will help you protect the business goals that matter.</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138. Which inquiry BEST addresses cultural and contextual considerations in Tasha's presentation?</w:t>
      </w:r>
    </w:p>
    <w:p>
      <w:pPr>
        <w:spacing w:after="10"/>
        <w:ind w:left="230" w:hanging="187"/>
      </w:pPr>
      <w:r>
        <w:rPr>
          <w:rFonts w:ascii="Noto Sans" w:hAnsi="Noto Sans"/>
          <w:sz w:val="19"/>
        </w:rPr>
        <w:t>A. Explore how gender, entrepreneurship culture, family expectations, stigma, and prior mental-health experiences shape Tasha's understanding of productivity and treatment without assuming causation.</w:t>
      </w:r>
    </w:p>
    <w:p>
      <w:pPr>
        <w:spacing w:after="10"/>
        <w:ind w:left="230" w:hanging="187"/>
      </w:pPr>
      <w:r>
        <w:rPr>
          <w:rFonts w:ascii="Noto Sans" w:hAnsi="Noto Sans"/>
          <w:sz w:val="19"/>
        </w:rPr>
        <w:t>B. Explore whether gender bias in entrepreneurship explains why others view Tasha as unstable, then use advocacy to prevent confident behavior from being pathologized.</w:t>
      </w:r>
    </w:p>
    <w:p>
      <w:pPr>
        <w:spacing w:after="10"/>
        <w:ind w:left="230" w:hanging="187"/>
      </w:pPr>
      <w:r>
        <w:rPr>
          <w:rFonts w:ascii="Noto Sans" w:hAnsi="Noto Sans"/>
          <w:sz w:val="19"/>
        </w:rPr>
        <w:t>C. Keep cultural issues separate from diagnosis until the acute episode resolves, because identity-based interpretations could bias assessment of objective manic symptoms.</w:t>
      </w:r>
    </w:p>
    <w:p>
      <w:pPr>
        <w:spacing w:after="10"/>
        <w:ind w:left="230" w:hanging="187"/>
      </w:pPr>
      <w:r>
        <w:rPr>
          <w:rFonts w:ascii="Noto Sans" w:hAnsi="Noto Sans"/>
          <w:sz w:val="19"/>
        </w:rPr>
        <w:t>D. Ask Tasha's family what level of work intensity and confidence is typical in their culture, then use that information to establish her premorbid baseline.</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139. Which temporary strategy BEST protects Tasha's decision-making while preserving as much autonomy as possible?</w:t>
      </w:r>
    </w:p>
    <w:p>
      <w:pPr>
        <w:spacing w:after="10"/>
        <w:ind w:left="230" w:hanging="187"/>
      </w:pPr>
      <w:r>
        <w:rPr>
          <w:rFonts w:ascii="Noto Sans" w:hAnsi="Noto Sans"/>
          <w:sz w:val="19"/>
        </w:rPr>
        <w:t>A. Ask Tasha to give her partner temporary control of business accounts, credit cards, travel bookings, and contracts until the psychiatric team determines the episode has resolved.</w:t>
      </w:r>
    </w:p>
    <w:p>
      <w:pPr>
        <w:spacing w:after="10"/>
        <w:ind w:left="230" w:hanging="187"/>
      </w:pPr>
      <w:r>
        <w:rPr>
          <w:rFonts w:ascii="Noto Sans" w:hAnsi="Noto Sans"/>
          <w:sz w:val="19"/>
        </w:rPr>
        <w:t>B. Have Tasha continue business activity while using a daily mood tracker and postponing major decisions only after nights when she sleeps less than four hours.</w:t>
      </w:r>
    </w:p>
    <w:p>
      <w:pPr>
        <w:spacing w:after="10"/>
        <w:ind w:left="230" w:hanging="187"/>
      </w:pPr>
      <w:r>
        <w:rPr>
          <w:rFonts w:ascii="Noto Sans" w:hAnsi="Noto Sans"/>
          <w:sz w:val="19"/>
        </w:rPr>
        <w:t>C. Freeze all new ventures and travel until psychiatric clearance, while allowing routine business tasks that do not involve spending, contracts, or public commitments.</w:t>
      </w:r>
    </w:p>
    <w:p>
      <w:pPr>
        <w:spacing w:after="10"/>
        <w:ind w:left="230" w:hanging="187"/>
      </w:pPr>
      <w:r>
        <w:rPr>
          <w:rFonts w:ascii="Noto Sans" w:hAnsi="Noto Sans"/>
          <w:sz w:val="19"/>
        </w:rPr>
        <w:t>D. Collaboratively choose temporary safeguards such as delaying major commitments, trusted review of high-impact decisions, safer transportation, sleep protection, and clear escalation steps.</w:t>
      </w:r>
    </w:p>
    <w:p>
      <w:pPr>
        <w:spacing w:after="40"/>
      </w:pPr>
      <w:r>
        <w:rPr>
          <w:rFonts w:ascii="Noto Sans" w:hAnsi="Noto Sans"/>
          <w:color w:val="6B7280"/>
          <w:sz w:val="17"/>
        </w:rPr>
        <w:t>Answer: ________     Confidence:  1  2  3  4  5</w:t>
      </w:r>
    </w:p>
    <w:p>
      <w:pPr>
        <w:pStyle w:val="Heading2"/>
      </w:pPr>
      <w:r>
        <w:t>SECTION 3 - COURSE OF CARE</w:t>
      </w:r>
    </w:p>
    <w:tbl>
      <w:tblPr>
        <w:tblW w:type="auto" w:w="0"/>
        <w:jc w:val="center"/>
        <w:tblLayout w:type="autofit"/>
        <w:tblLook w:firstColumn="1" w:firstRow="1" w:lastColumn="0" w:lastRow="0" w:noHBand="0" w:noVBand="1" w:val="04A0"/>
      </w:tblPr>
      <w:tblGrid>
        <w:gridCol w:w="10454"/>
      </w:tblGrid>
      <w:tr>
        <w:tc>
          <w:tcPr>
            <w:tcW w:type="dxa" w:w="10454"/>
            <w:shd w:fill="F3F5F7"/>
            <w:tcBorders>
              <w:top w:val="single" w:sz="4" w:color="E5E7EB"/>
              <w:left w:val="single" w:sz="4" w:color="E5E7EB"/>
              <w:bottom w:val="single" w:sz="4" w:color="E5E7EB"/>
              <w:right w:val="single" w:sz="4" w:color="E5E7EB"/>
            </w:tcBorders>
          </w:tcPr>
          <w:p>
            <w:pPr>
              <w:spacing w:after="0"/>
            </w:pPr>
            <w:r>
              <w:rPr>
                <w:rFonts w:ascii="Noto Sans" w:hAnsi="Noto Sans"/>
                <w:sz w:val="19"/>
              </w:rPr>
              <w:t>Tasha completes the urgent psychiatric evaluation. The psychiatric clinician diagnoses bipolar I disorder, current manic episode, based on the current presentation and the prior independent episode. Medication decisions, including management of her ADHD stimulant, are handled by the psychiatric and prescribing clinicians rather than by the counselor.</w:t>
            </w:r>
          </w:p>
          <w:p>
            <w:pPr>
              <w:spacing w:after="60"/>
            </w:pPr>
            <w:r>
              <w:rPr>
                <w:rFonts w:ascii="Noto Sans" w:hAnsi="Noto Sans"/>
                <w:sz w:val="19"/>
              </w:rPr>
              <w:t>Tasha chooses several temporary safeguards: she does not drive while acutely impaired, delays major purchases and contracts, and asks her partner and accountant to review high-impact financial decisions with her. Her partner does not assume control of her accounts.</w:t>
            </w:r>
          </w:p>
          <w:p>
            <w:pPr>
              <w:spacing w:after="60"/>
            </w:pPr>
            <w:r>
              <w:rPr>
                <w:rFonts w:ascii="Noto Sans" w:hAnsi="Noto Sans"/>
                <w:sz w:val="19"/>
              </w:rPr>
              <w:t>Five weeks later, Tasha reports sleeping seven to eight hours most nights. Her speech and thought process are again near her usual baseline. She has made no further large purchases or impulsive travel plans, has withdrawn several unrealistic business commitments, and has resumed routine work on her existing company.</w:t>
            </w:r>
          </w:p>
          <w:p>
            <w:pPr>
              <w:spacing w:after="60"/>
            </w:pPr>
            <w:r>
              <w:rPr>
                <w:rFonts w:ascii="Noto Sans" w:hAnsi="Noto Sans"/>
                <w:sz w:val="19"/>
              </w:rPr>
              <w:t>She continues coordinated psychiatric care. Her ADHD symptoms remain relevant and will be reassessed by her prescribing clinicians after mood stabilization. Tasha has also worked with the treatment team on her cannabis use.</w:t>
            </w:r>
          </w:p>
          <w:p>
            <w:pPr>
              <w:spacing w:after="60"/>
            </w:pPr>
            <w:r>
              <w:rPr>
                <w:rFonts w:ascii="Noto Sans" w:hAnsi="Noto Sans"/>
                <w:sz w:val="19"/>
              </w:rPr>
              <w:t>Tasha reports embarrassment and grief about the $12,000 loss and says, “Now I second-guess every good idea. I don't want to become afraid of being successful.”</w:t>
            </w:r>
          </w:p>
        </w:tc>
      </w:tr>
    </w:tbl>
    <w:p>
      <w:pPr>
        <w:keepNext/>
        <w:spacing w:before="120" w:after="40"/>
      </w:pPr>
      <w:r>
        <w:rPr>
          <w:rFonts w:ascii="Noto Sans" w:hAnsi="Noto Sans"/>
          <w:b/>
          <w:color w:val="1F2937"/>
          <w:sz w:val="20"/>
        </w:rPr>
        <w:t>140. Which pre/post measurement approach would provide the STRONGEST evidence of change after Tasha's acute episode?</w:t>
      </w:r>
    </w:p>
    <w:p>
      <w:pPr>
        <w:spacing w:after="10"/>
        <w:ind w:left="230" w:hanging="187"/>
      </w:pPr>
      <w:r>
        <w:rPr>
          <w:rFonts w:ascii="Noto Sans" w:hAnsi="Noto Sans"/>
          <w:sz w:val="19"/>
        </w:rPr>
        <w:t>A. Compare medication adherence and sleep with the acute episode baseline, adding broader mood and functioning measures only if either begins to worsen again.</w:t>
      </w:r>
    </w:p>
    <w:p>
      <w:pPr>
        <w:spacing w:after="10"/>
        <w:ind w:left="230" w:hanging="187"/>
      </w:pPr>
      <w:r>
        <w:rPr>
          <w:rFonts w:ascii="Noto Sans" w:hAnsi="Noto Sans"/>
          <w:sz w:val="19"/>
        </w:rPr>
        <w:t>B. Use partner ratings and financial records before and after stabilization because those provide the most objective evidence of change in judgment and functioning.</w:t>
      </w:r>
    </w:p>
    <w:p>
      <w:pPr>
        <w:spacing w:after="10"/>
        <w:ind w:left="230" w:hanging="187"/>
      </w:pPr>
      <w:r>
        <w:rPr>
          <w:rFonts w:ascii="Noto Sans" w:hAnsi="Noto Sans"/>
          <w:sz w:val="19"/>
        </w:rPr>
        <w:t>C. Repeat the same mood or activation and functioning measures at planned intervals, comparing with baseline plus sleep, spending, commitments, substance use, depression, and judgment.</w:t>
      </w:r>
    </w:p>
    <w:p>
      <w:pPr>
        <w:spacing w:after="10"/>
        <w:ind w:left="230" w:hanging="187"/>
      </w:pPr>
      <w:r>
        <w:rPr>
          <w:rFonts w:ascii="Noto Sans" w:hAnsi="Noto Sans"/>
          <w:sz w:val="19"/>
        </w:rPr>
        <w:t>D. Shift to ADHD measures after mood stabilization and use psychiatric progress notes for bipolar outcomes so counseling measurement remains focused on Tasha's ongoing diagnosis.</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141. Which treatment-plan revision BEST fits Tasha's current course?</w:t>
      </w:r>
    </w:p>
    <w:p>
      <w:pPr>
        <w:spacing w:after="10"/>
        <w:ind w:left="230" w:hanging="187"/>
      </w:pPr>
      <w:r>
        <w:rPr>
          <w:rFonts w:ascii="Noto Sans" w:hAnsi="Noto Sans"/>
          <w:sz w:val="19"/>
        </w:rPr>
        <w:t>A. Revise the plan around recurrence prevention, shame and financial repair, ADHD reassessment with prescribers, and distinguishing healthy ambition from episode-related change.</w:t>
      </w:r>
    </w:p>
    <w:p>
      <w:pPr>
        <w:spacing w:after="10"/>
        <w:ind w:left="230" w:hanging="187"/>
      </w:pPr>
      <w:r>
        <w:rPr>
          <w:rFonts w:ascii="Noto Sans" w:hAnsi="Noto Sans"/>
          <w:sz w:val="19"/>
        </w:rPr>
        <w:t>B. Return to ADHD-focused counseling because acute mood activation has resolved, while using psychiatric follow-up only if another clear manic episode develops.</w:t>
      </w:r>
    </w:p>
    <w:p>
      <w:pPr>
        <w:spacing w:after="10"/>
        <w:ind w:left="230" w:hanging="187"/>
      </w:pPr>
      <w:r>
        <w:rPr>
          <w:rFonts w:ascii="Noto Sans" w:hAnsi="Noto Sans"/>
          <w:sz w:val="19"/>
        </w:rPr>
        <w:t>C. Shift counseling toward rebuilding finances and business confidence, leaving bipolar recurrence management and ADHD decisions primarily to the psychiatric treatment team.</w:t>
      </w:r>
    </w:p>
    <w:p>
      <w:pPr>
        <w:spacing w:after="10"/>
        <w:ind w:left="230" w:hanging="187"/>
      </w:pPr>
      <w:r>
        <w:rPr>
          <w:rFonts w:ascii="Noto Sans" w:hAnsi="Noto Sans"/>
          <w:sz w:val="19"/>
        </w:rPr>
        <w:t>D. Advise Tasha to avoid launching new businesses for six months while she learns which levels of energy and confidence are safe outside acute treatment.</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142. Which documentation BEST supports continuity and review of Tasha's acute episode?</w:t>
      </w:r>
    </w:p>
    <w:p>
      <w:pPr>
        <w:spacing w:after="10"/>
        <w:ind w:left="230" w:hanging="187"/>
      </w:pPr>
      <w:r>
        <w:rPr>
          <w:rFonts w:ascii="Noto Sans" w:hAnsi="Noto Sans"/>
          <w:sz w:val="19"/>
        </w:rPr>
        <w:t>A. Document reported and observed activation, MSE and risk findings, stimulant use, disposition and handoff, while recording stimulant-induced mania as the likely cause of the episode.</w:t>
      </w:r>
    </w:p>
    <w:p>
      <w:pPr>
        <w:spacing w:after="10"/>
        <w:ind w:left="230" w:hanging="187"/>
      </w:pPr>
      <w:r>
        <w:rPr>
          <w:rFonts w:ascii="Noto Sans" w:hAnsi="Noto Sans"/>
          <w:sz w:val="19"/>
        </w:rPr>
        <w:t>B. Document reported versus observed data, baseline change, MSE and risk findings, medication or substance chronology, authorization, disposition, handoff, rationale, and follow-up.</w:t>
      </w:r>
    </w:p>
    <w:p>
      <w:pPr>
        <w:spacing w:after="10"/>
        <w:ind w:left="230" w:hanging="187"/>
      </w:pPr>
      <w:r>
        <w:rPr>
          <w:rFonts w:ascii="Noto Sans" w:hAnsi="Noto Sans"/>
          <w:sz w:val="19"/>
        </w:rPr>
        <w:t>C. Document clinical findings, risk, medication and substance use, disposition, and follow-up, but omit partner collateral because the psychiatric evaluator also received it.</w:t>
      </w:r>
    </w:p>
    <w:p>
      <w:pPr>
        <w:spacing w:after="10"/>
        <w:ind w:left="230" w:hanging="187"/>
      </w:pPr>
      <w:r>
        <w:rPr>
          <w:rFonts w:ascii="Noto Sans" w:hAnsi="Noto Sans"/>
          <w:sz w:val="19"/>
        </w:rPr>
        <w:t>D. Document the full chronology, MSE, risk, coordination, handoff, and follow-up, but record only the final bipolar diagnosis rather than the initial diagnostic uncertainty.</w:t>
      </w:r>
    </w:p>
    <w:p>
      <w:pPr>
        <w:spacing w:after="40"/>
      </w:pPr>
      <w:r>
        <w:rPr>
          <w:rFonts w:ascii="Noto Sans" w:hAnsi="Noto Sans"/>
          <w:color w:val="6B7280"/>
          <w:sz w:val="17"/>
        </w:rPr>
        <w:t>Answer: ________     Confidence:  1  2  3  4  5</w:t>
      </w:r>
    </w:p>
    <w:p>
      <w:pPr>
        <w:keepNext/>
        <w:spacing w:before="120" w:after="40"/>
      </w:pPr>
      <w:r>
        <w:rPr>
          <w:rFonts w:ascii="Noto Sans" w:hAnsi="Noto Sans"/>
          <w:b/>
          <w:color w:val="1F2937"/>
          <w:sz w:val="20"/>
        </w:rPr>
        <w:t>143. Which maintenance plan BEST protects Tasha's recovery without defining normal ambition as pathology?</w:t>
      </w:r>
    </w:p>
    <w:p>
      <w:pPr>
        <w:spacing w:after="10"/>
        <w:ind w:left="230" w:hanging="187"/>
      </w:pPr>
      <w:r>
        <w:rPr>
          <w:rFonts w:ascii="Noto Sans" w:hAnsi="Noto Sans"/>
          <w:sz w:val="19"/>
        </w:rPr>
        <w:t>A. Link Tasha's personal early warning signs to sleep protection, prescriber contact, substance-related steps, chosen supports, decision safeguards, depression monitoring, and urgent reevaluation thresholds.</w:t>
      </w:r>
    </w:p>
    <w:p>
      <w:pPr>
        <w:spacing w:after="10"/>
        <w:ind w:left="230" w:hanging="187"/>
      </w:pPr>
      <w:r>
        <w:rPr>
          <w:rFonts w:ascii="Noto Sans" w:hAnsi="Noto Sans"/>
          <w:sz w:val="19"/>
        </w:rPr>
        <w:t>B. Focus the maintenance plan on medication adherence and regular sleep because these are the most modifiable predictors of another manic episode.</w:t>
      </w:r>
    </w:p>
    <w:p>
      <w:pPr>
        <w:spacing w:after="10"/>
        <w:ind w:left="230" w:hanging="187"/>
      </w:pPr>
      <w:r>
        <w:rPr>
          <w:rFonts w:ascii="Noto Sans" w:hAnsi="Noto Sans"/>
          <w:sz w:val="19"/>
        </w:rPr>
        <w:t>C. Ask Tasha to avoid unusually ambitious projects and major investments for the next year so normal business stress does not resemble recurrence.</w:t>
      </w:r>
    </w:p>
    <w:p>
      <w:pPr>
        <w:spacing w:after="10"/>
        <w:ind w:left="230" w:hanging="187"/>
      </w:pPr>
      <w:r>
        <w:rPr>
          <w:rFonts w:ascii="Noto Sans" w:hAnsi="Noto Sans"/>
          <w:sz w:val="19"/>
        </w:rPr>
        <w:t>D. Have Tasha's partner permanently monitor finances and sleep, with immediate prescriber contact whenever Tasha sleeps less than six hours for two consecutive nights.</w:t>
      </w:r>
    </w:p>
    <w:p>
      <w:pPr>
        <w:spacing w:after="40"/>
      </w:pPr>
      <w:r>
        <w:rPr>
          <w:rFonts w:ascii="Noto Sans" w:hAnsi="Noto Sans"/>
          <w:color w:val="6B7280"/>
          <w:sz w:val="17"/>
        </w:rPr>
        <w:t>Answer: ________     Confidence:  1  2  3  4  5</w:t>
      </w:r>
    </w:p>
    <w:p>
      <w:r>
        <w:br w:type="page"/>
      </w:r>
    </w:p>
    <w:p>
      <w:pPr>
        <w:pStyle w:val="Heading1"/>
      </w:pPr>
      <w:r>
        <w:t>Form B Completion Record</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BEFORE SCORING</w:t>
            </w:r>
          </w:p>
        </w:tc>
      </w:tr>
    </w:tbl>
    <w:p>
      <w:r>
        <w:t>Record the testing conditions and your subjective experience before opening the controlled rationales. This helps distinguish content gaps from pacing, fatigue, confidence, or question-reading errors.</w:t>
      </w:r>
    </w:p>
    <w:p>
      <w:r>
        <w:t>Date completed: ______________________________________________________________________</w:t>
      </w:r>
    </w:p>
    <w:p>
      <w:r>
        <w:t>Total testing time: ______________________________________________________________________</w:t>
      </w:r>
    </w:p>
    <w:p>
      <w:r>
        <w:t>Break duration: ______________________________________________________________________</w:t>
      </w:r>
    </w:p>
    <w:p>
      <w:r>
        <w:t>Unanswered items: ______________________________________________________________________</w:t>
      </w:r>
    </w:p>
    <w:p>
      <w:r>
        <w:t>Cases with the lowest confidence: ______________________________________________________________________</w:t>
      </w:r>
    </w:p>
    <w:p>
      <w:r>
        <w:t>Most common distractor pattern noticed: ______________________________________________________________________</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OFFICIAL-SOURCE REMINDER</w:t>
            </w:r>
          </w:p>
        </w:tc>
      </w:tr>
    </w:tbl>
    <w:p>
      <w:r>
        <w:t>Candidates remain responsible for reviewing the current NBCC NCMHCE candidate materials and any applicable California BBS LPCC examination requirements before scheduling or testing.</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B7280"/>
        <w:sz w:val="16"/>
      </w:rPr>
      <w:t xml:space="preserve">Clinical Training &amp; Supervision Academy | LPCC NCMHCE Exam Preparation | </w:t>
    </w:r>
    <w:r>
      <w:rPr>
        <w:rFonts w:ascii="Noto Sans" w:hAnsi="Noto Sans"/>
        <w:color w:val="6B72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Noto Sans" w:hAnsi="Noto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AA6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Noto Sans" w:hAnsi="Noto San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Form B - 143-Question Candidate Examination v2.0 Production Master</dc:title>
  <dc:subject>CTA-approved production master; external SME/ethics release gate pending</dc:subject>
  <dc:creator>python-docx</dc:creator>
  <cp:keywords>CTA, LPCC, NCMHCE, Form B, production master, exam preparation</cp:keywords>
  <dc:description>generated by python-docx</dc:description>
  <cp:lastModifiedBy/>
  <cp:revision>1</cp:revision>
  <dcterms:created xsi:type="dcterms:W3CDTF">2013-12-23T23:15:00Z</dcterms:created>
  <dcterms:modified xsi:type="dcterms:W3CDTF">2013-12-23T23:15:00Z</dcterms:modified>
  <cp:category/>
</cp:coreProperties>
</file>