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Horizont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8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jc w:val="center"/>
      </w:pPr>
      <w:r>
        <w:rPr>
          <w:rFonts w:ascii="Montserrat" w:hAnsi="Montserrat" w:eastAsia="Montserrat"/>
          <w:b/>
          <w:color w:val="15264A"/>
          <w:sz w:val="50"/>
        </w:rPr>
        <w:t>CTA EXAM PREPARATION PROGRAM CONSISTENCY CHECKLIST</w:t>
      </w:r>
    </w:p>
    <w:p>
      <w:pPr>
        <w:spacing w:after="480"/>
        <w:jc w:val="center"/>
      </w:pPr>
      <w:r>
        <w:rPr>
          <w:rFonts w:ascii="Montserrat" w:hAnsi="Montserrat" w:eastAsia="Montserrat"/>
          <w:color w:val="0FA9A3"/>
          <w:sz w:val="26"/>
        </w:rPr>
        <w:t>Required Quality-Control Checklist for Every Exam Preparation Program</w:t>
      </w:r>
    </w:p>
    <w:p>
      <w:pPr>
        <w:jc w:val="center"/>
      </w:pPr>
      <w:r>
        <w:rPr>
          <w:rFonts w:ascii="Montserrat" w:hAnsi="Montserrat" w:eastAsia="Montserrat"/>
          <w:b/>
          <w:color w:val="1F2633"/>
          <w:sz w:val="22"/>
        </w:rPr>
        <w:t>Version 1.0</w:t>
      </w:r>
      <w:r>
        <w:rPr>
          <w:rFonts w:ascii="Montserrat" w:hAnsi="Montserrat" w:eastAsia="Montserrat"/>
          <w:b w:val="0"/>
          <w:color w:val="1F2633"/>
          <w:sz w:val="22"/>
        </w:rPr>
        <w:br/>
        <w:t>Clinical Training &amp; Supervision Academy</w:t>
      </w:r>
      <w:r>
        <w:rPr>
          <w:rFonts w:ascii="Montserrat" w:hAnsi="Montserrat" w:eastAsia="Montserrat"/>
          <w:b w:val="0"/>
          <w:color w:val="1F2633"/>
          <w:sz w:val="22"/>
        </w:rPr>
        <w:br/>
        <w:t>July 2026</w:t>
      </w:r>
    </w:p>
    <w:p/>
    <w:p>
      <w:pPr>
        <w:pStyle w:val="CTAClassification"/>
        <w:jc w:val="center"/>
      </w:pPr>
      <w:r>
        <w:t>OPERATIONS LIBRARY GOVERNANCE</w:t>
      </w:r>
    </w:p>
    <w:p>
      <w:pPr>
        <w:jc w:val="center"/>
      </w:pPr>
      <w:r>
        <w:rPr>
          <w:rFonts w:ascii="Montserrat" w:hAnsi="Montserrat"/>
          <w:i/>
          <w:color w:val="687386"/>
          <w:sz w:val="21"/>
        </w:rPr>
        <w:t>Educating Clinicians. Strengthening Practice.</w:t>
      </w:r>
    </w:p>
    <w:p>
      <w:r>
        <w:br w:type="page"/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7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color w:val="15264A"/>
                <w:sz w:val="21"/>
              </w:rPr>
              <w:t>HOW TO USE THIS CHECKLIST</w:t>
              <w:br/>
            </w:r>
            <w:r>
              <w:rPr>
                <w:rFonts w:ascii="Montserrat" w:hAnsi="Montserrat"/>
                <w:color w:val="1F2633"/>
                <w:sz w:val="19"/>
              </w:rPr>
              <w:t>Complete one copy for each standalone Exam Preparation Program and each Complete Licensure Success Package before release and after every major revision. Keep the completed checklist in the program 00_Admin folder. Use this checklist with the CTA Operations Library, the approved program blueprint, the current Master Course Catalog, and the current Master Pricing, Subscription &amp; Bundle Catalog. Mark an item Not Applicable only when the reason is documented in Final Comments.</w:t>
            </w:r>
          </w:p>
        </w:tc>
      </w:tr>
    </w:tbl>
    <w:p/>
    <w:p>
      <w:pPr>
        <w:pStyle w:val="Heading1"/>
        <w:keepNext/>
      </w:pPr>
      <w:r>
        <w:t>Program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776"/>
      </w:tblGrid>
      <w:tr>
        <w:trPr>
          <w:tblHeader w:val="true"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264A"/>
          </w:tcPr>
          <w:p>
            <w:pPr>
              <w:spacing w:after="0" w:before="0"/>
            </w:pPr>
            <w:r>
              <w:rPr>
                <w:rFonts w:ascii="Montserrat" w:hAnsi="Montserrat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264A"/>
          </w:tcPr>
          <w:p>
            <w:pPr>
              <w:spacing w:after="0" w:before="0"/>
            </w:pPr>
            <w:r>
              <w:rPr>
                <w:rFonts w:ascii="Montserrat" w:hAnsi="Montserrat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Program Title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Program Code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Program Type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☐ Law &amp; Ethics   ☐ LMFT Clinical   ☐ LCSW Clinical   ☐ LPCC Clinical   ☐ Complete Licensure Success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Profession / Examination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Program Status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☐ Draft   ☐ Under Review   ☐ Completed   ☐ Approved for Release   ☐ Archived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Access Period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Launch / Current Price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Date Reviewed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Reviewed By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</w:tbl>
    <w:p/>
    <w:p>
      <w:pPr>
        <w:pStyle w:val="Heading1"/>
        <w:keepNext/>
      </w:pPr>
      <w:r>
        <w:t>1. Program Identity, Classification, and Release Status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Exact program title is consistent across the approved blueprint, workbooks, LMS, checkout, catalogs, website, and marketing materials.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eligible candidate population and the correct licensing examination are identified accurately.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is clearly classified as Exam Preparation and states that it provides no continuing education credit or CE certificate.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Program status is accurate: Launch Program, Completed Program, In Development, Approved for Release, or Archived.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 program marked In Development is not displayed or sold as currently available.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access period, launch/current price, included materials, and support level match the approved offer.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states that it supports readiness but does not guarantee passage or determine examination eligibility.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does not imply affiliation with or endorsement by BBS, Pearson VUE, ASWB, NBCC, CCE, or another examination administrator.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Version number, review date, and source-review date are documented.</w:t>
      </w:r>
    </w:p>
    <w:p>
      <w:pPr>
        <w:pStyle w:val="Heading1"/>
        <w:keepNext/>
      </w:pPr>
      <w:r>
        <w:t>2. Curriculum Architecture and Scope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An approved program blueprint or curriculum map identifies every workbook, domain, module, assessment, simulation, and study tool.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curriculum follows the CTA learning process: preview, learn, apply, analyze rationales, remediate, and revisit difficult concepts.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Content is sequenced from foundational knowledge to applied clinical, legal, ethical, and examination reasoning.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Every workbook or domain has a defined purpose and contributes meaningfully to the full program.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covers all content areas promised in the current Master Course Catalog and customer-facing description.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curriculum reflects the profession-specific reasoning lens of the examination rather than using one generic clinical curriculum.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Unnecessary repetition, conflicting rules, and duplicate instruction have been removed.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Program components function as one coordinated study system rather than a collection of unrelated files.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can be completed asynchronously through online lessons, printable materials, or a hybrid study approach.</w:t>
      </w:r>
    </w:p>
    <w:p>
      <w:pPr>
        <w:pStyle w:val="Heading1"/>
        <w:keepNext/>
      </w:pPr>
      <w:r>
        <w:t>3. Workbook and Domain Consistency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Workbook/domain titles, numbers, and order match the approved curriculum map.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Each workbook/domain includes clear instructions and measurable learning objectives.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Each learning objective is taught in the workbook/domain and reinforced through practice questions or applied activities.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Each workbook/domain uses a consistent instructional structure appropriate to the program, including key concepts, clinical applications, exam traps, strategy guidance, memory aids, summary, and practice.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Headings, terminology, visual cues, CTA Exam Tips, Common Traps, Remember boxes, and other recurring features are used consistently.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editable CTA master file and learner-facing print-optimized PDF are both current and correctly versioned.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Learner materials do not reveal answers or rationales before the approved review point.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Citations, source notes, copyright language, disclaimers, page numbers, and footers are complete.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Tables, charts, worksheets, and quick-reference elements are readable in print and on screen.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Profession-specific clinical programs contain the approved twelve-workbook structure; Law &amp; Ethics uses its approved domain/chapter structure.</w:t>
      </w:r>
    </w:p>
    <w:p>
      <w:pPr>
        <w:pStyle w:val="Heading1"/>
        <w:keepNext/>
      </w:pPr>
      <w:r>
        <w:t>4. Digital Workbook and LMS Structure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Each workbook is represented by a clearly labeled LMS module or equivalent digital learning unit.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LMS module includes an introduction, objectives, manageable reading/lesson sections, practice, rationales, download access, and completion tracking as applicable.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digital experience is more than a single embedded PDF and remains usable on phones, tablets, and desktop computers.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Standard PDF and fillable PDF options are included when approved for that workbook.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Downloadable materials preserve CTA branding, pagination, and layout.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Interactive worksheets or written-response fields save and report as intended, or their limitations are clearly disclosed.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Learner progress is saved accurately and resumes at the correct location.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Protected downloads are available only to properly enrolled learners during the approved access period.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does not generate CE hours or a CE certificate.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is excluded from CE-only memberships unless an approved bundle specifically includes it.</w:t>
      </w:r>
    </w:p>
    <w:p>
      <w:pPr>
        <w:pStyle w:val="Heading1"/>
        <w:keepNext/>
      </w:pPr>
      <w:r>
        <w:t>5. Practice Question Banks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Every question has a unique question ID and is assigned to the correct workbook/domain and primary concept.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Every question tests a clearly identifiable concept taught in the program.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Every question has one best answer and avoids multiple defensible answers, vague qualifiers, trivia, and trick wording.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Questions use profession-appropriate language and reflect the reasoning style of the examination being prepared for.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Question sets include an appropriate mix of knowledge, application, scenario-based reasoning, sequencing, and integrated clinical reasoning.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Qualifiers such as FIRST, NEXT, BEST, MOST, INITIAL, and PRIMARY are used deliberately and consistently.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Correct answers are not patterned by letter, length, grammar, or position.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Duplicate, near-duplicate, and overlapping questions have been identified and corrected.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Question banks map proportionally to workbook/domain objectives and major content areas.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Profession-specific clinical programs contain one approved 17-question bank per workbook unless a newer approved specification controls.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Question inventory, answer key, and version-control records are complete.</w:t>
      </w:r>
    </w:p>
    <w:p>
      <w:pPr>
        <w:pStyle w:val="Heading1"/>
        <w:keepNext/>
      </w:pPr>
      <w:r>
        <w:t>6. Rationales, Feedback, and Remediation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Every practice question identifies the correct answer.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rationale explains why the best answer is correct in the context of the question.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Every incorrect option includes an explanation of why it is weaker, premature, unsupported, excessive, mistimed, or inconsistent with the profession being tested.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Exam-strategy guidance identifies important qualifiers, sequencing clues, or distractor patterns when appropriate.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Rationales reinforce the governing clinical, legal, ethical, or professional principle rather than merely repeating the answer.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Rationales do not introduce rules or facts that conflict with the workbook, current law, or official examination guidance.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Remediation guidance directs learners to the relevant workbook, concept, quick-reference tool, or error-log category.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Answer and rationale release timing matches the approved learning design.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Spelling, terminology, citations, and professional titles are consistent across all rationales.</w:t>
      </w:r>
    </w:p>
    <w:p>
      <w:pPr>
        <w:pStyle w:val="Heading1"/>
        <w:keepNext/>
      </w:pPr>
      <w:r>
        <w:t>7. Simulations and Readiness Assessments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Every simulation form has a unique version identifier and approved question inventory.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Form A and Form B are meaningfully distinct and do not contain excessive overlap.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Simulation content is mixed across domains and reflects the approved examination blueprint or current official content outline.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LMFT clinical simulations contain the approved 150 questions per form.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LCSW clinical simulations contain the approved 122 questions per form.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LPCC simulations and mini-cases follow the current approved NCMHCE structure and transition plan.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Law &amp; Ethics simulations follow the current approved profession-specific blueprint and candidate guidance.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Scoring, completion, answer review, rationale release, and retake settings operate as designed.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Results identify strengths, weaknesses, and recommended remediation without presenting the score as a guarantee of passage.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Simulation instructions clearly distinguish CTA practice conditions from the official examination experience.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All forms have been completed end-to-end in the learner view before release.</w:t>
      </w:r>
    </w:p>
    <w:p>
      <w:pPr>
        <w:pStyle w:val="Heading1"/>
        <w:keepNext/>
      </w:pPr>
      <w:r>
        <w:t>8. Study Tools, Multimedia, and Learning Supports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Quick-reference sheets, flashcards, audio review, video lessons, study schedules, progress trackers, readiness assessments, and error-log tools match the current curriculum.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Study schedules are internally consistent and include the approved 10-, 14-, and 18-week pathways when promised.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Flashcards and quick-reference tools use the same terminology and rules as the workbooks and rationales.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Audio and video content matches the current version of the written materials.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All media files play correctly, include clear titles, and are assigned to the correct workbook or topic.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Transcripts, captions, or equivalent accessibility supports are included where required by CTA standards.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Progress and readiness tools help learners identify weak areas and create a targeted study plan.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Error-log and remediation tools support repeated review without encouraging memorization of answer choices.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Essential instruction, rationales, and readiness simulations remain in the standalone program; premium packages add breadth, practice volume, access, or support rather than withholding core teaching.</w:t>
      </w:r>
    </w:p>
    <w:p>
      <w:pPr>
        <w:pStyle w:val="Heading1"/>
        <w:keepNext/>
      </w:pPr>
      <w:r>
        <w:t>9. Program-Specific Accuracy and Currency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current official candidate handbook, examination content outline, and testing-administrator guidance have been reviewed.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California legal and ethical content is checked against current primary legal/regulatory sources and BBS guidance.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LMFT content consistently applies relational, systemic, treatment-unit, couple, and family reasoning where appropriate.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LCSW content consistently applies person-in-environment, self-determination, social-work values, systems, advocacy, and resource considerations where appropriate.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LPCC content consistently applies counseling professional identity, counseling theories, case conceptualization, and the current NCMHCE case-study format.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Law &amp; Ethics content distinguishes profession-specific rules where LMFT, LCSW, or LPCC standards differ.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Names of statutes, boards, testing organizations, examinations, professional titles, and acronyms are accurate and current.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High-change legal, ethical, regulatory, and examination-format content has been rechecked before release.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 dated update log identifies the source reviewed, section changed, and nature of each substantive revision.</w:t>
      </w:r>
    </w:p>
    <w:p>
      <w:pPr>
        <w:pStyle w:val="Heading1"/>
        <w:keepNext/>
      </w:pPr>
      <w:r>
        <w:t>10. Access, Enrollment, Security, and Product Rules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Purchase or approved assignment enrolls the learner in the correct program automatically.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approved access period is configured correctly; standalone programs use six-month access unless an approved offer states otherwise.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learner can see the access-expiration date.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Administrator extensions preserve the learner’s progress, scores, and completed activities.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Expired learners lose protected access according to the approved product terms.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Workbooks, questions, simulations, and downloads are restricted to enrolled purchasers and are not publicly exposed.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Personal-use download and printing rights are stated clearly, along with restrictions on sharing, resale, public posting, and commercial reproduction.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Program access, support, updates, and extensions match what was promised at purchase.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Refund and cancellation language is consistent with the approved Refund Policy and checkout disclosures.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No CE hours, CE evaluation, or CE certificate is attached to an Exam Preparation Program.</w:t>
      </w:r>
    </w:p>
    <w:p>
      <w:pPr>
        <w:pStyle w:val="Heading1"/>
        <w:keepNext/>
      </w:pPr>
      <w:r>
        <w:t>11. Website, Catalog, Pricing, and Offer Synchronization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Program title, examination name, profession, status, price, access period, and included materials are correct in the LMS and checkout.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Master Course Catalog reflects the current program description, components, status, and no-CE classification.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Master Pricing, Subscription &amp; Bundle Catalog reflects the current launch/current price and package inclusions.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Customer-facing materials use Launch Price and Current Price where appropriate and do not expose internal labels such as Version 1 or Version 2.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California Law &amp; Ethics Exam Preparation is listed at the approved current price.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LMFT, LCSW, and LPCC Clinical Exam Preparation Programs are listed at the approved current price when released.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Complete Licensure Success Packages include the correct Law &amp; Ethics program, matching clinical program, added tools, access, support, and CE benefits.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 program is not advertised as available until release review is complete.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Website copy, comparison tables, FAQs, images, buttons, and checkout descriptions match the approved offer.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Future price changes preserve the access and materials promised to existing purchasers.</w:t>
      </w:r>
    </w:p>
    <w:p>
      <w:pPr>
        <w:pStyle w:val="Heading1"/>
        <w:keepNext/>
      </w:pPr>
      <w:r>
        <w:t>12. Intellectual Property, Notices, and Ethical Marketing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All CTA-created questions, explanations, workbooks, graphics, audio, and video are identified as CTA intellectual property.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No live, recalled, copied, or unauthorized licensing-examination questions are included.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External sources and official materials are cited and used within permitted boundaries.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Required copyright, personal-use, and anti-sharing language appears in learner materials.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notice states that CTA is an independent educational resource and is not affiliated with or endorsed by relevant boards or testing organizations.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states that participation does not guarantee examination passage.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Marketing does not claim that CTA determines examination eligibility, licensure, certification, or employment outcomes.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Testimonials and pass stories, when used, are accurate, permissioned, and not presented as typical or guaranteed results.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Support promises, response times, updates, and bonuses are defined and can be delivered as advertised.</w:t>
      </w:r>
    </w:p>
    <w:p>
      <w:pPr>
        <w:pStyle w:val="Heading1"/>
        <w:keepNext/>
      </w:pPr>
      <w:r>
        <w:t>13. Technical Quality and Learner Experience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Purchase, enrollment, login, dashboard, progress, downloads, quizzes, simulations, expiration, and extension flows have been tested.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Desktop, tablet, and mobile views are readable and functional.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No clipping, broken tables, missing pages, unreadable text, missing glyphs, or misplaced answer content remains.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All links, buttons, downloads, audio, video, worksheets, question banks, and simulations open correctly.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Scores, progress indicators, completion states, and resume behavior update accurately.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Answer review and rationales appear only at the approved point in the learning flow.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Support contact information and technical-help instructions are visible and current.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Placeholder text, test prices, sample learner data, blank images, and development notes are removed before release.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final program folder contains approved current files and a clearly labeled archive of superseded materials.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 backup of the approved release package has been created.</w:t>
      </w:r>
    </w:p>
    <w:p>
      <w:pPr>
        <w:pStyle w:val="Heading1"/>
        <w:keepNext/>
      </w:pPr>
      <w:r>
        <w:t>14. Final Quality and Approval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follows the CTA Operations Library Exam Preparation Program Standards.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All promised workbooks, banks, rationales, simulations, study tools, media, and learner resources are complete or accurately labeled as future additions.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All program-specific counts and structures have been verified.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is internally consistent across content, questions, rationales, study tools, and simulations.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program is synchronized across the LMS, Master Course Catalog, Master Pricing Catalog, website, checkout, and marketing materials.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All required corrections from prior reviews have been completed.</w:t>
      </w:r>
    </w:p>
    <w:p>
      <w:pPr>
        <w:keepLines/>
        <w:spacing w:after="60"/>
      </w:pPr>
      <w:r>
        <w:rPr>
          <w:rFonts w:ascii="Montserrat" w:hAnsi="Montserrat"/>
          <w:sz w:val="21"/>
        </w:rPr>
        <w:t>☐ The final approver has reviewed the complete learner-facing and administrator-facing package.</w:t>
      </w:r>
    </w:p>
    <w:p>
      <w:pPr>
        <w:pStyle w:val="Heading1"/>
        <w:keepNext/>
      </w:pPr>
      <w:r>
        <w:t>Program-Specific Structural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7560"/>
        <w:gridCol w:w="1296"/>
      </w:tblGrid>
      <w:tr>
        <w:trPr>
          <w:tblHeader w:val="true"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264A"/>
          </w:tcPr>
          <w:p>
            <w:pPr>
              <w:spacing w:after="0" w:before="0"/>
            </w:pPr>
            <w:r>
              <w:rPr>
                <w:rFonts w:ascii="Montserrat" w:hAnsi="Montserrat"/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264A"/>
          </w:tcPr>
          <w:p>
            <w:pPr>
              <w:spacing w:after="0" w:before="0"/>
            </w:pPr>
            <w:r>
              <w:rPr>
                <w:rFonts w:ascii="Montserrat" w:hAnsi="Montserrat"/>
                <w:b/>
                <w:color w:val="FFFFFF"/>
                <w:sz w:val="19"/>
              </w:rPr>
              <w:t>Required Structural Check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264A"/>
          </w:tcPr>
          <w:p>
            <w:pPr>
              <w:spacing w:after="0" w:before="0"/>
            </w:pPr>
            <w:r>
              <w:rPr>
                <w:rFonts w:ascii="Montserrat" w:hAnsi="Montserrat"/>
                <w:b/>
                <w:color w:val="FFFFFF"/>
                <w:sz w:val="19"/>
              </w:rPr>
              <w:t>Verified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California Law &amp; Ethics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Approved profession-specific curriculum; California legal/ethical content; original practice; detailed rationales; quick-reference tools; flashcards; progress/remediation; full-length simulations.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☐ Yes   ☐ N/A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LMFT Clinical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12 workbooks; 12 paired 17-question banks; full rationales; profession-specific multimedia; quick references; flashcards; audio; 10/14/18-week schedules; progress/readiness tools; two 150-question simulation forms.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☐ Yes   ☐ N/A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LCSW Clinical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12 workbooks; 12 paired 17-question banks; full rationales; profession-specific multimedia; quick references; flashcards; audio; 10/14/18-week schedules; progress/readiness tools; two 122-question simulation forms.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☐ Yes   ☐ N/A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LPCC Clinical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12 planned workbooks; 12 paired 17-question banks with NCMHCE-style mini-cases; full rationales; multimedia; quick references; flashcards; audio; progress/readiness tools; Forms A and B aligned to current NCMHCE specifications.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☐ Yes   ☐ N/A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Complete Licensure Success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Complete Law &amp; Ethics program plus the matching clinical program; expanded flashcard/audio libraries; bonus simulations and difficult-question sets; final-week review; remediation planning; defined priority support; extended access; eligible CE discount.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☐ Yes   ☐ N/A</w:t>
            </w:r>
          </w:p>
        </w:tc>
      </w:tr>
    </w:tbl>
    <w:p>
      <w:pPr>
        <w:pStyle w:val="Heading1"/>
        <w:keepNext/>
        <w:pageBreakBefore/>
      </w:pPr>
      <w:r>
        <w:t>Final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7632"/>
      </w:tblGrid>
      <w:tr>
        <w:trPr>
          <w:tblHeader w:val="true"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264A"/>
          </w:tcPr>
          <w:p>
            <w:pPr>
              <w:spacing w:after="0" w:before="0"/>
            </w:pPr>
            <w:r>
              <w:rPr>
                <w:rFonts w:ascii="Montserrat" w:hAnsi="Montserrat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264A"/>
          </w:tcPr>
          <w:p>
            <w:pPr>
              <w:spacing w:after="0" w:before="0"/>
            </w:pPr>
            <w:r>
              <w:rPr>
                <w:rFonts w:ascii="Montserrat" w:hAnsi="Montserrat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Program Status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☐ Draft   ☐ Under Review   ☐ Approved for Release   ☐ Archived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Approved By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Approval Date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Version Number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Required Corrections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  <w:r>
              <w:br/>
              <w:br/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  <w:t>Final Comments / Not Applicable Explanations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 w:before="0"/>
            </w:pPr>
            <w:r>
              <w:rPr>
                <w:rFonts w:ascii="Montserrat" w:hAnsi="Montserrat"/>
                <w:sz w:val="19"/>
              </w:rPr>
            </w:r>
            <w:r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36" w:left="1152" w:header="36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208"/>
      <w:gridCol w:w="1584"/>
    </w:tblGrid>
    <w:tr>
      <w:tc>
        <w:tcPr>
          <w:tcW w:type="dxa" w:w="4896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r>
            <w:rPr>
              <w:rFonts w:ascii="Montserrat" w:hAnsi="Montserrat"/>
            </w:rPr>
            <w:t>CTA Exam Preparation Program Consistency Checklist | Clinical Training &amp; Supervision Academy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Montserrat" w:hAnsi="Montserrat"/>
              <w:color w:val="687386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0FA9A3"/>
      </w:pBdr>
    </w:pPr>
    <w:r>
      <w:drawing>
        <wp:inline xmlns:a="http://schemas.openxmlformats.org/drawingml/2006/main" xmlns:pic="http://schemas.openxmlformats.org/drawingml/2006/picture">
          <wp:extent cx="2057400" cy="46483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TA_Horizonta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46483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ontserrat" w:hAnsi="Montserrat" w:eastAsia="Montserrat"/>
      <w:color w:val="1F26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526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0FA9A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526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52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Classification">
    <w:name w:val="CTA Classification"/>
    <w:pPr>
      <w:spacing w:after="140"/>
    </w:pPr>
    <w:rPr>
      <w:rFonts w:ascii="Montserrat" w:hAnsi="Montserrat" w:eastAsia="Montserrat"/>
      <w:b/>
      <w:color w:val="0FA9A3"/>
      <w:sz w:val="18"/>
    </w:rPr>
  </w:style>
  <w:style w:type="paragraph" w:customStyle="1" w:styleId="CTACallout">
    <w:name w:val="CTA Callout"/>
    <w:pPr>
      <w:spacing w:before="80" w:after="80"/>
      <w:ind w:left="259" w:right="259"/>
    </w:pPr>
    <w:rPr>
      <w:rFonts w:ascii="Montserrat" w:hAnsi="Montserrat" w:eastAsia="Montserrat"/>
      <w:b/>
      <w:color w:val="15264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Exam Preparation Program Consistency Checklist</dc:title>
  <dc:subject>Quality-control checklist for CTA Exam Preparation Programs</dc:subject>
  <dc:creator>Clinical Training &amp; Supervision Academy</dc:creator>
  <cp:keywords>CTA, exam preparation, consistency checklist, quality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