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drawing>
          <wp:inline xmlns:a="http://schemas.openxmlformats.org/drawingml/2006/main" xmlns:pic="http://schemas.openxmlformats.org/drawingml/2006/picture">
            <wp:extent cx="4206240" cy="1063931"/>
            <wp:docPr id="1" name="Picture 1" descr="Clinical Training and Supervision Academy horizontal logo" title="CTA horizontal logo"/>
            <wp:cNvGraphicFramePr>
              <a:graphicFrameLocks noChangeAspect="1"/>
            </wp:cNvGraphicFramePr>
            <a:graphic>
              <a:graphicData uri="http://schemas.openxmlformats.org/drawingml/2006/picture">
                <pic:pic>
                  <pic:nvPicPr>
                    <pic:cNvPr id="0" name="stage8_logo_cropped.png"/>
                    <pic:cNvPicPr/>
                  </pic:nvPicPr>
                  <pic:blipFill>
                    <a:blip r:embed="rId11"/>
                    <a:stretch>
                      <a:fillRect/>
                    </a:stretch>
                  </pic:blipFill>
                  <pic:spPr>
                    <a:xfrm>
                      <a:off x="0" y="0"/>
                      <a:ext cx="4206240" cy="1063931"/>
                    </a:xfrm>
                    <a:prstGeom prst="rect"/>
                  </pic:spPr>
                </pic:pic>
              </a:graphicData>
            </a:graphic>
          </wp:inline>
        </w:drawing>
      </w:r>
    </w:p>
    <w:p>
      <w:pPr>
        <w:keepNext w:val="0"/>
        <w:spacing w:before="0" w:after="40" w:line="278" w:lineRule="auto"/>
      </w:pPr>
      <w:r>
        <w:rPr>
          <w:rFonts w:ascii="Montserrat" w:hAnsi="Montserrat"/>
          <w:b/>
          <w:i w:val="0"/>
          <w:color w:val="13A89E"/>
          <w:sz w:val="22"/>
        </w:rPr>
        <w:t>PUBLIC OFFER AND LEARNER EXPERIENCE COPY</w:t>
      </w:r>
    </w:p>
    <w:p>
      <w:pPr>
        <w:keepNext w:val="0"/>
        <w:spacing w:before="0" w:after="100" w:line="278" w:lineRule="auto"/>
      </w:pPr>
      <w:r>
        <w:rPr>
          <w:rFonts w:ascii="Montserrat" w:hAnsi="Montserrat"/>
          <w:b/>
          <w:i w:val="0"/>
          <w:color w:val="0B2545"/>
          <w:sz w:val="42"/>
        </w:rPr>
        <w:t>Website, Catalog, Checkout, FAQ, and LMS Copy Package</w:t>
      </w:r>
    </w:p>
    <w:p>
      <w:pPr>
        <w:keepNext w:val="0"/>
        <w:spacing w:before="0" w:after="280" w:line="278" w:lineRule="auto"/>
      </w:pPr>
      <w:r>
        <w:rPr>
          <w:rFonts w:ascii="Montserrat" w:hAnsi="Montserrat"/>
          <w:b/>
          <w:i w:val="0"/>
          <w:color w:val="0B2545"/>
          <w:sz w:val="28"/>
        </w:rPr>
        <w:t>CTA LMFT California Law &amp; Ethics Exam Preparation Program</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6660"/>
      </w:tblGrid>
      <w:tr>
        <w:trPr>
          <w:tblHeader w:val="true"/>
          <w:cantSplit w:val="true"/>
        </w:trPr>
        <w:tc>
          <w:tcPr>
            <w:tcW w:type="dxa" w:w="27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Control Field</w:t>
            </w:r>
          </w:p>
        </w:tc>
        <w:tc>
          <w:tcPr>
            <w:tcW w:type="dxa" w:w="66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Entry</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Program</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CTA LMFT California Law &amp; Ethics Exam Preparation Program</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Program code</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CTA-EP-001</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Version / date</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v1.1 | August 3, 2026</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Offer</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$199 launch price | Six months of access</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Classification</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Exam preparation only | No CE credit or CE certificate</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Current status</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INTERNAL FINAL COPY - NOT YET AUTHORIZED FOR PUBLIC USE</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Final approver</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Candice Fuimaono / CTA</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tblHeader w:val="true"/>
        </w:trPr>
        <w:tc>
          <w:tcPr>
            <w:tcW w:type="dxa" w:w="9360"/>
            <w:vAlign w:val="center"/>
            <w:tcMar>
              <w:top w:w="100" w:type="dxa"/>
              <w:start w:w="120" w:type="dxa"/>
              <w:bottom w:w="100" w:type="dxa"/>
              <w:end w:w="120" w:type="dxa"/>
            </w:tcMar>
            <w:shd w:fill="FDECEC"/>
          </w:tcPr>
          <w:p>
            <w:pPr>
              <w:spacing w:after="0"/>
            </w:pPr>
            <w:r>
              <w:rPr>
                <w:rFonts w:ascii="Montserrat" w:hAnsi="Montserrat"/>
                <w:b/>
                <w:color w:val="9B1C1C"/>
                <w:sz w:val="21"/>
              </w:rPr>
              <w:t xml:space="preserve">INTERNAL CONTROL  </w:t>
            </w:r>
            <w:r>
              <w:rPr>
                <w:rFonts w:ascii="Montserrat" w:hAnsi="Montserrat"/>
                <w:color w:val="9B1C1C"/>
                <w:sz w:val="21"/>
              </w:rPr>
              <w:t>Nothing in this document authorizes public sale or delivery to David. Public activation remains blocked until final copy approval, private staging, evidence completion, defect closure, rollback verification, and Candice's written release approval.</w:t>
            </w:r>
          </w:p>
        </w:tc>
      </w:tr>
    </w:tbl>
    <w:p>
      <w:pPr>
        <w:spacing w:after="20"/>
      </w:pPr>
    </w:p>
    <w:p>
      <w:r>
        <w:br w:type="page"/>
      </w:r>
    </w:p>
    <w:p>
      <w:pPr>
        <w:pStyle w:val="Heading1"/>
        <w:keepNext/>
      </w:pPr>
      <w:r>
        <w:t>1. Controlling Product Identity</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50"/>
        <w:gridCol w:w="7010"/>
      </w:tblGrid>
      <w:tr>
        <w:trPr>
          <w:tblHeader w:val="true"/>
          <w:cantSplit w:val="true"/>
        </w:trPr>
        <w:tc>
          <w:tcPr>
            <w:tcW w:type="dxa" w:w="235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Element</w:t>
            </w:r>
          </w:p>
        </w:tc>
        <w:tc>
          <w:tcPr>
            <w:tcW w:type="dxa" w:w="701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Controlling Public Value</w:t>
            </w:r>
          </w:p>
        </w:tc>
      </w:tr>
      <w:tr>
        <w:trPr>
          <w:cantSplit w:val="true"/>
        </w:trPr>
        <w:tc>
          <w:tcPr>
            <w:tcW w:type="dxa" w:w="2350"/>
            <w:vAlign w:val="center"/>
            <w:tcMar>
              <w:top w:w="100" w:type="dxa"/>
              <w:start w:w="120" w:type="dxa"/>
              <w:bottom w:w="100" w:type="dxa"/>
              <w:end w:w="120" w:type="dxa"/>
            </w:tcMar>
          </w:tcPr>
          <w:p>
            <w:pPr>
              <w:spacing w:after="0" w:line="252" w:lineRule="auto"/>
            </w:pPr>
            <w:r/>
            <w:r>
              <w:rPr>
                <w:rFonts w:ascii="Montserrat" w:hAnsi="Montserrat"/>
                <w:b/>
                <w:color w:val="0B2545"/>
                <w:sz w:val="19"/>
              </w:rPr>
              <w:t>Exact title</w:t>
            </w:r>
          </w:p>
        </w:tc>
        <w:tc>
          <w:tcPr>
            <w:tcW w:type="dxa" w:w="7010"/>
            <w:vAlign w:val="center"/>
            <w:tcMar>
              <w:top w:w="100" w:type="dxa"/>
              <w:start w:w="120" w:type="dxa"/>
              <w:bottom w:w="100" w:type="dxa"/>
              <w:end w:w="120" w:type="dxa"/>
            </w:tcMar>
          </w:tcPr>
          <w:p>
            <w:pPr>
              <w:spacing w:after="0" w:line="252" w:lineRule="auto"/>
            </w:pPr>
            <w:r/>
            <w:r>
              <w:rPr>
                <w:rFonts w:ascii="Montserrat" w:hAnsi="Montserrat"/>
                <w:color w:val="0B2545"/>
                <w:sz w:val="19"/>
              </w:rPr>
              <w:t>CTA LMFT California Law &amp; Ethics Exam Preparation Program</w:t>
            </w:r>
          </w:p>
        </w:tc>
      </w:tr>
      <w:tr>
        <w:trPr>
          <w:cantSplit w:val="true"/>
        </w:trPr>
        <w:tc>
          <w:tcPr>
            <w:tcW w:type="dxa" w:w="235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Audience</w:t>
            </w:r>
          </w:p>
        </w:tc>
        <w:tc>
          <w:tcPr>
            <w:tcW w:type="dxa" w:w="701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AMFTs and other eligible California LMFT Law and Ethics Examination candidates</w:t>
            </w:r>
          </w:p>
        </w:tc>
      </w:tr>
      <w:tr>
        <w:trPr>
          <w:cantSplit w:val="true"/>
        </w:trPr>
        <w:tc>
          <w:tcPr>
            <w:tcW w:type="dxa" w:w="2350"/>
            <w:vAlign w:val="center"/>
            <w:tcMar>
              <w:top w:w="100" w:type="dxa"/>
              <w:start w:w="120" w:type="dxa"/>
              <w:bottom w:w="100" w:type="dxa"/>
              <w:end w:w="120" w:type="dxa"/>
            </w:tcMar>
          </w:tcPr>
          <w:p>
            <w:pPr>
              <w:spacing w:after="0" w:line="252" w:lineRule="auto"/>
            </w:pPr>
            <w:r/>
            <w:r>
              <w:rPr>
                <w:rFonts w:ascii="Montserrat" w:hAnsi="Montserrat"/>
                <w:b/>
                <w:color w:val="0B2545"/>
                <w:sz w:val="19"/>
              </w:rPr>
              <w:t>Method</w:t>
            </w:r>
          </w:p>
        </w:tc>
        <w:tc>
          <w:tcPr>
            <w:tcW w:type="dxa" w:w="7010"/>
            <w:vAlign w:val="center"/>
            <w:tcMar>
              <w:top w:w="100" w:type="dxa"/>
              <w:start w:w="120" w:type="dxa"/>
              <w:bottom w:w="100" w:type="dxa"/>
              <w:end w:w="120" w:type="dxa"/>
            </w:tcMar>
          </w:tcPr>
          <w:p>
            <w:pPr>
              <w:spacing w:after="0" w:line="252" w:lineRule="auto"/>
            </w:pPr>
            <w:r/>
            <w:r>
              <w:rPr>
                <w:rFonts w:ascii="Montserrat" w:hAnsi="Montserrat"/>
                <w:color w:val="0B2545"/>
                <w:sz w:val="19"/>
              </w:rPr>
              <w:t>Self-paced, asynchronous online exam-preparation program</w:t>
            </w:r>
          </w:p>
        </w:tc>
      </w:tr>
      <w:tr>
        <w:trPr>
          <w:cantSplit w:val="true"/>
        </w:trPr>
        <w:tc>
          <w:tcPr>
            <w:tcW w:type="dxa" w:w="235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Launch price</w:t>
            </w:r>
          </w:p>
        </w:tc>
        <w:tc>
          <w:tcPr>
            <w:tcW w:type="dxa" w:w="701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$199</w:t>
            </w:r>
          </w:p>
        </w:tc>
      </w:tr>
      <w:tr>
        <w:trPr>
          <w:cantSplit w:val="true"/>
        </w:trPr>
        <w:tc>
          <w:tcPr>
            <w:tcW w:type="dxa" w:w="2350"/>
            <w:vAlign w:val="center"/>
            <w:tcMar>
              <w:top w:w="100" w:type="dxa"/>
              <w:start w:w="120" w:type="dxa"/>
              <w:bottom w:w="100" w:type="dxa"/>
              <w:end w:w="120" w:type="dxa"/>
            </w:tcMar>
          </w:tcPr>
          <w:p>
            <w:pPr>
              <w:spacing w:after="0" w:line="252" w:lineRule="auto"/>
            </w:pPr>
            <w:r/>
            <w:r>
              <w:rPr>
                <w:rFonts w:ascii="Montserrat" w:hAnsi="Montserrat"/>
                <w:b/>
                <w:color w:val="0B2545"/>
                <w:sz w:val="19"/>
              </w:rPr>
              <w:t>Access</w:t>
            </w:r>
          </w:p>
        </w:tc>
        <w:tc>
          <w:tcPr>
            <w:tcW w:type="dxa" w:w="7010"/>
            <w:vAlign w:val="center"/>
            <w:tcMar>
              <w:top w:w="100" w:type="dxa"/>
              <w:start w:w="120" w:type="dxa"/>
              <w:bottom w:w="100" w:type="dxa"/>
              <w:end w:w="120" w:type="dxa"/>
            </w:tcMar>
          </w:tcPr>
          <w:p>
            <w:pPr>
              <w:spacing w:after="0" w:line="252" w:lineRule="auto"/>
            </w:pPr>
            <w:r/>
            <w:r>
              <w:rPr>
                <w:rFonts w:ascii="Montserrat" w:hAnsi="Montserrat"/>
                <w:color w:val="0B2545"/>
                <w:sz w:val="19"/>
              </w:rPr>
              <w:t>Six months from enrollment</w:t>
            </w:r>
          </w:p>
        </w:tc>
      </w:tr>
      <w:tr>
        <w:trPr>
          <w:cantSplit w:val="true"/>
        </w:trPr>
        <w:tc>
          <w:tcPr>
            <w:tcW w:type="dxa" w:w="235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CE classification</w:t>
            </w:r>
          </w:p>
        </w:tc>
        <w:tc>
          <w:tcPr>
            <w:tcW w:type="dxa" w:w="701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No continuing education credit; no CE evaluation or CE certificate</w:t>
            </w:r>
          </w:p>
        </w:tc>
      </w:tr>
      <w:tr>
        <w:trPr>
          <w:cantSplit w:val="true"/>
        </w:trPr>
        <w:tc>
          <w:tcPr>
            <w:tcW w:type="dxa" w:w="2350"/>
            <w:vAlign w:val="center"/>
            <w:tcMar>
              <w:top w:w="100" w:type="dxa"/>
              <w:start w:w="120" w:type="dxa"/>
              <w:bottom w:w="100" w:type="dxa"/>
              <w:end w:w="120" w:type="dxa"/>
            </w:tcMar>
          </w:tcPr>
          <w:p>
            <w:pPr>
              <w:spacing w:after="0" w:line="252" w:lineRule="auto"/>
            </w:pPr>
            <w:r/>
            <w:r>
              <w:rPr>
                <w:rFonts w:ascii="Montserrat" w:hAnsi="Montserrat"/>
                <w:b/>
                <w:color w:val="0B2545"/>
                <w:sz w:val="19"/>
              </w:rPr>
              <w:t>Independent status</w:t>
            </w:r>
          </w:p>
        </w:tc>
        <w:tc>
          <w:tcPr>
            <w:tcW w:type="dxa" w:w="7010"/>
            <w:vAlign w:val="center"/>
            <w:tcMar>
              <w:top w:w="100" w:type="dxa"/>
              <w:start w:w="120" w:type="dxa"/>
              <w:bottom w:w="100" w:type="dxa"/>
              <w:end w:w="120" w:type="dxa"/>
            </w:tcMar>
          </w:tcPr>
          <w:p>
            <w:pPr>
              <w:spacing w:after="0" w:line="252" w:lineRule="auto"/>
            </w:pPr>
            <w:r/>
            <w:r>
              <w:rPr>
                <w:rFonts w:ascii="Montserrat" w:hAnsi="Montserrat"/>
                <w:color w:val="0B2545"/>
                <w:sz w:val="19"/>
              </w:rPr>
              <w:t>CTA is not affiliated with or endorsed by BBS, Pearson VUE, or another examination administrator</w:t>
            </w:r>
          </w:p>
        </w:tc>
      </w:tr>
      <w:tr>
        <w:trPr>
          <w:cantSplit w:val="true"/>
        </w:trPr>
        <w:tc>
          <w:tcPr>
            <w:tcW w:type="dxa" w:w="235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Outcome boundary</w:t>
            </w:r>
          </w:p>
        </w:tc>
        <w:tc>
          <w:tcPr>
            <w:tcW w:type="dxa" w:w="701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Participation supports preparation; it does not guarantee passage, eligibility, licensure, or employment</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FFF7D6"/>
          </w:tcPr>
          <w:p>
            <w:pPr>
              <w:spacing w:after="0"/>
            </w:pPr>
            <w:r>
              <w:rPr>
                <w:rFonts w:ascii="Montserrat" w:hAnsi="Montserrat"/>
                <w:b/>
                <w:color w:val="7A5A00"/>
                <w:sz w:val="21"/>
              </w:rPr>
              <w:t xml:space="preserve">COPY RULE  </w:t>
            </w:r>
            <w:r>
              <w:rPr>
                <w:rFonts w:ascii="Montserrat" w:hAnsi="Montserrat"/>
                <w:color w:val="7A5A00"/>
                <w:sz w:val="21"/>
              </w:rPr>
              <w:t>Never display internal version numbers, protected item IDs, difficulty labels, source-bank names, controlled-key labels, or draft/release-control notes on public pages.</w:t>
            </w:r>
          </w:p>
        </w:tc>
      </w:tr>
    </w:tbl>
    <w:p>
      <w:pPr>
        <w:spacing w:after="20"/>
      </w:pPr>
    </w:p>
    <w:p>
      <w:pPr>
        <w:pStyle w:val="Heading1"/>
        <w:keepNext/>
      </w:pPr>
      <w:r>
        <w:t>2. Website Product Page Copy</w:t>
      </w:r>
    </w:p>
    <w:p>
      <w:pPr>
        <w:pStyle w:val="Heading2"/>
        <w:keepNext/>
      </w:pPr>
      <w:r>
        <w:t>2.1 Search and Page Metadata</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00"/>
        <w:gridCol w:w="7360"/>
      </w:tblGrid>
      <w:tr>
        <w:trPr>
          <w:tblHeader w:val="true"/>
          <w:cantSplit w:val="true"/>
        </w:trPr>
        <w:tc>
          <w:tcPr>
            <w:tcW w:type="dxa" w:w="20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Field</w:t>
            </w:r>
          </w:p>
        </w:tc>
        <w:tc>
          <w:tcPr>
            <w:tcW w:type="dxa" w:w="73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Approved Internal Copy</w:t>
            </w:r>
          </w:p>
        </w:tc>
      </w:tr>
      <w:tr>
        <w:trPr>
          <w:cantSplit w:val="true"/>
        </w:trPr>
        <w:tc>
          <w:tcPr>
            <w:tcW w:type="dxa" w:w="2000"/>
            <w:vAlign w:val="center"/>
            <w:tcMar>
              <w:top w:w="100" w:type="dxa"/>
              <w:start w:w="120" w:type="dxa"/>
              <w:bottom w:w="100" w:type="dxa"/>
              <w:end w:w="120" w:type="dxa"/>
            </w:tcMar>
          </w:tcPr>
          <w:p>
            <w:pPr>
              <w:spacing w:after="0" w:line="252" w:lineRule="auto"/>
            </w:pPr>
            <w:r/>
            <w:r>
              <w:rPr>
                <w:rFonts w:ascii="Montserrat" w:hAnsi="Montserrat"/>
                <w:b/>
                <w:color w:val="0B2545"/>
                <w:sz w:val="18"/>
              </w:rPr>
              <w:t>SEO title</w:t>
            </w:r>
          </w:p>
        </w:tc>
        <w:tc>
          <w:tcPr>
            <w:tcW w:type="dxa" w:w="7360"/>
            <w:vAlign w:val="center"/>
            <w:tcMar>
              <w:top w:w="100" w:type="dxa"/>
              <w:start w:w="120" w:type="dxa"/>
              <w:bottom w:w="100" w:type="dxa"/>
              <w:end w:w="120" w:type="dxa"/>
            </w:tcMar>
          </w:tcPr>
          <w:p>
            <w:pPr>
              <w:spacing w:after="0" w:line="252" w:lineRule="auto"/>
            </w:pPr>
            <w:r/>
            <w:r>
              <w:rPr>
                <w:rFonts w:ascii="Montserrat" w:hAnsi="Montserrat"/>
                <w:color w:val="0B2545"/>
                <w:sz w:val="18"/>
              </w:rPr>
              <w:t>California LMFT Law &amp; Ethics Exam Preparation | CTA</w:t>
            </w:r>
          </w:p>
        </w:tc>
      </w:tr>
      <w:tr>
        <w:trPr>
          <w:cantSplit w:val="true"/>
        </w:trPr>
        <w:tc>
          <w:tcPr>
            <w:tcW w:type="dxa" w:w="2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Meta description</w:t>
            </w:r>
          </w:p>
        </w:tc>
        <w:tc>
          <w:tcPr>
            <w:tcW w:type="dxa" w:w="73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Prepare for the California LMFT Law and Ethics Examination with nine workbooks, an LMFT Practice Act module, original assessments, detailed rationales, practice exams, 807 flashcards, and six months of access.</w:t>
            </w:r>
          </w:p>
        </w:tc>
      </w:tr>
      <w:tr>
        <w:trPr>
          <w:cantSplit w:val="true"/>
        </w:trPr>
        <w:tc>
          <w:tcPr>
            <w:tcW w:type="dxa" w:w="2000"/>
            <w:vAlign w:val="center"/>
            <w:tcMar>
              <w:top w:w="100" w:type="dxa"/>
              <w:start w:w="120" w:type="dxa"/>
              <w:bottom w:w="100" w:type="dxa"/>
              <w:end w:w="120" w:type="dxa"/>
            </w:tcMar>
          </w:tcPr>
          <w:p>
            <w:pPr>
              <w:spacing w:after="0" w:line="252" w:lineRule="auto"/>
            </w:pPr>
            <w:r/>
            <w:r>
              <w:rPr>
                <w:rFonts w:ascii="Montserrat" w:hAnsi="Montserrat"/>
                <w:b/>
                <w:color w:val="0B2545"/>
                <w:sz w:val="18"/>
              </w:rPr>
              <w:t>URL slug</w:t>
            </w:r>
          </w:p>
        </w:tc>
        <w:tc>
          <w:tcPr>
            <w:tcW w:type="dxa" w:w="7360"/>
            <w:vAlign w:val="center"/>
            <w:tcMar>
              <w:top w:w="100" w:type="dxa"/>
              <w:start w:w="120" w:type="dxa"/>
              <w:bottom w:w="100" w:type="dxa"/>
              <w:end w:w="120" w:type="dxa"/>
            </w:tcMar>
          </w:tcPr>
          <w:p>
            <w:pPr>
              <w:spacing w:after="0" w:line="252" w:lineRule="auto"/>
            </w:pPr>
            <w:r/>
            <w:r>
              <w:rPr>
                <w:rFonts w:ascii="Montserrat" w:hAnsi="Montserrat"/>
                <w:color w:val="0B2545"/>
                <w:sz w:val="18"/>
              </w:rPr>
              <w:t>/lmft-california-law-ethics-exam-preparation</w:t>
            </w:r>
          </w:p>
        </w:tc>
      </w:tr>
      <w:tr>
        <w:trPr>
          <w:cantSplit w:val="true"/>
        </w:trPr>
        <w:tc>
          <w:tcPr>
            <w:tcW w:type="dxa" w:w="2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Page label</w:t>
            </w:r>
          </w:p>
        </w:tc>
        <w:tc>
          <w:tcPr>
            <w:tcW w:type="dxa" w:w="73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LMFT Law &amp; Ethics Exam Preparation</w:t>
            </w:r>
          </w:p>
        </w:tc>
      </w:tr>
    </w:tbl>
    <w:p>
      <w:pPr>
        <w:spacing w:after="40"/>
      </w:pPr>
    </w:p>
    <w:p>
      <w:pPr>
        <w:pStyle w:val="Heading2"/>
        <w:keepNext/>
      </w:pPr>
      <w:r>
        <w:t>2.2 Hero and Purchase Panel</w:t>
      </w:r>
    </w:p>
    <w:p>
      <w:pPr>
        <w:keepNext w:val="0"/>
        <w:spacing w:before="0" w:after="120" w:line="278" w:lineRule="auto"/>
      </w:pPr>
      <w:r>
        <w:rPr>
          <w:rFonts w:ascii="Montserrat" w:hAnsi="Montserrat"/>
          <w:b/>
          <w:i w:val="0"/>
          <w:color w:val="0B2545"/>
          <w:sz w:val="22"/>
        </w:rPr>
        <w:t xml:space="preserve">Headline: </w:t>
      </w:r>
      <w:r>
        <w:rPr>
          <w:rFonts w:ascii="Montserrat" w:hAnsi="Montserrat"/>
          <w:b w:val="0"/>
          <w:i w:val="0"/>
          <w:color w:val="0B2545"/>
          <w:sz w:val="22"/>
        </w:rPr>
        <w:t>Prepare for the California LMFT Law and Ethics Examination</w:t>
      </w:r>
    </w:p>
    <w:p>
      <w:pPr>
        <w:keepNext w:val="0"/>
        <w:spacing w:before="0" w:after="120" w:line="278" w:lineRule="auto"/>
      </w:pPr>
      <w:r>
        <w:rPr>
          <w:rFonts w:ascii="Montserrat" w:hAnsi="Montserrat"/>
          <w:b/>
          <w:i w:val="0"/>
          <w:color w:val="0B2545"/>
          <w:sz w:val="22"/>
        </w:rPr>
        <w:t xml:space="preserve">Subheadline: </w:t>
      </w:r>
      <w:r>
        <w:rPr>
          <w:rFonts w:ascii="Montserrat" w:hAnsi="Montserrat"/>
          <w:b w:val="0"/>
          <w:i w:val="0"/>
          <w:color w:val="0B2545"/>
          <w:sz w:val="22"/>
        </w:rPr>
        <w:t>Build legal and ethical reasoning through a complete LMFT-focused study system - not isolated memorization.</w:t>
      </w:r>
    </w:p>
    <w:p>
      <w:pPr>
        <w:keepNext w:val="0"/>
        <w:spacing w:before="0" w:after="120" w:line="278" w:lineRule="auto"/>
      </w:pPr>
      <w:r>
        <w:rPr>
          <w:rFonts w:ascii="Montserrat" w:hAnsi="Montserrat"/>
          <w:b/>
          <w:i w:val="0"/>
          <w:color w:val="0B2545"/>
          <w:sz w:val="22"/>
        </w:rPr>
        <w:t xml:space="preserve">Support line: </w:t>
      </w:r>
      <w:r>
        <w:rPr>
          <w:rFonts w:ascii="Montserrat" w:hAnsi="Montserrat"/>
          <w:b w:val="0"/>
          <w:i w:val="0"/>
          <w:color w:val="0B2545"/>
          <w:sz w:val="22"/>
        </w:rPr>
        <w:t>Nine workbooks, a required LMFT Practice Act module, original assessments, detailed rationales, cumulative practice examinations, 807 flashcards, and targeted remediation tools.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600"/>
        <w:gridCol w:w="6760"/>
      </w:tblGrid>
      <w:tr>
        <w:trPr>
          <w:tblHeader w:val="true"/>
          <w:cantSplit w:val="true"/>
        </w:trPr>
        <w:tc>
          <w:tcPr>
            <w:tcW w:type="dxa" w:w="26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Purchase Panel Field</w:t>
            </w:r>
          </w:p>
        </w:tc>
        <w:tc>
          <w:tcPr>
            <w:tcW w:type="dxa" w:w="67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Display Copy</w:t>
            </w:r>
          </w:p>
        </w:tc>
      </w:tr>
      <w:tr>
        <w:trPr>
          <w:cantSplit w:val="true"/>
        </w:trPr>
        <w:tc>
          <w:tcPr>
            <w:tcW w:type="dxa" w:w="2600"/>
            <w:vAlign w:val="center"/>
            <w:tcMar>
              <w:top w:w="100" w:type="dxa"/>
              <w:start w:w="120" w:type="dxa"/>
              <w:bottom w:w="100" w:type="dxa"/>
              <w:end w:w="120" w:type="dxa"/>
            </w:tcMar>
          </w:tcPr>
          <w:p>
            <w:pPr>
              <w:spacing w:after="0" w:line="252" w:lineRule="auto"/>
            </w:pPr>
            <w:r/>
            <w:r>
              <w:rPr>
                <w:rFonts w:ascii="Montserrat" w:hAnsi="Montserrat"/>
                <w:b/>
                <w:color w:val="0B2545"/>
                <w:sz w:val="19"/>
              </w:rPr>
              <w:t>Price</w:t>
            </w:r>
          </w:p>
        </w:tc>
        <w:tc>
          <w:tcPr>
            <w:tcW w:type="dxa" w:w="6760"/>
            <w:vAlign w:val="center"/>
            <w:tcMar>
              <w:top w:w="100" w:type="dxa"/>
              <w:start w:w="120" w:type="dxa"/>
              <w:bottom w:w="100" w:type="dxa"/>
              <w:end w:w="120" w:type="dxa"/>
            </w:tcMar>
          </w:tcPr>
          <w:p>
            <w:pPr>
              <w:spacing w:after="0" w:line="252" w:lineRule="auto"/>
            </w:pPr>
            <w:r/>
            <w:r>
              <w:rPr>
                <w:rFonts w:ascii="Montserrat" w:hAnsi="Montserrat"/>
                <w:color w:val="0B2545"/>
                <w:sz w:val="19"/>
              </w:rPr>
              <w:t>$199 launch price</w:t>
            </w:r>
          </w:p>
        </w:tc>
      </w:tr>
      <w:tr>
        <w:trPr>
          <w:cantSplit w:val="true"/>
        </w:trPr>
        <w:tc>
          <w:tcPr>
            <w:tcW w:type="dxa" w:w="26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Access</w:t>
            </w:r>
          </w:p>
        </w:tc>
        <w:tc>
          <w:tcPr>
            <w:tcW w:type="dxa" w:w="67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Six months of online access</w:t>
            </w:r>
          </w:p>
        </w:tc>
      </w:tr>
      <w:tr>
        <w:trPr>
          <w:cantSplit w:val="true"/>
        </w:trPr>
        <w:tc>
          <w:tcPr>
            <w:tcW w:type="dxa" w:w="2600"/>
            <w:vAlign w:val="center"/>
            <w:tcMar>
              <w:top w:w="100" w:type="dxa"/>
              <w:start w:w="120" w:type="dxa"/>
              <w:bottom w:w="100" w:type="dxa"/>
              <w:end w:w="120" w:type="dxa"/>
            </w:tcMar>
          </w:tcPr>
          <w:p>
            <w:pPr>
              <w:spacing w:after="0" w:line="252" w:lineRule="auto"/>
            </w:pPr>
            <w:r/>
            <w:r>
              <w:rPr>
                <w:rFonts w:ascii="Montserrat" w:hAnsi="Montserrat"/>
                <w:b/>
                <w:color w:val="0B2545"/>
                <w:sz w:val="19"/>
              </w:rPr>
              <w:t>Format</w:t>
            </w:r>
          </w:p>
        </w:tc>
        <w:tc>
          <w:tcPr>
            <w:tcW w:type="dxa" w:w="6760"/>
            <w:vAlign w:val="center"/>
            <w:tcMar>
              <w:top w:w="100" w:type="dxa"/>
              <w:start w:w="120" w:type="dxa"/>
              <w:bottom w:w="100" w:type="dxa"/>
              <w:end w:w="120" w:type="dxa"/>
            </w:tcMar>
          </w:tcPr>
          <w:p>
            <w:pPr>
              <w:spacing w:after="0" w:line="252" w:lineRule="auto"/>
            </w:pPr>
            <w:r/>
            <w:r>
              <w:rPr>
                <w:rFonts w:ascii="Montserrat" w:hAnsi="Montserrat"/>
                <w:color w:val="0B2545"/>
                <w:sz w:val="19"/>
              </w:rPr>
              <w:t>Self-paced and asynchronous</w:t>
            </w:r>
          </w:p>
        </w:tc>
      </w:tr>
      <w:tr>
        <w:trPr>
          <w:cantSplit w:val="true"/>
        </w:trPr>
        <w:tc>
          <w:tcPr>
            <w:tcW w:type="dxa" w:w="26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Credit</w:t>
            </w:r>
          </w:p>
        </w:tc>
        <w:tc>
          <w:tcPr>
            <w:tcW w:type="dxa" w:w="67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Exam preparation only - no CE credit or certificate</w:t>
            </w:r>
          </w:p>
        </w:tc>
      </w:tr>
      <w:tr>
        <w:trPr>
          <w:cantSplit w:val="true"/>
        </w:trPr>
        <w:tc>
          <w:tcPr>
            <w:tcW w:type="dxa" w:w="2600"/>
            <w:vAlign w:val="center"/>
            <w:tcMar>
              <w:top w:w="100" w:type="dxa"/>
              <w:start w:w="120" w:type="dxa"/>
              <w:bottom w:w="100" w:type="dxa"/>
              <w:end w:w="120" w:type="dxa"/>
            </w:tcMar>
          </w:tcPr>
          <w:p>
            <w:pPr>
              <w:spacing w:after="0" w:line="252" w:lineRule="auto"/>
            </w:pPr>
            <w:r/>
            <w:r>
              <w:rPr>
                <w:rFonts w:ascii="Montserrat" w:hAnsi="Montserrat"/>
                <w:b/>
                <w:color w:val="0B2545"/>
                <w:sz w:val="19"/>
              </w:rPr>
              <w:t>Primary button</w:t>
            </w:r>
          </w:p>
        </w:tc>
        <w:tc>
          <w:tcPr>
            <w:tcW w:type="dxa" w:w="6760"/>
            <w:vAlign w:val="center"/>
            <w:tcMar>
              <w:top w:w="100" w:type="dxa"/>
              <w:start w:w="120" w:type="dxa"/>
              <w:bottom w:w="100" w:type="dxa"/>
              <w:end w:w="120" w:type="dxa"/>
            </w:tcMar>
          </w:tcPr>
          <w:p>
            <w:pPr>
              <w:spacing w:after="0" w:line="252" w:lineRule="auto"/>
            </w:pPr>
            <w:r/>
            <w:r>
              <w:rPr>
                <w:rFonts w:ascii="Montserrat" w:hAnsi="Montserrat"/>
                <w:color w:val="0B2545"/>
                <w:sz w:val="19"/>
              </w:rPr>
              <w:t>Start LMFT Law &amp; Ethics Exam Preparation</w:t>
            </w:r>
          </w:p>
        </w:tc>
      </w:tr>
      <w:tr>
        <w:trPr>
          <w:cantSplit w:val="true"/>
        </w:trPr>
        <w:tc>
          <w:tcPr>
            <w:tcW w:type="dxa" w:w="26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Secondary button</w:t>
            </w:r>
          </w:p>
        </w:tc>
        <w:tc>
          <w:tcPr>
            <w:tcW w:type="dxa" w:w="67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See Everything Included</w:t>
            </w:r>
          </w:p>
        </w:tc>
      </w:tr>
      <w:tr>
        <w:trPr>
          <w:cantSplit w:val="true"/>
        </w:trPr>
        <w:tc>
          <w:tcPr>
            <w:tcW w:type="dxa" w:w="2600"/>
            <w:vAlign w:val="center"/>
            <w:tcMar>
              <w:top w:w="100" w:type="dxa"/>
              <w:start w:w="120" w:type="dxa"/>
              <w:bottom w:w="100" w:type="dxa"/>
              <w:end w:w="120" w:type="dxa"/>
            </w:tcMar>
          </w:tcPr>
          <w:p>
            <w:pPr>
              <w:spacing w:after="0" w:line="252" w:lineRule="auto"/>
            </w:pPr>
            <w:r/>
            <w:r>
              <w:rPr>
                <w:rFonts w:ascii="Montserrat" w:hAnsi="Montserrat"/>
                <w:b/>
                <w:color w:val="0B2545"/>
                <w:sz w:val="19"/>
              </w:rPr>
              <w:t>Availability</w:t>
            </w:r>
          </w:p>
        </w:tc>
        <w:tc>
          <w:tcPr>
            <w:tcW w:type="dxa" w:w="6760"/>
            <w:vAlign w:val="center"/>
            <w:tcMar>
              <w:top w:w="100" w:type="dxa"/>
              <w:start w:w="120" w:type="dxa"/>
              <w:bottom w:w="100" w:type="dxa"/>
              <w:end w:w="120" w:type="dxa"/>
            </w:tcMar>
          </w:tcPr>
          <w:p>
            <w:pPr>
              <w:spacing w:after="0" w:line="252" w:lineRule="auto"/>
            </w:pPr>
            <w:r/>
            <w:r>
              <w:rPr>
                <w:rFonts w:ascii="Montserrat" w:hAnsi="Montserrat"/>
                <w:color w:val="0B2545"/>
                <w:sz w:val="19"/>
              </w:rPr>
              <w:t>Do not activate until Approved for Release</w:t>
            </w:r>
          </w:p>
        </w:tc>
      </w:tr>
    </w:tbl>
    <w:p>
      <w:pPr>
        <w:spacing w:after="40"/>
      </w:pPr>
    </w:p>
    <w:p>
      <w:pPr>
        <w:pStyle w:val="Heading2"/>
        <w:keepNext/>
      </w:pPr>
      <w:r>
        <w:t>2.3 Short Description</w:t>
      </w:r>
    </w:p>
    <w:p>
      <w:pPr>
        <w:keepNext w:val="0"/>
        <w:spacing w:before="0" w:after="120" w:line="278" w:lineRule="auto"/>
      </w:pPr>
      <w:r>
        <w:rPr>
          <w:rFonts w:ascii="Montserrat" w:hAnsi="Montserrat"/>
          <w:b w:val="0"/>
          <w:i w:val="0"/>
          <w:color w:val="0B2545"/>
          <w:sz w:val="22"/>
        </w:rPr>
        <w:t>Prepare for the California LMFT Law and Ethics Examination with a self-paced, six-month program designed for AMFTs and other eligible LMFT applicants. The program combines nine California law and ethics workbooks, a required LMFT Practice Act and professional-identity module, original assessments, detailed post-attempt rationales, cumulative practice examinations, flashcards, and targeted remediation tools.</w:t>
      </w:r>
    </w:p>
    <w:p>
      <w:pPr>
        <w:pStyle w:val="Heading2"/>
        <w:keepNext/>
      </w:pPr>
      <w:r>
        <w:t>2.4 Long Description</w:t>
      </w:r>
    </w:p>
    <w:p>
      <w:pPr>
        <w:keepNext w:val="0"/>
        <w:spacing w:before="0" w:after="120" w:line="278" w:lineRule="auto"/>
      </w:pPr>
      <w:r>
        <w:rPr>
          <w:rFonts w:ascii="Montserrat" w:hAnsi="Montserrat"/>
          <w:b w:val="0"/>
          <w:i w:val="0"/>
          <w:color w:val="0B2545"/>
          <w:sz w:val="22"/>
        </w:rPr>
        <w:t>California law and ethics questions require more than recalling a rule. Candidates must identify the professional role, locate the controlling authority, distinguish current law from a tempting distractor, protect the client or public, and choose the best next action. CTA organizes that reasoning into a coordinated LMFT-focused study system.</w:t>
      </w:r>
    </w:p>
    <w:p>
      <w:pPr>
        <w:keepNext w:val="0"/>
        <w:spacing w:before="0" w:after="120" w:line="278" w:lineRule="auto"/>
      </w:pPr>
      <w:r>
        <w:rPr>
          <w:rFonts w:ascii="Montserrat" w:hAnsi="Montserrat"/>
          <w:b w:val="0"/>
          <w:i w:val="0"/>
          <w:color w:val="0B2545"/>
          <w:sz w:val="22"/>
        </w:rPr>
        <w:t>The program begins with an LMFT Practice Act and AMFT professional-identity module, then moves through nine California law and ethics workbooks covering consent, telehealth, competence, impairment, client protection, boundaries, cultural humility, confidentiality, and documentation. Learners apply the material through answer-hidden assessments and receive detailed option-by-option rationales only after the approved attempt point.</w:t>
      </w:r>
    </w:p>
    <w:p>
      <w:pPr>
        <w:keepNext w:val="0"/>
        <w:spacing w:before="0" w:after="120" w:line="278" w:lineRule="auto"/>
      </w:pPr>
      <w:r>
        <w:rPr>
          <w:rFonts w:ascii="Montserrat" w:hAnsi="Montserrat"/>
          <w:b w:val="0"/>
          <w:i w:val="0"/>
          <w:color w:val="0B2545"/>
          <w:sz w:val="22"/>
        </w:rPr>
        <w:t>Practice Examination A, Practice Examination B, and the Comprehensive Final Examination support cumulative review. An 807-card flashcard study center, six printable toolkits, performance worksheets, error-repair tools, and remediation pathways help learners turn missed questions into a focused study plan.</w:t>
      </w:r>
    </w:p>
    <w:p>
      <w:pPr>
        <w:keepNext w:val="0"/>
        <w:spacing w:before="0" w:after="120" w:line="278" w:lineRule="auto"/>
      </w:pPr>
      <w:r>
        <w:rPr>
          <w:rFonts w:ascii="Montserrat" w:hAnsi="Montserrat"/>
          <w:b w:val="0"/>
          <w:i w:val="0"/>
          <w:color w:val="0B2545"/>
          <w:sz w:val="22"/>
        </w:rPr>
        <w:t>CTA teaches the reasoning behind the right answer - not only the answer itself. The goal is to strengthen the legal, ethical, and professional judgment candidates use on the examination and throughout clinical practice.</w:t>
      </w:r>
    </w:p>
    <w:p>
      <w:pPr>
        <w:pStyle w:val="Heading2"/>
        <w:keepNext/>
      </w:pPr>
      <w:r>
        <w:t>2.5 What Is Included</w:t>
      </w:r>
    </w:p>
    <w:p>
      <w:pPr>
        <w:pStyle w:val="ListBullet"/>
        <w:spacing w:after="80" w:line="278" w:lineRule="auto"/>
      </w:pPr>
      <w:r>
        <w:rPr>
          <w:rFonts w:ascii="Montserrat" w:hAnsi="Montserrat"/>
          <w:color w:val="0B2545"/>
          <w:sz w:val="22"/>
        </w:rPr>
        <w:t>Required LMFT Practice Act, AMFT Professional Identity, and California Examination Distinctions module.</w:t>
      </w:r>
    </w:p>
    <w:p>
      <w:pPr>
        <w:pStyle w:val="ListBullet"/>
        <w:spacing w:after="80" w:line="278" w:lineRule="auto"/>
      </w:pPr>
      <w:r>
        <w:rPr>
          <w:rFonts w:ascii="Montserrat" w:hAnsi="Montserrat"/>
          <w:color w:val="0B2545"/>
          <w:sz w:val="22"/>
        </w:rPr>
        <w:t>Nine LMFT Candidate Edition workbooks covering 45 shared-core chapters.</w:t>
      </w:r>
    </w:p>
    <w:p>
      <w:pPr>
        <w:pStyle w:val="ListBullet"/>
        <w:spacing w:after="80" w:line="278" w:lineRule="auto"/>
      </w:pPr>
      <w:r>
        <w:rPr>
          <w:rFonts w:ascii="Montserrat" w:hAnsi="Montserrat"/>
          <w:color w:val="0B2545"/>
          <w:sz w:val="22"/>
        </w:rPr>
        <w:t>Nine answer-hidden workbook assessment forms totaling 765 questions, with separate gated answer keys, detailed option-by-option rationales, exam strategies, and remediation guidance.</w:t>
      </w:r>
    </w:p>
    <w:p>
      <w:pPr>
        <w:pStyle w:val="ListBullet"/>
        <w:spacing w:after="80" w:line="278" w:lineRule="auto"/>
      </w:pPr>
      <w:r>
        <w:rPr>
          <w:rFonts w:ascii="Montserrat" w:hAnsi="Montserrat"/>
          <w:color w:val="0B2545"/>
          <w:sz w:val="22"/>
        </w:rPr>
        <w:t>A separate 25-question LMFT Practice Act module assessment and controlled rationale edition.</w:t>
      </w:r>
    </w:p>
    <w:p>
      <w:pPr>
        <w:pStyle w:val="ListBullet"/>
        <w:spacing w:after="80" w:line="278" w:lineRule="auto"/>
      </w:pPr>
      <w:r>
        <w:rPr>
          <w:rFonts w:ascii="Montserrat" w:hAnsi="Montserrat"/>
          <w:color w:val="0B2545"/>
          <w:sz w:val="22"/>
        </w:rPr>
        <w:t>Practice Examination A (50 questions), Practice Examination B (50 questions), and a Comprehensive Final Examination (100 questions), each with a learner booklet, controlled rationale edition, and performance worksheet.</w:t>
      </w:r>
    </w:p>
    <w:p>
      <w:pPr>
        <w:pStyle w:val="ListBullet"/>
        <w:spacing w:after="80" w:line="278" w:lineRule="auto"/>
      </w:pPr>
      <w:r>
        <w:rPr>
          <w:rFonts w:ascii="Montserrat" w:hAnsi="Montserrat"/>
          <w:color w:val="0B2545"/>
          <w:sz w:val="22"/>
        </w:rPr>
        <w:t>An interactive 807-card flashcard study center plus printable single-sided and duplex editions.</w:t>
      </w:r>
    </w:p>
    <w:p>
      <w:pPr>
        <w:pStyle w:val="ListBullet"/>
        <w:spacing w:after="80" w:line="278" w:lineRule="auto"/>
      </w:pPr>
      <w:r>
        <w:rPr>
          <w:rFonts w:ascii="Montserrat" w:hAnsi="Montserrat"/>
          <w:color w:val="0B2545"/>
          <w:sz w:val="22"/>
        </w:rPr>
        <w:t>Six LMFT-focused printable toolkits for study mapping, numbers and timelines, California law and ethics decisions, exam strategy, and common traps.</w:t>
      </w:r>
    </w:p>
    <w:p>
      <w:pPr>
        <w:pStyle w:val="ListBullet"/>
        <w:spacing w:after="80" w:line="278" w:lineRule="auto"/>
      </w:pPr>
      <w:r>
        <w:rPr>
          <w:rFonts w:ascii="Montserrat" w:hAnsi="Montserrat"/>
          <w:color w:val="0B2545"/>
          <w:sz w:val="22"/>
        </w:rPr>
        <w:t>Six months of access to enrolled learner materials and updates released during the active access period.</w:t>
      </w: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FFF7D6"/>
          </w:tcPr>
          <w:p>
            <w:pPr>
              <w:spacing w:after="0"/>
            </w:pPr>
            <w:r>
              <w:rPr>
                <w:rFonts w:ascii="Montserrat" w:hAnsi="Montserrat"/>
                <w:b/>
                <w:color w:val="7A5A00"/>
                <w:sz w:val="21"/>
              </w:rPr>
              <w:t xml:space="preserve">COUNTING CLARIFICATION  </w:t>
            </w:r>
            <w:r>
              <w:rPr>
                <w:rFonts w:ascii="Montserrat" w:hAnsi="Montserrat"/>
                <w:color w:val="7A5A00"/>
                <w:sz w:val="21"/>
              </w:rPr>
              <w:t>Question totals describe the separate workbook, module, and cumulative assessment components. Do not advertise them as 990 unique questions unless a future duplicate-overlap audit expressly approves that claim.</w:t>
            </w:r>
          </w:p>
        </w:tc>
      </w:tr>
    </w:tbl>
    <w:p>
      <w:pPr>
        <w:spacing w:after="20"/>
      </w:pPr>
    </w:p>
    <w:p>
      <w:pPr>
        <w:pStyle w:val="Heading2"/>
        <w:keepNext/>
      </w:pPr>
      <w:r>
        <w:t>2.6 Who This Program Is For</w:t>
      </w:r>
    </w:p>
    <w:p>
      <w:pPr>
        <w:pStyle w:val="ListBullet"/>
        <w:spacing w:after="80" w:line="278" w:lineRule="auto"/>
      </w:pPr>
      <w:r>
        <w:rPr>
          <w:rFonts w:ascii="Montserrat" w:hAnsi="Montserrat"/>
          <w:color w:val="0B2545"/>
          <w:sz w:val="22"/>
        </w:rPr>
        <w:t>Registered AMFTs preparing for the California LMFT Law and Ethics Examination.</w:t>
      </w:r>
    </w:p>
    <w:p>
      <w:pPr>
        <w:pStyle w:val="ListBullet"/>
        <w:spacing w:after="80" w:line="278" w:lineRule="auto"/>
      </w:pPr>
      <w:r>
        <w:rPr>
          <w:rFonts w:ascii="Montserrat" w:hAnsi="Montserrat"/>
          <w:color w:val="0B2545"/>
          <w:sz w:val="22"/>
        </w:rPr>
        <w:t>Other LMFT applicants who are eligible to take the California LMFT Law and Ethics Examination under current BBS rules.</w:t>
      </w:r>
    </w:p>
    <w:p>
      <w:pPr>
        <w:pStyle w:val="ListBullet"/>
        <w:spacing w:after="80" w:line="278" w:lineRule="auto"/>
      </w:pPr>
      <w:r>
        <w:rPr>
          <w:rFonts w:ascii="Montserrat" w:hAnsi="Montserrat"/>
          <w:color w:val="0B2545"/>
          <w:sz w:val="22"/>
        </w:rPr>
        <w:t>Candidates who want structured legal and ethical reasoning, detailed answer analysis, and a repeatable remediation process.</w:t>
      </w:r>
    </w:p>
    <w:p>
      <w:pPr>
        <w:keepNext w:val="0"/>
        <w:spacing w:before="0" w:after="120" w:line="278" w:lineRule="auto"/>
      </w:pPr>
      <w:r>
        <w:rPr>
          <w:rFonts w:ascii="Montserrat" w:hAnsi="Montserrat"/>
          <w:b/>
          <w:i w:val="0"/>
          <w:color w:val="9B1C1C"/>
          <w:sz w:val="22"/>
        </w:rPr>
        <w:t>This program does not prepare learners for the California LMFT Clinical Examination or the AMFTRB National Examination. Those are separate examination pathways and separate CTA products.</w:t>
      </w:r>
    </w:p>
    <w:p>
      <w:pPr>
        <w:pStyle w:val="Heading1"/>
        <w:keepNext/>
      </w:pPr>
      <w:r>
        <w:t>3. Catalog and Pricing Insertions</w:t>
      </w:r>
    </w:p>
    <w:p>
      <w:pPr>
        <w:pStyle w:val="Heading2"/>
        <w:keepNext/>
      </w:pPr>
      <w:r>
        <w:t>3.1 Master Course Catalog Entry</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rPr>
          <w:tblHeader w:val="true"/>
          <w:cantSplit w:val="true"/>
        </w:trPr>
        <w:tc>
          <w:tcPr>
            <w:tcW w:type="dxa" w:w="22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Catalog Field</w:t>
            </w:r>
          </w:p>
        </w:tc>
        <w:tc>
          <w:tcPr>
            <w:tcW w:type="dxa" w:w="71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Insertion Copy</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Program title</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CTA LMFT California Law &amp; Ethics Exam Preparation Program</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Program code</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CTA-EP-001 (internal control)</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Classification</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Standalone exam-preparation program - no CE credit or certificate</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Audience</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AMFTs and other eligible California LMFT Law and Ethics Examination candidates</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Delivery</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Self-paced asynchronous online program with protected downloadable study materials</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Access</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Six months</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Status</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Under Review until final release approval; Available only after approval</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Description</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A coordinated LMFT-focused California law and ethics study system with a required Practice Act module, nine workbooks, answer-hidden assessments, gated detailed rationales, cumulative examinations, 807 flashcards, six toolkits, and targeted remediation.</w:t>
            </w:r>
          </w:p>
        </w:tc>
      </w:tr>
    </w:tbl>
    <w:p>
      <w:pPr>
        <w:spacing w:after="40"/>
      </w:pPr>
    </w:p>
    <w:p>
      <w:pPr>
        <w:pStyle w:val="Heading2"/>
        <w:keepNext/>
      </w:pPr>
      <w:r>
        <w:t>3.2 Master Pricing Catalog Entry</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rPr>
          <w:tblHeader w:val="true"/>
          <w:cantSplit w:val="true"/>
        </w:trPr>
        <w:tc>
          <w:tcPr>
            <w:tcW w:type="dxa" w:w="22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Pricing Field</w:t>
            </w:r>
          </w:p>
        </w:tc>
        <w:tc>
          <w:tcPr>
            <w:tcW w:type="dxa" w:w="71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Insertion Copy</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Offer level</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California Law &amp; Ethics Exam Preparation</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Profession</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LMFT / AMFT</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Launch price</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$199</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Access period</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Six months</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8"/>
              </w:rPr>
              <w:t>Included</w:t>
            </w:r>
          </w:p>
        </w:tc>
        <w:tc>
          <w:tcPr>
            <w:tcW w:type="dxa" w:w="7160"/>
            <w:vAlign w:val="center"/>
            <w:tcMar>
              <w:top w:w="100" w:type="dxa"/>
              <w:start w:w="120" w:type="dxa"/>
              <w:bottom w:w="100" w:type="dxa"/>
              <w:end w:w="120" w:type="dxa"/>
            </w:tcMar>
          </w:tcPr>
          <w:p>
            <w:pPr>
              <w:spacing w:after="0" w:line="252" w:lineRule="auto"/>
            </w:pPr>
            <w:r/>
            <w:r>
              <w:rPr>
                <w:rFonts w:ascii="Montserrat" w:hAnsi="Montserrat"/>
                <w:color w:val="0B2545"/>
                <w:sz w:val="18"/>
              </w:rPr>
              <w:t>LMFT Practice Act module; nine workbooks; workbook and module assessments with gated rationales; Practice A; Practice B; Comprehensive Final; 807 flashcards; six toolkits; performance and remediation tools</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CE status</w:t>
            </w:r>
          </w:p>
        </w:tc>
        <w:tc>
          <w:tcPr>
            <w:tcW w:type="dxa" w:w="7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No CE credit or certificate</w:t>
            </w:r>
          </w:p>
        </w:tc>
      </w:tr>
    </w:tbl>
    <w:p>
      <w:pPr>
        <w:spacing w:after="40"/>
      </w:pPr>
    </w:p>
    <w:p>
      <w:pPr>
        <w:pStyle w:val="Heading1"/>
        <w:keepNext/>
      </w:pPr>
      <w:r>
        <w:t>4. Checkout, Receipt, and Dashboard Copy</w:t>
      </w:r>
    </w:p>
    <w:p>
      <w:pPr>
        <w:pStyle w:val="Heading2"/>
        <w:keepNext/>
      </w:pPr>
      <w:r>
        <w:t>4.1 Checkout Description</w:t>
      </w:r>
    </w:p>
    <w:p>
      <w:pPr>
        <w:keepNext w:val="0"/>
        <w:spacing w:before="0" w:after="120" w:line="278" w:lineRule="auto"/>
      </w:pPr>
      <w:r>
        <w:rPr>
          <w:rFonts w:ascii="Montserrat" w:hAnsi="Montserrat"/>
          <w:b w:val="0"/>
          <w:i w:val="0"/>
          <w:color w:val="0B2545"/>
          <w:sz w:val="22"/>
        </w:rPr>
        <w:t>CTA LMFT California Law &amp; Ethics Exam Preparation Program - self-paced exam preparation for eligible California LMFT Law and Ethics Examination candidates. Includes six months of access to the LMFT Practice Act module, nine workbooks, protected assessments and post-attempt rationales, cumulative practice examinations, 807 flashcards, six study toolkits, and remediation tools. Exam preparation only; no CE credit or certificate.</w:t>
      </w:r>
    </w:p>
    <w:p>
      <w:pPr>
        <w:pStyle w:val="Heading2"/>
        <w:keepNext/>
      </w:pPr>
      <w:r>
        <w:t>4.2 Required Checkout Notices</w:t>
      </w:r>
    </w:p>
    <w:p>
      <w:pPr>
        <w:pStyle w:val="ListBullet"/>
        <w:spacing w:after="80" w:line="278" w:lineRule="auto"/>
      </w:pPr>
      <w:r>
        <w:rPr>
          <w:rFonts w:ascii="Montserrat" w:hAnsi="Montserrat"/>
          <w:color w:val="0B2545"/>
          <w:sz w:val="22"/>
        </w:rPr>
        <w:t>I understand that this is an exam-preparation program and does not provide continuing education credit or a CE certificate.</w:t>
      </w:r>
    </w:p>
    <w:p>
      <w:pPr>
        <w:pStyle w:val="ListBullet"/>
        <w:spacing w:after="80" w:line="278" w:lineRule="auto"/>
      </w:pPr>
      <w:r>
        <w:rPr>
          <w:rFonts w:ascii="Montserrat" w:hAnsi="Montserrat"/>
          <w:color w:val="0B2545"/>
          <w:sz w:val="22"/>
        </w:rPr>
        <w:t>I understand that CTA does not guarantee examination passage, determine examination eligibility, or issue a professional license.</w:t>
      </w:r>
    </w:p>
    <w:p>
      <w:pPr>
        <w:pStyle w:val="ListBullet"/>
        <w:spacing w:after="80" w:line="278" w:lineRule="auto"/>
      </w:pPr>
      <w:r>
        <w:rPr>
          <w:rFonts w:ascii="Montserrat" w:hAnsi="Montserrat"/>
          <w:color w:val="0B2545"/>
          <w:sz w:val="22"/>
        </w:rPr>
        <w:t>I understand that the materials are licensed for my personal study use and may not be shared, resold, publicly posted, or commercially reproduced.</w:t>
      </w:r>
    </w:p>
    <w:p>
      <w:pPr>
        <w:pStyle w:val="ListBullet"/>
        <w:spacing w:after="80" w:line="278" w:lineRule="auto"/>
      </w:pPr>
      <w:r>
        <w:rPr>
          <w:rFonts w:ascii="Montserrat" w:hAnsi="Montserrat"/>
          <w:color w:val="0B2545"/>
          <w:sz w:val="22"/>
        </w:rPr>
        <w:t>I understand that access lasts six months from enrollment and that any extension is governed by CTA's approved extension policy.</w:t>
      </w:r>
    </w:p>
    <w:p>
      <w:pPr>
        <w:pStyle w:val="ListBullet"/>
        <w:spacing w:after="80" w:line="278" w:lineRule="auto"/>
      </w:pPr>
      <w:r>
        <w:rPr>
          <w:rFonts w:ascii="Montserrat" w:hAnsi="Montserrat"/>
          <w:color w:val="0B2545"/>
          <w:sz w:val="22"/>
        </w:rPr>
        <w:t>I have reviewed the CTA Refund Policy and Terms of Use presented at checkout.</w:t>
      </w:r>
    </w:p>
    <w:p>
      <w:pPr>
        <w:pStyle w:val="Heading2"/>
        <w:keepNext/>
      </w:pPr>
      <w:r>
        <w:t>4.3 Receipt and Enrollment Confirmation</w:t>
      </w:r>
    </w:p>
    <w:p>
      <w:pPr>
        <w:keepNext w:val="0"/>
        <w:spacing w:before="0" w:after="120" w:line="278" w:lineRule="auto"/>
      </w:pPr>
      <w:r>
        <w:rPr>
          <w:rFonts w:ascii="Montserrat" w:hAnsi="Montserrat"/>
          <w:b w:val="0"/>
          <w:i w:val="0"/>
          <w:color w:val="0B2545"/>
          <w:sz w:val="22"/>
        </w:rPr>
        <w:t>You are enrolled in the CTA LMFT California Law &amp; Ethics Exam Preparation Program. Your six-month access begins on [ENROLLMENT DATE] and is scheduled to end on [EXPIRATION DATE]. Sign in to your learner dashboard and open Start Here before beginning the LMFT Practice Act module.</w:t>
      </w:r>
    </w:p>
    <w:p>
      <w:pPr>
        <w:pStyle w:val="Heading2"/>
        <w:keepNext/>
      </w:pPr>
      <w:r>
        <w:t>4.4 Dashboard Card</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7560"/>
      </w:tblGrid>
      <w:tr>
        <w:trPr>
          <w:tblHeader w:val="true"/>
          <w:cantSplit w:val="true"/>
        </w:trPr>
        <w:tc>
          <w:tcPr>
            <w:tcW w:type="dxa" w:w="18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Field</w:t>
            </w:r>
          </w:p>
        </w:tc>
        <w:tc>
          <w:tcPr>
            <w:tcW w:type="dxa" w:w="75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Display Copy</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9"/>
              </w:rPr>
              <w:t>Title</w:t>
            </w:r>
          </w:p>
        </w:tc>
        <w:tc>
          <w:tcPr>
            <w:tcW w:type="dxa" w:w="7560"/>
            <w:vAlign w:val="center"/>
            <w:tcMar>
              <w:top w:w="100" w:type="dxa"/>
              <w:start w:w="120" w:type="dxa"/>
              <w:bottom w:w="100" w:type="dxa"/>
              <w:end w:w="120" w:type="dxa"/>
            </w:tcMar>
          </w:tcPr>
          <w:p>
            <w:pPr>
              <w:spacing w:after="0" w:line="252" w:lineRule="auto"/>
            </w:pPr>
            <w:r/>
            <w:r>
              <w:rPr>
                <w:rFonts w:ascii="Montserrat" w:hAnsi="Montserrat"/>
                <w:color w:val="0B2545"/>
                <w:sz w:val="19"/>
              </w:rPr>
              <w:t>LMFT California Law &amp; Ethics Exam Preparation</w:t>
            </w:r>
          </w:p>
        </w:tc>
      </w:tr>
      <w:tr>
        <w:trPr>
          <w:cantSplit w:val="true"/>
        </w:trPr>
        <w:tc>
          <w:tcPr>
            <w:tcW w:type="dxa" w:w="18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Subtitle</w:t>
            </w:r>
          </w:p>
        </w:tc>
        <w:tc>
          <w:tcPr>
            <w:tcW w:type="dxa" w:w="75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Practice Act, 9 workbooks, assessments, practice exams, flashcards, and remediation</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9"/>
              </w:rPr>
              <w:t>Progress</w:t>
            </w:r>
          </w:p>
        </w:tc>
        <w:tc>
          <w:tcPr>
            <w:tcW w:type="dxa" w:w="7560"/>
            <w:vAlign w:val="center"/>
            <w:tcMar>
              <w:top w:w="100" w:type="dxa"/>
              <w:start w:w="120" w:type="dxa"/>
              <w:bottom w:w="100" w:type="dxa"/>
              <w:end w:w="120" w:type="dxa"/>
            </w:tcMar>
          </w:tcPr>
          <w:p>
            <w:pPr>
              <w:spacing w:after="0" w:line="252" w:lineRule="auto"/>
            </w:pPr>
            <w:r/>
            <w:r>
              <w:rPr>
                <w:rFonts w:ascii="Montserrat" w:hAnsi="Montserrat"/>
                <w:color w:val="0B2545"/>
                <w:sz w:val="19"/>
              </w:rPr>
              <w:t>[X] of 16 units complete</w:t>
            </w:r>
          </w:p>
        </w:tc>
      </w:tr>
      <w:tr>
        <w:trPr>
          <w:cantSplit w:val="true"/>
        </w:trPr>
        <w:tc>
          <w:tcPr>
            <w:tcW w:type="dxa" w:w="18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Access</w:t>
            </w:r>
          </w:p>
        </w:tc>
        <w:tc>
          <w:tcPr>
            <w:tcW w:type="dxa" w:w="75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Access ends [DATE]</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9"/>
              </w:rPr>
              <w:t>Button</w:t>
            </w:r>
          </w:p>
        </w:tc>
        <w:tc>
          <w:tcPr>
            <w:tcW w:type="dxa" w:w="7560"/>
            <w:vAlign w:val="center"/>
            <w:tcMar>
              <w:top w:w="100" w:type="dxa"/>
              <w:start w:w="120" w:type="dxa"/>
              <w:bottom w:w="100" w:type="dxa"/>
              <w:end w:w="120" w:type="dxa"/>
            </w:tcMar>
          </w:tcPr>
          <w:p>
            <w:pPr>
              <w:spacing w:after="0" w:line="252" w:lineRule="auto"/>
            </w:pPr>
            <w:r/>
            <w:r>
              <w:rPr>
                <w:rFonts w:ascii="Montserrat" w:hAnsi="Montserrat"/>
                <w:color w:val="0B2545"/>
                <w:sz w:val="19"/>
              </w:rPr>
              <w:t>Continue Studying</w:t>
            </w:r>
          </w:p>
        </w:tc>
      </w:tr>
    </w:tbl>
    <w:p>
      <w:pPr>
        <w:spacing w:after="40"/>
      </w:pPr>
    </w:p>
    <w:p>
      <w:pPr>
        <w:pStyle w:val="Heading1"/>
        <w:keepNext/>
      </w:pPr>
      <w:r>
        <w:t>5. Frequently Asked Questions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Is this a continuing education course?</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This is an exam-preparation program. It does not award CE credit, require a CE evaluation, or generate a CE certificate.</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Who is the program designed for?</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It is designed for AMFTs and other eligible candidates preparing for the California LMFT Law and Ethics Examination. Candidates should confirm their own eligibility and current examination requirements with BBS.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Does CTA guarantee that I will pass?</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The program supports preparation and readiness, but no course can guarantee passage or determine examination eligibility or licensure.</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Is CTA affiliated with BBS or Pearson VUE?</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CTA is an independent educational resource and is not affiliated with or endorsed by BBS, Pearson VUE, or another examination administrator.</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How long will I have access?</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Access lasts six months from enrollment. Your dashboard should display the enrollment and expiration dates.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What should I complete first?</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Begin with Start Here and the required LMFT Practice Act and AMFT Professional Identity module, then move through Workbooks 1 through 9 before the cumulative examinations.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When will I see answers and rationales?</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Answer keys, detailed rationales, exam strategies, and remediation are released only after the associated candidate assessment is submitted or another approved attempt trigger is met.</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Can I download and print the materials?</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Approved learner workbooks, exam booklets, worksheets, and toolkits may be downloaded and printed for the enrolled learner's personal study use during the access period.</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May I share the files with a colleague or study group?</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Enrollment and downloadable materials are licensed to the enrolled learner. Sharing, resale, public posting, and commercial reproduction are prohibited.</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Are the practice questions copied from the licensing examination?</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CTA uses original educational questions. The program does not include live, recalled, copied, or unauthorized licensing-examination items.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Does this program prepare me for the LMFT Clinical Examination or AMFTRB exam?</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No. This product prepares candidates for the California LMFT Law and Ethics Examination. Clinical and national examination preparation are separate CTA products.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Will the content be updated?</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CTA will update materials for significant legal or regulatory changes when reasonably practicable. Learners receive updates issued during their active access period. Updates do not automatically extend access.</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What does technical support cover?</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Technical support covers enrollment, login, course access, platform operation, and file-opening issues. CTA responds to learner-support inquiries within two business days. Support does not provide legal advice, determine BBS eligibility, troubleshoot a learner's personal device, or provide internet service.</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What if I need an access extension?</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One complimentary 30-calendar-day extension may be requested before the original six-month access period expires. Any additional extension requires case-by-case CTA approval.</w:t>
      </w:r>
    </w:p>
    <w:p>
      <w:pPr>
        <w:keepNext/>
        <w:spacing w:before="0" w:after="40" w:line="278" w:lineRule="auto"/>
      </w:pPr>
      <w:r>
        <w:rPr>
          <w:rFonts w:ascii="Montserrat" w:hAnsi="Montserrat"/>
          <w:b/>
          <w:i w:val="0"/>
          <w:color w:val="13A89E"/>
          <w:sz w:val="22"/>
        </w:rPr>
        <w:t xml:space="preserve">Q. </w:t>
      </w:r>
      <w:r>
        <w:rPr>
          <w:rFonts w:ascii="Montserrat" w:hAnsi="Montserrat"/>
          <w:b/>
          <w:i w:val="0"/>
          <w:color w:val="0B2545"/>
          <w:sz w:val="22"/>
        </w:rPr>
        <w:t>What is the refund policy?</w:t>
      </w:r>
    </w:p>
    <w:p>
      <w:pPr>
        <w:keepNext w:val="0"/>
        <w:spacing w:before="0" w:after="160" w:line="278" w:lineRule="auto"/>
      </w:pPr>
      <w:r>
        <w:rPr>
          <w:rFonts w:ascii="Montserrat" w:hAnsi="Montserrat"/>
          <w:b/>
          <w:i w:val="0"/>
          <w:color w:val="0B2545"/>
          <w:sz w:val="22"/>
        </w:rPr>
        <w:t xml:space="preserve">A. </w:t>
      </w:r>
      <w:r>
        <w:rPr>
          <w:rFonts w:ascii="Montserrat" w:hAnsi="Montserrat"/>
          <w:b w:val="0"/>
          <w:i w:val="0"/>
          <w:color w:val="0B2545"/>
          <w:sz w:val="22"/>
        </w:rPr>
        <w:t>A refund may be requested within seven calendar days of purchase only when course materials have not been accessed. After access begins, purchases are nonrefundable except for duplicate charges, CTA-caused access failures, or where applicable law requires otherwise.</w:t>
      </w:r>
    </w:p>
    <w:p>
      <w:pPr>
        <w:pStyle w:val="Heading1"/>
        <w:keepNext/>
      </w:pPr>
      <w:r>
        <w:t>6. LMS Start Here and Course Order</w:t>
      </w:r>
    </w:p>
    <w:p>
      <w:pPr>
        <w:pStyle w:val="Heading2"/>
        <w:keepNext/>
      </w:pPr>
      <w:r>
        <w:t>6.1 Welcome</w:t>
      </w:r>
    </w:p>
    <w:p>
      <w:pPr>
        <w:keepNext w:val="0"/>
        <w:spacing w:before="0" w:after="120" w:line="278" w:lineRule="auto"/>
      </w:pPr>
      <w:r>
        <w:rPr>
          <w:rFonts w:ascii="Montserrat" w:hAnsi="Montserrat"/>
          <w:b w:val="0"/>
          <w:i w:val="0"/>
          <w:color w:val="0B2545"/>
          <w:sz w:val="22"/>
        </w:rPr>
        <w:t>Welcome to the CTA LMFT California Law &amp; Ethics Exam Preparation Program. This program is designed to help you identify the controlling legal or ethical issue, apply LMFT- and AMFT-specific rules, choose the best professional action, and use detailed feedback to repair weak areas.</w:t>
      </w:r>
    </w:p>
    <w:p>
      <w:pPr>
        <w:keepNext w:val="0"/>
        <w:spacing w:before="0" w:after="120" w:line="278" w:lineRule="auto"/>
      </w:pPr>
      <w:r>
        <w:rPr>
          <w:rFonts w:ascii="Montserrat" w:hAnsi="Montserrat"/>
          <w:b w:val="0"/>
          <w:i w:val="0"/>
          <w:color w:val="0B2545"/>
          <w:sz w:val="22"/>
        </w:rPr>
        <w:t>Start with the required LMFT Practice Act module before Workbook 1. That module establishes the professional-identity, work-setting, supervision, advertising, disclosure, and examination-pathway distinctions used throughout the program.</w:t>
      </w:r>
    </w:p>
    <w:p>
      <w:pPr>
        <w:pStyle w:val="Heading2"/>
        <w:keepNext/>
      </w:pPr>
      <w:r>
        <w:t>6.2 Recommended Learning Sequence</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2750"/>
        <w:gridCol w:w="5710"/>
      </w:tblGrid>
      <w:tr>
        <w:trPr>
          <w:tblHeader w:val="true"/>
          <w:cantSplit w:val="true"/>
        </w:trPr>
        <w:tc>
          <w:tcPr>
            <w:tcW w:type="dxa" w:w="9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Unit</w:t>
            </w:r>
          </w:p>
        </w:tc>
        <w:tc>
          <w:tcPr>
            <w:tcW w:type="dxa" w:w="275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Title</w:t>
            </w:r>
          </w:p>
        </w:tc>
        <w:tc>
          <w:tcPr>
            <w:tcW w:type="dxa" w:w="571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Learner Action</w:t>
            </w:r>
          </w:p>
        </w:tc>
      </w:tr>
      <w:tr>
        <w:trPr>
          <w:cantSplit w:val="true"/>
        </w:trPr>
        <w:tc>
          <w:tcPr>
            <w:tcW w:type="dxa" w:w="900"/>
            <w:vAlign w:val="center"/>
            <w:tcMar>
              <w:top w:w="100" w:type="dxa"/>
              <w:start w:w="120" w:type="dxa"/>
              <w:bottom w:w="100" w:type="dxa"/>
              <w:end w:w="120" w:type="dxa"/>
            </w:tcMar>
          </w:tcPr>
          <w:p>
            <w:pPr>
              <w:spacing w:after="0" w:line="252" w:lineRule="auto"/>
            </w:pPr>
            <w:r/>
            <w:r>
              <w:rPr>
                <w:rFonts w:ascii="Montserrat" w:hAnsi="Montserrat"/>
                <w:b/>
                <w:color w:val="0B2545"/>
                <w:sz w:val="18"/>
              </w:rPr>
              <w:t>00</w:t>
            </w:r>
          </w:p>
        </w:tc>
        <w:tc>
          <w:tcPr>
            <w:tcW w:type="dxa" w:w="2750"/>
            <w:vAlign w:val="center"/>
            <w:tcMar>
              <w:top w:w="100" w:type="dxa"/>
              <w:start w:w="120" w:type="dxa"/>
              <w:bottom w:w="100" w:type="dxa"/>
              <w:end w:w="120" w:type="dxa"/>
            </w:tcMar>
          </w:tcPr>
          <w:p>
            <w:pPr>
              <w:spacing w:after="0" w:line="252" w:lineRule="auto"/>
            </w:pPr>
            <w:r/>
            <w:r>
              <w:rPr>
                <w:rFonts w:ascii="Montserrat" w:hAnsi="Montserrat"/>
                <w:color w:val="0B2545"/>
                <w:sz w:val="18"/>
              </w:rPr>
              <w:t>Start Here</w:t>
            </w:r>
          </w:p>
        </w:tc>
        <w:tc>
          <w:tcPr>
            <w:tcW w:type="dxa" w:w="5710"/>
            <w:vAlign w:val="center"/>
            <w:tcMar>
              <w:top w:w="100" w:type="dxa"/>
              <w:start w:w="120" w:type="dxa"/>
              <w:bottom w:w="100" w:type="dxa"/>
              <w:end w:w="120" w:type="dxa"/>
            </w:tcMar>
          </w:tcPr>
          <w:p>
            <w:pPr>
              <w:spacing w:after="0" w:line="252" w:lineRule="auto"/>
            </w:pPr>
            <w:r/>
            <w:r>
              <w:rPr>
                <w:rFonts w:ascii="Montserrat" w:hAnsi="Montserrat"/>
                <w:color w:val="0B2545"/>
                <w:sz w:val="18"/>
              </w:rPr>
              <w:t>Read orientation, notices, access rules, and support boundaries.</w:t>
            </w:r>
          </w:p>
        </w:tc>
      </w:tr>
      <w:tr>
        <w:trPr>
          <w:cantSplit w:val="true"/>
        </w:trPr>
        <w:tc>
          <w:tcPr>
            <w:tcW w:type="dxa" w:w="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01</w:t>
            </w:r>
          </w:p>
        </w:tc>
        <w:tc>
          <w:tcPr>
            <w:tcW w:type="dxa" w:w="275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LMFT Practice Act Module</w:t>
            </w:r>
          </w:p>
        </w:tc>
        <w:tc>
          <w:tcPr>
            <w:tcW w:type="dxa" w:w="571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Complete the module and submit the 25-question assessment.</w:t>
            </w:r>
          </w:p>
        </w:tc>
      </w:tr>
      <w:tr>
        <w:trPr>
          <w:cantSplit w:val="true"/>
        </w:trPr>
        <w:tc>
          <w:tcPr>
            <w:tcW w:type="dxa" w:w="900"/>
            <w:vAlign w:val="center"/>
            <w:tcMar>
              <w:top w:w="100" w:type="dxa"/>
              <w:start w:w="120" w:type="dxa"/>
              <w:bottom w:w="100" w:type="dxa"/>
              <w:end w:w="120" w:type="dxa"/>
            </w:tcMar>
          </w:tcPr>
          <w:p>
            <w:pPr>
              <w:spacing w:after="0" w:line="252" w:lineRule="auto"/>
            </w:pPr>
            <w:r/>
            <w:r>
              <w:rPr>
                <w:rFonts w:ascii="Montserrat" w:hAnsi="Montserrat"/>
                <w:b/>
                <w:color w:val="0B2545"/>
                <w:sz w:val="18"/>
              </w:rPr>
              <w:t>02-10</w:t>
            </w:r>
          </w:p>
        </w:tc>
        <w:tc>
          <w:tcPr>
            <w:tcW w:type="dxa" w:w="2750"/>
            <w:vAlign w:val="center"/>
            <w:tcMar>
              <w:top w:w="100" w:type="dxa"/>
              <w:start w:w="120" w:type="dxa"/>
              <w:bottom w:w="100" w:type="dxa"/>
              <w:end w:w="120" w:type="dxa"/>
            </w:tcMar>
          </w:tcPr>
          <w:p>
            <w:pPr>
              <w:spacing w:after="0" w:line="252" w:lineRule="auto"/>
            </w:pPr>
            <w:r/>
            <w:r>
              <w:rPr>
                <w:rFonts w:ascii="Montserrat" w:hAnsi="Montserrat"/>
                <w:color w:val="0B2545"/>
                <w:sz w:val="18"/>
              </w:rPr>
              <w:t>Workbooks 1-9</w:t>
            </w:r>
          </w:p>
        </w:tc>
        <w:tc>
          <w:tcPr>
            <w:tcW w:type="dxa" w:w="5710"/>
            <w:vAlign w:val="center"/>
            <w:tcMar>
              <w:top w:w="100" w:type="dxa"/>
              <w:start w:w="120" w:type="dxa"/>
              <w:bottom w:w="100" w:type="dxa"/>
              <w:end w:w="120" w:type="dxa"/>
            </w:tcMar>
          </w:tcPr>
          <w:p>
            <w:pPr>
              <w:spacing w:after="0" w:line="252" w:lineRule="auto"/>
            </w:pPr>
            <w:r/>
            <w:r>
              <w:rPr>
                <w:rFonts w:ascii="Montserrat" w:hAnsi="Montserrat"/>
                <w:color w:val="0B2545"/>
                <w:sz w:val="18"/>
              </w:rPr>
              <w:t>Read each workbook, complete its candidate assessment, then analyze gated rationales and remediation.</w:t>
            </w:r>
          </w:p>
        </w:tc>
      </w:tr>
      <w:tr>
        <w:trPr>
          <w:cantSplit w:val="true"/>
        </w:trPr>
        <w:tc>
          <w:tcPr>
            <w:tcW w:type="dxa" w:w="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11</w:t>
            </w:r>
          </w:p>
        </w:tc>
        <w:tc>
          <w:tcPr>
            <w:tcW w:type="dxa" w:w="275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Practice Examination A</w:t>
            </w:r>
          </w:p>
        </w:tc>
        <w:tc>
          <w:tcPr>
            <w:tcW w:type="dxa" w:w="571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Complete the 50-question form and performance worksheet.</w:t>
            </w:r>
          </w:p>
        </w:tc>
      </w:tr>
      <w:tr>
        <w:trPr>
          <w:cantSplit w:val="true"/>
        </w:trPr>
        <w:tc>
          <w:tcPr>
            <w:tcW w:type="dxa" w:w="900"/>
            <w:vAlign w:val="center"/>
            <w:tcMar>
              <w:top w:w="100" w:type="dxa"/>
              <w:start w:w="120" w:type="dxa"/>
              <w:bottom w:w="100" w:type="dxa"/>
              <w:end w:w="120" w:type="dxa"/>
            </w:tcMar>
          </w:tcPr>
          <w:p>
            <w:pPr>
              <w:spacing w:after="0" w:line="252" w:lineRule="auto"/>
            </w:pPr>
            <w:r/>
            <w:r>
              <w:rPr>
                <w:rFonts w:ascii="Montserrat" w:hAnsi="Montserrat"/>
                <w:b/>
                <w:color w:val="0B2545"/>
                <w:sz w:val="18"/>
              </w:rPr>
              <w:t>12</w:t>
            </w:r>
          </w:p>
        </w:tc>
        <w:tc>
          <w:tcPr>
            <w:tcW w:type="dxa" w:w="2750"/>
            <w:vAlign w:val="center"/>
            <w:tcMar>
              <w:top w:w="100" w:type="dxa"/>
              <w:start w:w="120" w:type="dxa"/>
              <w:bottom w:w="100" w:type="dxa"/>
              <w:end w:w="120" w:type="dxa"/>
            </w:tcMar>
          </w:tcPr>
          <w:p>
            <w:pPr>
              <w:spacing w:after="0" w:line="252" w:lineRule="auto"/>
            </w:pPr>
            <w:r/>
            <w:r>
              <w:rPr>
                <w:rFonts w:ascii="Montserrat" w:hAnsi="Montserrat"/>
                <w:color w:val="0B2545"/>
                <w:sz w:val="18"/>
              </w:rPr>
              <w:t>Practice Examination B</w:t>
            </w:r>
          </w:p>
        </w:tc>
        <w:tc>
          <w:tcPr>
            <w:tcW w:type="dxa" w:w="5710"/>
            <w:vAlign w:val="center"/>
            <w:tcMar>
              <w:top w:w="100" w:type="dxa"/>
              <w:start w:w="120" w:type="dxa"/>
              <w:bottom w:w="100" w:type="dxa"/>
              <w:end w:w="120" w:type="dxa"/>
            </w:tcMar>
          </w:tcPr>
          <w:p>
            <w:pPr>
              <w:spacing w:after="0" w:line="252" w:lineRule="auto"/>
            </w:pPr>
            <w:r/>
            <w:r>
              <w:rPr>
                <w:rFonts w:ascii="Montserrat" w:hAnsi="Montserrat"/>
                <w:color w:val="0B2545"/>
                <w:sz w:val="18"/>
              </w:rPr>
              <w:t>Complete the second 50-question form and compare error patterns.</w:t>
            </w:r>
          </w:p>
        </w:tc>
      </w:tr>
      <w:tr>
        <w:trPr>
          <w:cantSplit w:val="true"/>
        </w:trPr>
        <w:tc>
          <w:tcPr>
            <w:tcW w:type="dxa" w:w="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13</w:t>
            </w:r>
          </w:p>
        </w:tc>
        <w:tc>
          <w:tcPr>
            <w:tcW w:type="dxa" w:w="275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Comprehensive Final Examination</w:t>
            </w:r>
          </w:p>
        </w:tc>
        <w:tc>
          <w:tcPr>
            <w:tcW w:type="dxa" w:w="571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Complete the 100-question form and build a targeted final study plan.</w:t>
            </w:r>
          </w:p>
        </w:tc>
      </w:tr>
      <w:tr>
        <w:trPr>
          <w:cantSplit w:val="true"/>
        </w:trPr>
        <w:tc>
          <w:tcPr>
            <w:tcW w:type="dxa" w:w="900"/>
            <w:vAlign w:val="center"/>
            <w:tcMar>
              <w:top w:w="100" w:type="dxa"/>
              <w:start w:w="120" w:type="dxa"/>
              <w:bottom w:w="100" w:type="dxa"/>
              <w:end w:w="120" w:type="dxa"/>
            </w:tcMar>
          </w:tcPr>
          <w:p>
            <w:pPr>
              <w:spacing w:after="0" w:line="252" w:lineRule="auto"/>
            </w:pPr>
            <w:r/>
            <w:r>
              <w:rPr>
                <w:rFonts w:ascii="Montserrat" w:hAnsi="Montserrat"/>
                <w:b/>
                <w:color w:val="0B2545"/>
                <w:sz w:val="18"/>
              </w:rPr>
              <w:t>14</w:t>
            </w:r>
          </w:p>
        </w:tc>
        <w:tc>
          <w:tcPr>
            <w:tcW w:type="dxa" w:w="2750"/>
            <w:vAlign w:val="center"/>
            <w:tcMar>
              <w:top w:w="100" w:type="dxa"/>
              <w:start w:w="120" w:type="dxa"/>
              <w:bottom w:w="100" w:type="dxa"/>
              <w:end w:w="120" w:type="dxa"/>
            </w:tcMar>
          </w:tcPr>
          <w:p>
            <w:pPr>
              <w:spacing w:after="0" w:line="252" w:lineRule="auto"/>
            </w:pPr>
            <w:r/>
            <w:r>
              <w:rPr>
                <w:rFonts w:ascii="Montserrat" w:hAnsi="Montserrat"/>
                <w:color w:val="0B2545"/>
                <w:sz w:val="18"/>
              </w:rPr>
              <w:t>Study Center and Toolkits</w:t>
            </w:r>
          </w:p>
        </w:tc>
        <w:tc>
          <w:tcPr>
            <w:tcW w:type="dxa" w:w="5710"/>
            <w:vAlign w:val="center"/>
            <w:tcMar>
              <w:top w:w="100" w:type="dxa"/>
              <w:start w:w="120" w:type="dxa"/>
              <w:bottom w:w="100" w:type="dxa"/>
              <w:end w:w="120" w:type="dxa"/>
            </w:tcMar>
          </w:tcPr>
          <w:p>
            <w:pPr>
              <w:spacing w:after="0" w:line="252" w:lineRule="auto"/>
            </w:pPr>
            <w:r/>
            <w:r>
              <w:rPr>
                <w:rFonts w:ascii="Montserrat" w:hAnsi="Montserrat"/>
                <w:color w:val="0B2545"/>
                <w:sz w:val="18"/>
              </w:rPr>
              <w:t>Use the 807-card study center and six toolkits throughout the program.</w:t>
            </w:r>
          </w:p>
        </w:tc>
      </w:tr>
      <w:tr>
        <w:trPr>
          <w:cantSplit w:val="true"/>
        </w:trPr>
        <w:tc>
          <w:tcPr>
            <w:tcW w:type="dxa" w:w="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15</w:t>
            </w:r>
          </w:p>
        </w:tc>
        <w:tc>
          <w:tcPr>
            <w:tcW w:type="dxa" w:w="275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Program Close</w:t>
            </w:r>
          </w:p>
        </w:tc>
        <w:tc>
          <w:tcPr>
            <w:tcW w:type="dxa" w:w="571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Review strengths, open gaps, next-study actions, and test-day preparation.</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E8F6F4"/>
          </w:tcPr>
          <w:p>
            <w:pPr>
              <w:spacing w:after="0"/>
            </w:pPr>
            <w:r>
              <w:rPr>
                <w:rFonts w:ascii="Montserrat" w:hAnsi="Montserrat"/>
                <w:b/>
                <w:color w:val="216E39"/>
                <w:sz w:val="21"/>
              </w:rPr>
              <w:t xml:space="preserve">PLACEMENT CONTROL  </w:t>
            </w:r>
            <w:r>
              <w:rPr>
                <w:rFonts w:ascii="Montserrat" w:hAnsi="Montserrat"/>
                <w:color w:val="216E39"/>
                <w:sz w:val="21"/>
              </w:rPr>
              <w:t>Approved sequence: place the LMFT Practice Act module immediately after Start Here and before Workbook 1. The module, master map, Stage 8 plan, manifest, and staging register must all use this sequence.</w:t>
            </w:r>
          </w:p>
        </w:tc>
      </w:tr>
    </w:tbl>
    <w:p>
      <w:pPr>
        <w:spacing w:after="20"/>
      </w:pPr>
    </w:p>
    <w:p>
      <w:pPr>
        <w:pStyle w:val="Heading2"/>
        <w:keepNext/>
      </w:pPr>
      <w:r>
        <w:t>6.3 How to Use Each Assessment</w:t>
      </w:r>
    </w:p>
    <w:p>
      <w:pPr>
        <w:pStyle w:val="ListNumber"/>
        <w:spacing w:after="100" w:line="278" w:lineRule="auto"/>
      </w:pPr>
      <w:r>
        <w:rPr>
          <w:rFonts w:ascii="Montserrat" w:hAnsi="Montserrat"/>
          <w:color w:val="0B2545"/>
          <w:sz w:val="22"/>
        </w:rPr>
        <w:t>Complete the answer-hidden candidate form without opening the controlled rationale file.</w:t>
      </w:r>
    </w:p>
    <w:p>
      <w:pPr>
        <w:pStyle w:val="ListNumber"/>
        <w:spacing w:after="100" w:line="278" w:lineRule="auto"/>
      </w:pPr>
      <w:r>
        <w:rPr>
          <w:rFonts w:ascii="Montserrat" w:hAnsi="Montserrat"/>
          <w:color w:val="0B2545"/>
          <w:sz w:val="22"/>
        </w:rPr>
        <w:t>Submit the attempt through the LMS or the approved completion trigger.</w:t>
      </w:r>
    </w:p>
    <w:p>
      <w:pPr>
        <w:pStyle w:val="ListNumber"/>
        <w:spacing w:after="100" w:line="278" w:lineRule="auto"/>
      </w:pPr>
      <w:r>
        <w:rPr>
          <w:rFonts w:ascii="Montserrat" w:hAnsi="Montserrat"/>
          <w:color w:val="0B2545"/>
          <w:sz w:val="22"/>
        </w:rPr>
        <w:t>Review the score and every option-level rationale, including questions answered correctly.</w:t>
      </w:r>
    </w:p>
    <w:p>
      <w:pPr>
        <w:pStyle w:val="ListNumber"/>
        <w:spacing w:after="100" w:line="278" w:lineRule="auto"/>
      </w:pPr>
      <w:r>
        <w:rPr>
          <w:rFonts w:ascii="Montserrat" w:hAnsi="Montserrat"/>
          <w:color w:val="0B2545"/>
          <w:sz w:val="22"/>
        </w:rPr>
        <w:t>Record the reason for each miss or uncertain answer in the performance worksheet or error log.</w:t>
      </w:r>
    </w:p>
    <w:p>
      <w:pPr>
        <w:pStyle w:val="ListNumber"/>
        <w:spacing w:after="100" w:line="278" w:lineRule="auto"/>
      </w:pPr>
      <w:r>
        <w:rPr>
          <w:rFonts w:ascii="Montserrat" w:hAnsi="Montserrat"/>
          <w:color w:val="0B2545"/>
          <w:sz w:val="22"/>
        </w:rPr>
        <w:t>Return to the assigned workbook section, toolkit, or flashcard set before retesting.</w:t>
      </w:r>
    </w:p>
    <w:p>
      <w:pPr>
        <w:pStyle w:val="Heading2"/>
        <w:keepNext/>
      </w:pPr>
      <w:r>
        <w:t>6.4 Support and Access Notice</w:t>
      </w:r>
    </w:p>
    <w:p>
      <w:pPr>
        <w:keepNext w:val="0"/>
        <w:spacing w:before="0" w:after="120" w:line="278" w:lineRule="auto"/>
      </w:pPr>
      <w:r>
        <w:rPr>
          <w:rFonts w:ascii="Montserrat" w:hAnsi="Montserrat"/>
          <w:b w:val="0"/>
          <w:i w:val="0"/>
          <w:color w:val="0B2545"/>
          <w:sz w:val="22"/>
        </w:rPr>
        <w:t>Your access begins on [ENROLLMENT DATE] and ends on [EXPIRATION DATE]. Downloaded materials are for your personal study use. For login, enrollment, access, or file-opening problems, use [SUPPORT CONTACT / FORM]. CTA cannot determine examination eligibility or provide legal advice about an individual licensing matter.</w:t>
      </w:r>
    </w:p>
    <w:p>
      <w:pPr>
        <w:pStyle w:val="Heading1"/>
        <w:keepNext/>
      </w:pPr>
      <w:r>
        <w:t>7. LMS Labels and Release Messages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7060"/>
      </w:tblGrid>
      <w:tr>
        <w:trPr>
          <w:tblHeader w:val="true"/>
          <w:cantSplit w:val="true"/>
        </w:trPr>
        <w:tc>
          <w:tcPr>
            <w:tcW w:type="dxa" w:w="23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Trigger</w:t>
            </w:r>
          </w:p>
        </w:tc>
        <w:tc>
          <w:tcPr>
            <w:tcW w:type="dxa" w:w="70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Learner Message</w:t>
            </w:r>
          </w:p>
        </w:tc>
      </w:tr>
      <w:tr>
        <w:trPr>
          <w:cantSplit w:val="true"/>
        </w:trPr>
        <w:tc>
          <w:tcPr>
            <w:tcW w:type="dxa" w:w="2300"/>
            <w:vAlign w:val="center"/>
            <w:tcMar>
              <w:top w:w="100" w:type="dxa"/>
              <w:start w:w="120" w:type="dxa"/>
              <w:bottom w:w="100" w:type="dxa"/>
              <w:end w:w="120" w:type="dxa"/>
            </w:tcMar>
          </w:tcPr>
          <w:p>
            <w:pPr>
              <w:spacing w:after="0" w:line="252" w:lineRule="auto"/>
            </w:pPr>
            <w:r/>
            <w:r>
              <w:rPr>
                <w:rFonts w:ascii="Montserrat" w:hAnsi="Montserrat"/>
                <w:b/>
                <w:color w:val="0B2545"/>
                <w:sz w:val="18"/>
              </w:rPr>
              <w:t>Before assessment</w:t>
            </w:r>
          </w:p>
        </w:tc>
        <w:tc>
          <w:tcPr>
            <w:tcW w:type="dxa" w:w="7060"/>
            <w:vAlign w:val="center"/>
            <w:tcMar>
              <w:top w:w="100" w:type="dxa"/>
              <w:start w:w="120" w:type="dxa"/>
              <w:bottom w:w="100" w:type="dxa"/>
              <w:end w:w="120" w:type="dxa"/>
            </w:tcMar>
          </w:tcPr>
          <w:p>
            <w:pPr>
              <w:spacing w:after="0" w:line="252" w:lineRule="auto"/>
            </w:pPr>
            <w:r/>
            <w:r>
              <w:rPr>
                <w:rFonts w:ascii="Montserrat" w:hAnsi="Montserrat"/>
                <w:color w:val="0B2545"/>
                <w:sz w:val="18"/>
              </w:rPr>
              <w:t>Complete the candidate assessment before opening answer review and remediation.</w:t>
            </w:r>
          </w:p>
        </w:tc>
      </w:tr>
      <w:tr>
        <w:trPr>
          <w:cantSplit w:val="true"/>
        </w:trPr>
        <w:tc>
          <w:tcPr>
            <w:tcW w:type="dxa" w:w="23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Submission confirmation</w:t>
            </w:r>
          </w:p>
        </w:tc>
        <w:tc>
          <w:tcPr>
            <w:tcW w:type="dxa" w:w="70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Your attempt has been submitted. Answer review, detailed rationales, and remediation are now available.</w:t>
            </w:r>
          </w:p>
        </w:tc>
      </w:tr>
      <w:tr>
        <w:trPr>
          <w:cantSplit w:val="true"/>
        </w:trPr>
        <w:tc>
          <w:tcPr>
            <w:tcW w:type="dxa" w:w="2300"/>
            <w:vAlign w:val="center"/>
            <w:tcMar>
              <w:top w:w="100" w:type="dxa"/>
              <w:start w:w="120" w:type="dxa"/>
              <w:bottom w:w="100" w:type="dxa"/>
              <w:end w:w="120" w:type="dxa"/>
            </w:tcMar>
          </w:tcPr>
          <w:p>
            <w:pPr>
              <w:spacing w:after="0" w:line="252" w:lineRule="auto"/>
            </w:pPr>
            <w:r/>
            <w:r>
              <w:rPr>
                <w:rFonts w:ascii="Montserrat" w:hAnsi="Montserrat"/>
                <w:b/>
                <w:color w:val="0B2545"/>
                <w:sz w:val="18"/>
              </w:rPr>
              <w:t>Controlled file title</w:t>
            </w:r>
          </w:p>
        </w:tc>
        <w:tc>
          <w:tcPr>
            <w:tcW w:type="dxa" w:w="7060"/>
            <w:vAlign w:val="center"/>
            <w:tcMar>
              <w:top w:w="100" w:type="dxa"/>
              <w:start w:w="120" w:type="dxa"/>
              <w:bottom w:w="100" w:type="dxa"/>
              <w:end w:w="120" w:type="dxa"/>
            </w:tcMar>
          </w:tcPr>
          <w:p>
            <w:pPr>
              <w:spacing w:after="0" w:line="252" w:lineRule="auto"/>
            </w:pPr>
            <w:r/>
            <w:r>
              <w:rPr>
                <w:rFonts w:ascii="Montserrat" w:hAnsi="Montserrat"/>
                <w:color w:val="0B2545"/>
                <w:sz w:val="18"/>
              </w:rPr>
              <w:t>Post-Attempt Answer Review, Detailed Rationales, and Remediation</w:t>
            </w:r>
          </w:p>
        </w:tc>
      </w:tr>
      <w:tr>
        <w:trPr>
          <w:cantSplit w:val="true"/>
        </w:trPr>
        <w:tc>
          <w:tcPr>
            <w:tcW w:type="dxa" w:w="23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Retake reminder</w:t>
            </w:r>
          </w:p>
        </w:tc>
        <w:tc>
          <w:tcPr>
            <w:tcW w:type="dxa" w:w="70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Review your error pattern and assigned sections before beginning another attempt.</w:t>
            </w:r>
          </w:p>
        </w:tc>
      </w:tr>
      <w:tr>
        <w:trPr>
          <w:cantSplit w:val="true"/>
        </w:trPr>
        <w:tc>
          <w:tcPr>
            <w:tcW w:type="dxa" w:w="2300"/>
            <w:vAlign w:val="center"/>
            <w:tcMar>
              <w:top w:w="100" w:type="dxa"/>
              <w:start w:w="120" w:type="dxa"/>
              <w:bottom w:w="100" w:type="dxa"/>
              <w:end w:w="120" w:type="dxa"/>
            </w:tcMar>
          </w:tcPr>
          <w:p>
            <w:pPr>
              <w:spacing w:after="0" w:line="252" w:lineRule="auto"/>
            </w:pPr>
            <w:r/>
            <w:r>
              <w:rPr>
                <w:rFonts w:ascii="Montserrat" w:hAnsi="Montserrat"/>
                <w:b/>
                <w:color w:val="0B2545"/>
                <w:sz w:val="18"/>
              </w:rPr>
              <w:t>Expired access</w:t>
            </w:r>
          </w:p>
        </w:tc>
        <w:tc>
          <w:tcPr>
            <w:tcW w:type="dxa" w:w="7060"/>
            <w:vAlign w:val="center"/>
            <w:tcMar>
              <w:top w:w="100" w:type="dxa"/>
              <w:start w:w="120" w:type="dxa"/>
              <w:bottom w:w="100" w:type="dxa"/>
              <w:end w:w="120" w:type="dxa"/>
            </w:tcMar>
          </w:tcPr>
          <w:p>
            <w:pPr>
              <w:spacing w:after="0" w:line="252" w:lineRule="auto"/>
            </w:pPr>
            <w:r/>
            <w:r>
              <w:rPr>
                <w:rFonts w:ascii="Montserrat" w:hAnsi="Montserrat"/>
                <w:color w:val="0B2545"/>
                <w:sz w:val="18"/>
              </w:rPr>
              <w:t>Your access period has ended. Use [SUPPORT CONTACT / FORM] for questions about your account or the approved extension policy.</w:t>
            </w:r>
          </w:p>
        </w:tc>
      </w:tr>
      <w:tr>
        <w:trPr>
          <w:cantSplit w:val="true"/>
        </w:trPr>
        <w:tc>
          <w:tcPr>
            <w:tcW w:type="dxa" w:w="23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No certificate</w:t>
            </w:r>
          </w:p>
        </w:tc>
        <w:tc>
          <w:tcPr>
            <w:tcW w:type="dxa" w:w="70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This exam-preparation program does not issue a CE certificate or award continuing education credit.</w:t>
            </w:r>
          </w:p>
        </w:tc>
      </w:tr>
    </w:tbl>
    <w:p>
      <w:pPr>
        <w:spacing w:after="40"/>
      </w:pPr>
    </w:p>
    <w:p>
      <w:pPr>
        <w:pStyle w:val="Heading1"/>
        <w:keepNext/>
      </w:pPr>
      <w:r>
        <w:t>8. Program Close Copy</w:t>
      </w:r>
    </w:p>
    <w:p>
      <w:pPr>
        <w:keepNext w:val="0"/>
        <w:spacing w:before="0" w:after="120" w:line="278" w:lineRule="auto"/>
      </w:pPr>
      <w:r>
        <w:rPr>
          <w:rFonts w:ascii="Montserrat" w:hAnsi="Montserrat"/>
          <w:b w:val="0"/>
          <w:i w:val="0"/>
          <w:color w:val="0B2545"/>
          <w:sz w:val="22"/>
        </w:rPr>
        <w:t>You have reached the end of the CTA LMFT California Law &amp; Ethics Exam Preparation Program. Completion means you have worked through the program's learning sequence; it does not guarantee examination passage or replace the official BBS eligibility and scheduling process.</w:t>
      </w:r>
    </w:p>
    <w:p>
      <w:pPr>
        <w:keepNext w:val="0"/>
        <w:spacing w:before="0" w:after="120" w:line="278" w:lineRule="auto"/>
      </w:pPr>
      <w:r>
        <w:rPr>
          <w:rFonts w:ascii="Montserrat" w:hAnsi="Montserrat"/>
          <w:b w:val="0"/>
          <w:i w:val="0"/>
          <w:color w:val="0B2545"/>
          <w:sz w:val="22"/>
        </w:rPr>
        <w:t>Before scheduling or sitting for the examination, review your performance worksheets, unresolved error categories, high-yield timelines, LMFT Practice Act distinctions, and the questions you answered correctly for the wrong reason. Confirm current examination and eligibility information directly with BBS and the designated testing administrator.</w:t>
      </w:r>
    </w:p>
    <w:p>
      <w:pPr>
        <w:pStyle w:val="Heading2"/>
        <w:keepNext/>
      </w:pPr>
      <w:r>
        <w:t>Final Study Check</w:t>
      </w:r>
    </w:p>
    <w:p>
      <w:pPr>
        <w:pStyle w:val="ListBullet"/>
        <w:spacing w:after="80" w:line="278" w:lineRule="auto"/>
      </w:pPr>
      <w:r>
        <w:rPr>
          <w:rFonts w:ascii="Montserrat" w:hAnsi="Montserrat"/>
          <w:color w:val="0B2545"/>
          <w:sz w:val="22"/>
        </w:rPr>
        <w:t>I can separate LMFT, AMFT, trainee, applicant, supervisor, and employer roles.</w:t>
      </w:r>
    </w:p>
    <w:p>
      <w:pPr>
        <w:pStyle w:val="ListBullet"/>
        <w:spacing w:after="80" w:line="278" w:lineRule="auto"/>
      </w:pPr>
      <w:r>
        <w:rPr>
          <w:rFonts w:ascii="Montserrat" w:hAnsi="Montserrat"/>
          <w:color w:val="0B2545"/>
          <w:sz w:val="22"/>
        </w:rPr>
        <w:t>I can identify the current controlling source before relying on memory or a generalized ethical principle.</w:t>
      </w:r>
    </w:p>
    <w:p>
      <w:pPr>
        <w:pStyle w:val="ListBullet"/>
        <w:spacing w:after="80" w:line="278" w:lineRule="auto"/>
      </w:pPr>
      <w:r>
        <w:rPr>
          <w:rFonts w:ascii="Montserrat" w:hAnsi="Montserrat"/>
          <w:color w:val="0B2545"/>
          <w:sz w:val="22"/>
        </w:rPr>
        <w:t>I can distinguish a legal duty from an ethical best practice and identify when both apply.</w:t>
      </w:r>
    </w:p>
    <w:p>
      <w:pPr>
        <w:pStyle w:val="ListBullet"/>
        <w:spacing w:after="80" w:line="278" w:lineRule="auto"/>
      </w:pPr>
      <w:r>
        <w:rPr>
          <w:rFonts w:ascii="Montserrat" w:hAnsi="Montserrat"/>
          <w:color w:val="0B2545"/>
          <w:sz w:val="22"/>
        </w:rPr>
        <w:t>I can recognize timing words such as FIRST, NEXT, BEST, MOST, INITIAL, and EXCEPT.</w:t>
      </w:r>
    </w:p>
    <w:p>
      <w:pPr>
        <w:pStyle w:val="ListBullet"/>
        <w:spacing w:after="80" w:line="278" w:lineRule="auto"/>
      </w:pPr>
      <w:r>
        <w:rPr>
          <w:rFonts w:ascii="Montserrat" w:hAnsi="Montserrat"/>
          <w:color w:val="0B2545"/>
          <w:sz w:val="22"/>
        </w:rPr>
        <w:t>I can explain why each distractor is weaker, premature, incomplete, excessive, or assigned to the wrong role.</w:t>
      </w:r>
    </w:p>
    <w:p>
      <w:pPr>
        <w:pStyle w:val="ListBullet"/>
        <w:spacing w:after="80" w:line="278" w:lineRule="auto"/>
      </w:pPr>
      <w:r>
        <w:rPr>
          <w:rFonts w:ascii="Montserrat" w:hAnsi="Montserrat"/>
          <w:color w:val="0B2545"/>
          <w:sz w:val="22"/>
        </w:rPr>
        <w:t>I have a final review plan based on evidence from my own performance rather than reassurance alone.</w:t>
      </w:r>
    </w:p>
    <w:p>
      <w:pPr>
        <w:pStyle w:val="Heading1"/>
        <w:keepNext/>
      </w:pPr>
      <w:r>
        <w:t>9. Required Disclaimers and Rights Notices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7460"/>
      </w:tblGrid>
      <w:tr>
        <w:trPr>
          <w:tblHeader w:val="true"/>
          <w:cantSplit w:val="true"/>
        </w:trPr>
        <w:tc>
          <w:tcPr>
            <w:tcW w:type="dxa" w:w="19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Notice</w:t>
            </w:r>
          </w:p>
        </w:tc>
        <w:tc>
          <w:tcPr>
            <w:tcW w:type="dxa" w:w="74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Required Copy</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8"/>
              </w:rPr>
              <w:t>Independent resource</w:t>
            </w:r>
          </w:p>
        </w:tc>
        <w:tc>
          <w:tcPr>
            <w:tcW w:type="dxa" w:w="7460"/>
            <w:vAlign w:val="center"/>
            <w:tcMar>
              <w:top w:w="100" w:type="dxa"/>
              <w:start w:w="120" w:type="dxa"/>
              <w:bottom w:w="100" w:type="dxa"/>
              <w:end w:w="120" w:type="dxa"/>
            </w:tcMar>
          </w:tcPr>
          <w:p>
            <w:pPr>
              <w:spacing w:after="0" w:line="252" w:lineRule="auto"/>
            </w:pPr>
            <w:r/>
            <w:r>
              <w:rPr>
                <w:rFonts w:ascii="Montserrat" w:hAnsi="Montserrat"/>
                <w:color w:val="0B2545"/>
                <w:sz w:val="18"/>
              </w:rPr>
              <w:t>Clinical Training &amp; Supervision Academy is an independent educational resource and is not affiliated with or endorsed by the California Board of Behavioral Sciences, Pearson VUE, or another examination administrator.</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No guarantee</w:t>
            </w:r>
          </w:p>
        </w:tc>
        <w:tc>
          <w:tcPr>
            <w:tcW w:type="dxa" w:w="74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Participation supports examination preparation and does not guarantee passage, establish examination eligibility, determine licensure, or guarantee employment or professional outcomes.</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8"/>
              </w:rPr>
              <w:t>No CE</w:t>
            </w:r>
          </w:p>
        </w:tc>
        <w:tc>
          <w:tcPr>
            <w:tcW w:type="dxa" w:w="7460"/>
            <w:vAlign w:val="center"/>
            <w:tcMar>
              <w:top w:w="100" w:type="dxa"/>
              <w:start w:w="120" w:type="dxa"/>
              <w:bottom w:w="100" w:type="dxa"/>
              <w:end w:w="120" w:type="dxa"/>
            </w:tcMar>
          </w:tcPr>
          <w:p>
            <w:pPr>
              <w:spacing w:after="0" w:line="252" w:lineRule="auto"/>
            </w:pPr>
            <w:r/>
            <w:r>
              <w:rPr>
                <w:rFonts w:ascii="Montserrat" w:hAnsi="Montserrat"/>
                <w:color w:val="0B2545"/>
                <w:sz w:val="18"/>
              </w:rPr>
              <w:t>This is an exam-preparation program. It does not provide continuing education credit, require a CE evaluation, or issue a CE certificate.</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Personal use</w:t>
            </w:r>
          </w:p>
        </w:tc>
        <w:tc>
          <w:tcPr>
            <w:tcW w:type="dxa" w:w="74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Enrollment and downloadable materials are licensed for the enrolled learner's personal study use. Sharing, resale, public posting, unauthorized distribution, and commercial reproduction are prohibited.</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8"/>
              </w:rPr>
              <w:t>Original content</w:t>
            </w:r>
          </w:p>
        </w:tc>
        <w:tc>
          <w:tcPr>
            <w:tcW w:type="dxa" w:w="7460"/>
            <w:vAlign w:val="center"/>
            <w:tcMar>
              <w:top w:w="100" w:type="dxa"/>
              <w:start w:w="120" w:type="dxa"/>
              <w:bottom w:w="100" w:type="dxa"/>
              <w:end w:w="120" w:type="dxa"/>
            </w:tcMar>
          </w:tcPr>
          <w:p>
            <w:pPr>
              <w:spacing w:after="0" w:line="252" w:lineRule="auto"/>
            </w:pPr>
            <w:r/>
            <w:r>
              <w:rPr>
                <w:rFonts w:ascii="Montserrat" w:hAnsi="Montserrat"/>
                <w:color w:val="0B2545"/>
                <w:sz w:val="18"/>
              </w:rPr>
              <w:t>CTA questions, rationales, frameworks, graphics, and study tools are original protected educational content and do not include live, recalled, copied, or unauthorized licensing-examination questions.</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Not legal advice</w:t>
            </w:r>
          </w:p>
        </w:tc>
        <w:tc>
          <w:tcPr>
            <w:tcW w:type="dxa" w:w="74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Educational content is not legal advice. Learners should consult current official sources, BBS, qualified counsel, or another appropriate authority for individual legal or licensing questions.</w:t>
            </w:r>
          </w:p>
        </w:tc>
      </w:tr>
    </w:tbl>
    <w:p>
      <w:pPr>
        <w:spacing w:after="40"/>
      </w:pPr>
    </w:p>
    <w:p>
      <w:pPr>
        <w:pStyle w:val="Heading1"/>
        <w:keepNext/>
      </w:pPr>
      <w:r>
        <w:t>10. Approved Business and Assessment Rules</w:t>
      </w:r>
    </w:p>
    <w:p>
      <w:pPr>
        <w:keepNext w:val="0"/>
        <w:spacing w:before="0" w:after="120" w:line="278" w:lineRule="auto"/>
      </w:pPr>
      <w:r>
        <w:rPr>
          <w:rFonts w:ascii="Montserrat" w:hAnsi="Montserrat"/>
          <w:b w:val="0"/>
          <w:i w:val="0"/>
          <w:color w:val="0B2545"/>
          <w:sz w:val="22"/>
        </w:rPr>
        <w:t>Candice approved the following controlling rules on August 3, 2026. These exact rules govern the website, checkout, FAQ, learner orientation, LMS configuration, support workflow, and staging tests.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5800"/>
        <w:gridCol w:w="1660"/>
      </w:tblGrid>
      <w:tr>
        <w:trPr>
          <w:tblHeader w:val="true"/>
          <w:cantSplit w:val="true"/>
        </w:trPr>
        <w:tc>
          <w:tcPr>
            <w:tcW w:type="dxa" w:w="19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Decision</w:t>
            </w:r>
          </w:p>
        </w:tc>
        <w:tc>
          <w:tcPr>
            <w:tcW w:type="dxa" w:w="58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Approved Rule</w:t>
            </w:r>
          </w:p>
        </w:tc>
        <w:tc>
          <w:tcPr>
            <w:tcW w:type="dxa" w:w="16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Status</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7"/>
              </w:rPr>
              <w:t>Support response</w:t>
            </w:r>
          </w:p>
        </w:tc>
        <w:tc>
          <w:tcPr>
            <w:tcW w:type="dxa" w:w="5800"/>
            <w:vAlign w:val="center"/>
            <w:tcMar>
              <w:top w:w="100" w:type="dxa"/>
              <w:start w:w="120" w:type="dxa"/>
              <w:bottom w:w="100" w:type="dxa"/>
              <w:end w:w="120" w:type="dxa"/>
            </w:tcMar>
          </w:tcPr>
          <w:p>
            <w:pPr>
              <w:spacing w:after="0" w:line="252" w:lineRule="auto"/>
            </w:pPr>
            <w:r/>
            <w:r>
              <w:rPr>
                <w:rFonts w:ascii="Montserrat" w:hAnsi="Montserrat"/>
                <w:color w:val="0B2545"/>
                <w:sz w:val="17"/>
              </w:rPr>
              <w:t>Respond to learner-support inquiries within two business days.</w:t>
            </w:r>
          </w:p>
        </w:tc>
        <w:tc>
          <w:tcPr>
            <w:tcW w:type="dxa" w:w="1660"/>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Refund policy</w:t>
            </w:r>
          </w:p>
        </w:tc>
        <w:tc>
          <w:tcPr>
            <w:tcW w:type="dxa" w:w="58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Refund within seven calendar days only when course materials have not been accessed; after access, nonrefundable except duplicate charges, CTA-caused access failures, or applicable-law requirements.</w:t>
            </w:r>
          </w:p>
        </w:tc>
        <w:tc>
          <w:tcPr>
            <w:tcW w:type="dxa" w:w="16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7"/>
              </w:rPr>
              <w:t>Access extensions</w:t>
            </w:r>
          </w:p>
        </w:tc>
        <w:tc>
          <w:tcPr>
            <w:tcW w:type="dxa" w:w="5800"/>
            <w:vAlign w:val="center"/>
            <w:tcMar>
              <w:top w:w="100" w:type="dxa"/>
              <w:start w:w="120" w:type="dxa"/>
              <w:bottom w:w="100" w:type="dxa"/>
              <w:end w:w="120" w:type="dxa"/>
            </w:tcMar>
          </w:tcPr>
          <w:p>
            <w:pPr>
              <w:spacing w:after="0" w:line="252" w:lineRule="auto"/>
            </w:pPr>
            <w:r/>
            <w:r>
              <w:rPr>
                <w:rFonts w:ascii="Montserrat" w:hAnsi="Montserrat"/>
                <w:color w:val="0B2545"/>
                <w:sz w:val="17"/>
              </w:rPr>
              <w:t>One complimentary 30-calendar-day extension requested before original access expires; additional extensions require case-by-case approval.</w:t>
            </w:r>
          </w:p>
        </w:tc>
        <w:tc>
          <w:tcPr>
            <w:tcW w:type="dxa" w:w="1660"/>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Content updates</w:t>
            </w:r>
          </w:p>
        </w:tc>
        <w:tc>
          <w:tcPr>
            <w:tcW w:type="dxa" w:w="58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Provide significant legal or regulatory updates when reasonably practicable during active access.</w:t>
            </w:r>
          </w:p>
        </w:tc>
        <w:tc>
          <w:tcPr>
            <w:tcW w:type="dxa" w:w="16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r>
        <w:trPr>
          <w:cantSplit w:val="true"/>
        </w:trPr>
        <w:tc>
          <w:tcPr>
            <w:tcW w:type="dxa" w:w="1900"/>
            <w:vAlign w:val="center"/>
            <w:tcMar>
              <w:top w:w="100" w:type="dxa"/>
              <w:start w:w="120" w:type="dxa"/>
              <w:bottom w:w="100" w:type="dxa"/>
              <w:end w:w="120" w:type="dxa"/>
            </w:tcMar>
          </w:tcPr>
          <w:p>
            <w:pPr>
              <w:spacing w:after="0" w:line="252" w:lineRule="auto"/>
            </w:pPr>
            <w:r/>
            <w:r>
              <w:rPr>
                <w:rFonts w:ascii="Montserrat" w:hAnsi="Montserrat"/>
                <w:b/>
                <w:color w:val="0B2545"/>
                <w:sz w:val="17"/>
              </w:rPr>
              <w:t>Technical assistance</w:t>
            </w:r>
          </w:p>
        </w:tc>
        <w:tc>
          <w:tcPr>
            <w:tcW w:type="dxa" w:w="5800"/>
            <w:vAlign w:val="center"/>
            <w:tcMar>
              <w:top w:w="100" w:type="dxa"/>
              <w:start w:w="120" w:type="dxa"/>
              <w:bottom w:w="100" w:type="dxa"/>
              <w:end w:w="120" w:type="dxa"/>
            </w:tcMar>
          </w:tcPr>
          <w:p>
            <w:pPr>
              <w:spacing w:after="0" w:line="252" w:lineRule="auto"/>
            </w:pPr>
            <w:r/>
            <w:r>
              <w:rPr>
                <w:rFonts w:ascii="Montserrat" w:hAnsi="Montserrat"/>
                <w:color w:val="0B2545"/>
                <w:sz w:val="17"/>
              </w:rPr>
              <w:t>Course-access and platform support only; no legal advice, personal-device troubleshooting, internet service, or BBS eligibility determination.</w:t>
            </w:r>
          </w:p>
        </w:tc>
        <w:tc>
          <w:tcPr>
            <w:tcW w:type="dxa" w:w="1660"/>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r>
        <w:trPr>
          <w:cantSplit w:val="true"/>
        </w:trPr>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Assessment settings</w:t>
            </w:r>
          </w:p>
        </w:tc>
        <w:tc>
          <w:tcPr>
            <w:tcW w:type="dxa" w:w="58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Unlimited attempts; 80% recommended readiness benchmark, not a completion gate; scores and rationales only after submission; fixed question and answer-choice order.</w:t>
            </w:r>
          </w:p>
        </w:tc>
        <w:tc>
          <w:tcPr>
            <w:tcW w:type="dxa" w:w="16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Approved</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FFF7D6"/>
          </w:tcPr>
          <w:p>
            <w:pPr>
              <w:spacing w:after="0"/>
            </w:pPr>
            <w:r>
              <w:rPr>
                <w:rFonts w:ascii="Montserrat" w:hAnsi="Montserrat"/>
                <w:b/>
                <w:color w:val="7A5A00"/>
                <w:sz w:val="21"/>
              </w:rPr>
              <w:t xml:space="preserve">IMPLEMENTATION CONTROL  </w:t>
            </w:r>
            <w:r>
              <w:rPr>
                <w:rFonts w:ascii="Montserrat" w:hAnsi="Montserrat"/>
                <w:color w:val="7A5A00"/>
                <w:sz w:val="21"/>
              </w:rPr>
              <w:t>Before activation, insert CTA's current support contact and link the approved refund policy at checkout. These implementation fields do not alter the approved terms above.</w:t>
            </w:r>
          </w:p>
        </w:tc>
      </w:tr>
    </w:tbl>
    <w:p>
      <w:pPr>
        <w:spacing w:after="20"/>
      </w:pPr>
    </w:p>
    <w:p>
      <w:pPr>
        <w:pStyle w:val="Heading1"/>
        <w:keepNext/>
      </w:pPr>
      <w:r>
        <w:t>11. Final Synchronization Checklist</w:t>
      </w:r>
    </w:p>
    <w:p>
      <w:pPr>
        <w:pStyle w:val="ListBullet"/>
        <w:spacing w:after="80" w:line="278" w:lineRule="auto"/>
      </w:pPr>
      <w:r>
        <w:rPr>
          <w:rFonts w:ascii="Montserrat" w:hAnsi="Montserrat"/>
          <w:color w:val="0B2545"/>
          <w:sz w:val="22"/>
        </w:rPr>
        <w:t>Website title, catalog entry, pricing entry, checkout, receipt, dashboard, FAQs, email messages, and LMS labels use the exact LMFT-only product identity.</w:t>
      </w:r>
    </w:p>
    <w:p>
      <w:pPr>
        <w:pStyle w:val="ListBullet"/>
        <w:spacing w:after="80" w:line="278" w:lineRule="auto"/>
      </w:pPr>
      <w:r>
        <w:rPr>
          <w:rFonts w:ascii="Montserrat" w:hAnsi="Montserrat"/>
          <w:color w:val="0B2545"/>
          <w:sz w:val="22"/>
        </w:rPr>
        <w:t>Every surface displays $199 launch price, six-month access, and no-CE classification consistently.</w:t>
      </w:r>
    </w:p>
    <w:p>
      <w:pPr>
        <w:pStyle w:val="ListBullet"/>
        <w:spacing w:after="80" w:line="278" w:lineRule="auto"/>
      </w:pPr>
      <w:r>
        <w:rPr>
          <w:rFonts w:ascii="Montserrat" w:hAnsi="Montserrat"/>
          <w:color w:val="0B2545"/>
          <w:sz w:val="22"/>
        </w:rPr>
        <w:t>The LMFT Practice Act module placement is resolved and synchronized across the LMS map, Start Here, manifest, and staging tests.</w:t>
      </w:r>
    </w:p>
    <w:p>
      <w:pPr>
        <w:pStyle w:val="ListBullet"/>
        <w:spacing w:after="80" w:line="278" w:lineRule="auto"/>
      </w:pPr>
      <w:r>
        <w:rPr>
          <w:rFonts w:ascii="Montserrat" w:hAnsi="Montserrat"/>
          <w:color w:val="0B2545"/>
          <w:sz w:val="22"/>
        </w:rPr>
        <w:t>Answer-hidden candidate materials appear before controlled answer review and rationales.</w:t>
      </w:r>
    </w:p>
    <w:p>
      <w:pPr>
        <w:pStyle w:val="ListBullet"/>
        <w:spacing w:after="80" w:line="278" w:lineRule="auto"/>
      </w:pPr>
      <w:r>
        <w:rPr>
          <w:rFonts w:ascii="Montserrat" w:hAnsi="Montserrat"/>
          <w:color w:val="0B2545"/>
          <w:sz w:val="22"/>
        </w:rPr>
        <w:t>The six toolkits and 807-card study center use learner-facing display names without upload-copy suffixes.</w:t>
      </w:r>
    </w:p>
    <w:p>
      <w:pPr>
        <w:pStyle w:val="ListBullet"/>
        <w:spacing w:after="80" w:line="278" w:lineRule="auto"/>
      </w:pPr>
      <w:r>
        <w:rPr>
          <w:rFonts w:ascii="Montserrat" w:hAnsi="Montserrat"/>
          <w:color w:val="0B2545"/>
          <w:sz w:val="22"/>
        </w:rPr>
        <w:t>No public page exposes internal versions, source IDs, difficulty labels, protected filenames, or controlled-key locations.</w:t>
      </w:r>
    </w:p>
    <w:p>
      <w:pPr>
        <w:pStyle w:val="ListBullet"/>
        <w:spacing w:after="80" w:line="278" w:lineRule="auto"/>
      </w:pPr>
      <w:r>
        <w:rPr>
          <w:rFonts w:ascii="Montserrat" w:hAnsi="Montserrat"/>
          <w:color w:val="0B2545"/>
          <w:sz w:val="22"/>
        </w:rPr>
        <w:t>Refund, extension, update, and technical-support language matches the approved CTA policies and links.</w:t>
      </w:r>
    </w:p>
    <w:p>
      <w:pPr>
        <w:pStyle w:val="ListBullet"/>
        <w:spacing w:after="80" w:line="278" w:lineRule="auto"/>
      </w:pPr>
      <w:r>
        <w:rPr>
          <w:rFonts w:ascii="Montserrat" w:hAnsi="Montserrat"/>
          <w:color w:val="0B2545"/>
          <w:sz w:val="22"/>
        </w:rPr>
        <w:t>The public offer remains unavailable until the staging register passes and Candice records Approved for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ontserrat" w:hAnsi="Montserrat"/>
        <w:color w:val="667085"/>
        <w:sz w:val="18"/>
      </w:rPr>
      <w:t xml:space="preserve">CTA-EP-001 | INTERNAL COPY CONTROL | Page </w:t>
    </w:r>
    <w:r>
      <w:rPr>
        <w:rFonts w:ascii="Montserrat" w:hAnsi="Montserrat"/>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ontserrat" w:hAnsi="Montserrat"/>
        <w:b/>
        <w:color w:val="667085"/>
        <w:sz w:val="17"/>
      </w:rPr>
      <w:t>CTA LMFT LAW &amp; ETHICS | PUBLIC AND LMS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Montserrat" w:hAnsi="Montserrat"/>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ontserrat" w:hAnsi="Montserrat"/>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ontserrat" w:hAnsi="Montserrat"/>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ontserrat" w:hAnsi="Montserrat"/>
      <w:b/>
      <w:bCs/>
      <w:color w:val="13A8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contextualSpacing/>
    </w:pPr>
    <w:rPr>
      <w:rFonts w:ascii="Montserrat" w:hAnsi="Montserrat"/>
      <w:color w:val="0B2545"/>
      <w:sz w:val="22"/>
    </w:rPr>
  </w:style>
  <w:style w:type="paragraph" w:styleId="ListBullet2">
    <w:name w:val="List Bullet 2"/>
    <w:basedOn w:val="Normal"/>
    <w:uiPriority w:val="99"/>
    <w:unhideWhenUsed/>
    <w:rsid w:val="00326F90"/>
    <w:pPr>
      <w:numPr>
        <w:numId w:val="2"/>
      </w:numPr>
      <w:spacing w:after="80" w:line="278" w:lineRule="auto"/>
      <w:contextualSpacing/>
    </w:pPr>
    <w:rPr>
      <w:rFonts w:ascii="Montserrat" w:hAnsi="Montserrat"/>
      <w:color w:val="0B2545"/>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contextualSpacing/>
    </w:pPr>
    <w:rPr>
      <w:rFonts w:ascii="Montserrat" w:hAnsi="Montserrat"/>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Website, Catalog, Checkout, FAQ, and LMS Copy Package</dc:title>
  <dc:subject>Controlled public and learner-experience copy for CTA-EP-001</dc:subject>
  <dc:creator>Clinical Training &amp; Supervision Academy</dc:creator>
  <cp:keywords>CTA, LMFT, Law and Ethics, website, catalog, checkout, FAQ, LMS</cp:keywords>
  <dc:description>Internal final copy. Exam preparation only; no CE credit. Public activation remains blocked pending staging and final release approval.</dc:description>
  <cp:lastModifiedBy/>
  <cp:revision>1</cp:revision>
  <dcterms:created xsi:type="dcterms:W3CDTF">2013-12-23T23:15:00Z</dcterms:created>
  <dcterms:modified xsi:type="dcterms:W3CDTF">2013-12-23T23:15:00Z</dcterms:modified>
  <cp:category/>
</cp:coreProperties>
</file>