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drawing>
          <wp:inline xmlns:a="http://schemas.openxmlformats.org/drawingml/2006/main" xmlns:pic="http://schemas.openxmlformats.org/drawingml/2006/picture">
            <wp:extent cx="2743200" cy="1982912"/>
            <wp:docPr id="1" name="Picture 1" descr="Clinical Training and Supervision Academy stacked logo"/>
            <wp:cNvGraphicFramePr>
              <a:graphicFrameLocks noChangeAspect="1"/>
            </wp:cNvGraphicFramePr>
            <a:graphic>
              <a:graphicData uri="http://schemas.openxmlformats.org/drawingml/2006/picture">
                <pic:pic>
                  <pic:nvPicPr>
                    <pic:cNvPr id="0" name="05-CTA_Stacked_Logo.png"/>
                    <pic:cNvPicPr/>
                  </pic:nvPicPr>
                  <pic:blipFill>
                    <a:blip r:embed="rId13"/>
                    <a:stretch>
                      <a:fillRect/>
                    </a:stretch>
                  </pic:blipFill>
                  <pic:spPr>
                    <a:xfrm>
                      <a:off x="0" y="0"/>
                      <a:ext cx="2743200" cy="1982912"/>
                    </a:xfrm>
                    <a:prstGeom prst="rect"/>
                  </pic:spPr>
                </pic:pic>
              </a:graphicData>
            </a:graphic>
          </wp:inline>
        </w:drawing>
      </w:r>
    </w:p>
    <w:p>
      <w:pPr>
        <w:pStyle w:val="Subtitle"/>
        <w:spacing w:before="200" w:after="40"/>
        <w:jc w:val="center"/>
      </w:pPr>
      <w:r>
        <w:rPr>
          <w:rFonts w:ascii="Liberation Sans" w:hAnsi="Liberation Sans"/>
          <w:b/>
          <w:i w:val="0"/>
          <w:color w:val="00A6A6"/>
          <w:sz w:val="30"/>
        </w:rPr>
        <w:t>CTA LMFT AMFTRB</w:t>
      </w:r>
    </w:p>
    <w:p>
      <w:pPr>
        <w:spacing w:after="340"/>
        <w:jc w:val="center"/>
      </w:pPr>
      <w:r>
        <w:rPr>
          <w:rFonts w:ascii="Liberation Sans" w:hAnsi="Liberation Sans"/>
          <w:b/>
          <w:i w:val="0"/>
          <w:color w:val="0A2458"/>
          <w:sz w:val="21"/>
        </w:rPr>
        <w:t>NATIONAL EXAM PREPARATION PROGRAM</w:t>
      </w:r>
    </w:p>
    <w:p>
      <w:pPr>
        <w:pStyle w:val="Title"/>
        <w:jc w:val="center"/>
      </w:pPr>
      <w:r>
        <w:t>Checkpoint 3</w:t>
      </w:r>
    </w:p>
    <w:p>
      <w:pPr>
        <w:pStyle w:val="Title"/>
        <w:spacing w:after="100"/>
        <w:jc w:val="center"/>
      </w:pPr>
      <w:r>
        <w:t>90-Question Candidate Assessment</w:t>
      </w:r>
    </w:p>
    <w:p>
      <w:pPr>
        <w:spacing w:after="240"/>
        <w:jc w:val="center"/>
      </w:pPr>
      <w:r>
        <w:rPr>
          <w:rFonts w:ascii="Liberation Sans" w:hAnsi="Liberation Sans"/>
          <w:b/>
          <w:i w:val="0"/>
          <w:color w:val="00A6A6"/>
          <w:sz w:val="23"/>
        </w:rPr>
        <w:t>120 minutes | One best answer | Timed first attempt</w:t>
      </w:r>
    </w:p>
    <w:p>
      <w:pPr>
        <w:keepNext w:val="0"/>
        <w:spacing w:before="0" w:after="60" w:line="259" w:lineRule="auto"/>
        <w:jc w:val="center"/>
      </w:pPr>
      <w:r>
        <w:rPr>
          <w:rFonts w:ascii="Liberation Sans" w:hAnsi="Liberation Sans"/>
          <w:b w:val="0"/>
          <w:i w:val="0"/>
          <w:color w:val="5C6670"/>
          <w:sz w:val="18"/>
        </w:rPr>
        <w:t>Version 1.0 | August 2026</w:t>
      </w:r>
    </w:p>
    <w:p>
      <w:pPr>
        <w:keepNext w:val="0"/>
        <w:spacing w:before="0" w:after="280" w:line="259" w:lineRule="auto"/>
        <w:jc w:val="center"/>
      </w:pPr>
      <w:r>
        <w:rPr>
          <w:rFonts w:ascii="Liberation Sans" w:hAnsi="Liberation Sans"/>
          <w:b w:val="0"/>
          <w:i/>
          <w:color w:val="5C6670"/>
          <w:sz w:val="18"/>
        </w:rPr>
        <w:t>Original CTA practice assessment | Answer hidden until submission</w:t>
      </w:r>
    </w:p>
    <w:tbl>
      <w:tblPr>
        <w:tblW w:type="dxa" w:w="9936"/>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936"/>
      </w:tblGrid>
      <w:tr>
        <w:trPr>
          <w:cantSplit/>
          <w:tblHeader w:val="true"/>
        </w:trPr>
        <w:tc>
          <w:tcPr>
            <w:tcW w:type="dxa" w:w="9936"/>
            <w:tcMar>
              <w:top w:w="115" w:type="dxa"/>
              <w:start w:w="165" w:type="dxa"/>
              <w:bottom w:w="115" w:type="dxa"/>
              <w:end w:w="165" w:type="dxa"/>
            </w:tcMar>
            <w:vAlign w:val="center"/>
            <w:shd w:fill="E7F6F5"/>
          </w:tcPr>
          <w:p>
            <w:pPr>
              <w:spacing w:after="0" w:line="252" w:lineRule="auto"/>
            </w:pPr>
            <w:r/>
            <w:r>
              <w:rPr>
                <w:rFonts w:ascii="Liberation Sans" w:hAnsi="Liberation Sans"/>
                <w:b/>
                <w:i w:val="0"/>
                <w:color w:val="0A2458"/>
                <w:sz w:val="17"/>
              </w:rPr>
              <w:t xml:space="preserve">CANDIDATE USE:  </w:t>
            </w:r>
            <w:r>
              <w:rPr>
                <w:rFonts w:ascii="Liberation Sans" w:hAnsi="Liberation Sans"/>
                <w:b w:val="0"/>
                <w:i w:val="0"/>
                <w:color w:val="17202A"/>
                <w:sz w:val="17"/>
              </w:rPr>
              <w:t>Complete this assessment before opening or receiving the separate controlled answer key and detailed rationales. This program is exam preparation only and provides no continuing education credit.</w:t>
            </w:r>
          </w:p>
        </w:tc>
      </w:tr>
    </w:tbl>
    <w:p>
      <w:pPr>
        <w:spacing w:after="40"/>
      </w:pPr>
    </w:p>
    <w:p>
      <w:pPr>
        <w:pStyle w:val="Heading1"/>
        <w:pageBreakBefore/>
      </w:pPr>
      <w:r>
        <w:t>Candidate Instructions</w:t>
      </w:r>
    </w:p>
    <w:tbl>
      <w:tblPr>
        <w:tblW w:type="dxa" w:w="9936"/>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936"/>
      </w:tblGrid>
      <w:tr>
        <w:trPr>
          <w:cantSplit/>
          <w:tblHeader w:val="true"/>
        </w:trPr>
        <w:tc>
          <w:tcPr>
            <w:tcW w:type="dxa" w:w="9936"/>
            <w:tcMar>
              <w:top w:w="115" w:type="dxa"/>
              <w:start w:w="165" w:type="dxa"/>
              <w:bottom w:w="115" w:type="dxa"/>
              <w:end w:w="165" w:type="dxa"/>
            </w:tcMar>
            <w:vAlign w:val="center"/>
            <w:shd w:fill="EAF0F8"/>
          </w:tcPr>
          <w:p>
            <w:pPr>
              <w:spacing w:after="0" w:line="252" w:lineRule="auto"/>
            </w:pPr>
            <w:r/>
            <w:r>
              <w:rPr>
                <w:rFonts w:ascii="Liberation Sans" w:hAnsi="Liberation Sans"/>
                <w:b/>
                <w:i w:val="0"/>
                <w:color w:val="0A2458"/>
                <w:sz w:val="17"/>
              </w:rPr>
              <w:t xml:space="preserve">ASSESSMENT CONTROL:  </w:t>
            </w:r>
            <w:r>
              <w:rPr>
                <w:rFonts w:ascii="Liberation Sans" w:hAnsi="Liberation Sans"/>
                <w:b w:val="0"/>
                <w:i w:val="0"/>
                <w:color w:val="17202A"/>
                <w:sz w:val="17"/>
              </w:rPr>
              <w:t>90 scored practice items | 120 minutes | approximately 80 seconds per item | four choices | one best answer | submit the first attempt before answer release</w:t>
            </w:r>
          </w:p>
        </w:tc>
      </w:tr>
    </w:tbl>
    <w:p>
      <w:pPr>
        <w:spacing w:after="40"/>
      </w:pPr>
    </w:p>
    <w:p>
      <w:pPr>
        <w:pStyle w:val="ListBullet"/>
        <w:spacing w:after="60" w:line="254" w:lineRule="auto"/>
        <w:ind w:left="403" w:hanging="230"/>
      </w:pPr>
      <w:r>
        <w:rPr>
          <w:rFonts w:ascii="Liberation Sans" w:hAnsi="Liberation Sans"/>
          <w:b w:val="0"/>
          <w:i w:val="0"/>
          <w:color w:val="17202A"/>
          <w:sz w:val="18"/>
        </w:rPr>
        <w:t>Use one uninterrupted attempt when possible. Record a response to every item; do not consult the controlled answer key, rationales, workbook banks, or outside references during the attempt.</w:t>
      </w:r>
    </w:p>
    <w:p>
      <w:pPr>
        <w:pStyle w:val="ListBullet"/>
        <w:spacing w:after="60" w:line="254" w:lineRule="auto"/>
        <w:ind w:left="403" w:hanging="230"/>
      </w:pPr>
      <w:r>
        <w:rPr>
          <w:rFonts w:ascii="Liberation Sans" w:hAnsi="Liberation Sans"/>
          <w:b w:val="0"/>
          <w:i w:val="0"/>
          <w:color w:val="17202A"/>
          <w:sz w:val="18"/>
        </w:rPr>
        <w:t>Choose the option that best answers the exact qualifier: FIRST, NEXT, MOST, or BEST. Several actions may eventually be useful, but only one is the strongest response at the decision point presented.</w:t>
      </w:r>
    </w:p>
    <w:p>
      <w:pPr>
        <w:pStyle w:val="ListBullet"/>
        <w:spacing w:after="60" w:line="254" w:lineRule="auto"/>
        <w:ind w:left="403" w:hanging="230"/>
      </w:pPr>
      <w:r>
        <w:rPr>
          <w:rFonts w:ascii="Liberation Sans" w:hAnsi="Liberation Sans"/>
          <w:b w:val="0"/>
          <w:i w:val="0"/>
          <w:color w:val="17202A"/>
          <w:sz w:val="18"/>
        </w:rPr>
        <w:t>When safety, medical urgency, abuse, coercion, violence, or level of care is supported, address it before routine technique. For jurisdiction-variable duties, choose the response that verifies and follows current governing authority.</w:t>
      </w:r>
    </w:p>
    <w:p>
      <w:pPr>
        <w:pStyle w:val="ListBullet"/>
        <w:spacing w:after="60" w:line="254" w:lineRule="auto"/>
        <w:ind w:left="403" w:hanging="230"/>
      </w:pPr>
      <w:r>
        <w:rPr>
          <w:rFonts w:ascii="Liberation Sans" w:hAnsi="Liberation Sans"/>
          <w:b w:val="0"/>
          <w:i w:val="0"/>
          <w:color w:val="17202A"/>
          <w:sz w:val="18"/>
        </w:rPr>
        <w:t>Mark confidence from 1 (guess) to 4 (high). After scoring, review every incorrect response and every correct response marked 1 or 2.</w:t>
      </w:r>
    </w:p>
    <w:p>
      <w:pPr>
        <w:pStyle w:val="ListBullet"/>
        <w:spacing w:after="60" w:line="254" w:lineRule="auto"/>
        <w:ind w:left="403" w:hanging="230"/>
      </w:pPr>
      <w:r>
        <w:rPr>
          <w:rFonts w:ascii="Liberation Sans" w:hAnsi="Liberation Sans"/>
          <w:b w:val="0"/>
          <w:i w:val="0"/>
          <w:color w:val="17202A"/>
          <w:sz w:val="18"/>
        </w:rPr>
        <w:t>This practice result may be reported as a raw total and raw domain profile. It is not an official AMFTRB score, does not predict a scaled score, and carries no fixed official passing percentage.</w:t>
      </w:r>
    </w:p>
    <w:p>
      <w:pPr>
        <w:pStyle w:val="Heading2"/>
      </w:pPr>
      <w:r>
        <w:t>Pacing Guide</w:t>
      </w:r>
    </w:p>
    <w:tbl>
      <w:tblPr>
        <w:tblW w:type="dxa" w:w="9936"/>
        <w:tblInd w:type="dxa" w:w="0"/>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1550"/>
        <w:gridCol w:w="1550"/>
        <w:gridCol w:w="6836"/>
      </w:tblGrid>
      <w:tr>
        <w:trPr>
          <w:cantSplit/>
          <w:tblHeader w:val="true"/>
        </w:trPr>
        <w:tc>
          <w:tcPr>
            <w:tcW w:type="dxa" w:w="1550"/>
            <w:tcMar>
              <w:top w:w="80" w:type="dxa"/>
              <w:start w:w="110" w:type="dxa"/>
              <w:bottom w:w="80" w:type="dxa"/>
              <w:end w:w="110" w:type="dxa"/>
            </w:tcMar>
            <w:vAlign w:val="center"/>
            <w:shd w:fill="0A2458"/>
          </w:tcPr>
          <w:p>
            <w:pPr>
              <w:spacing w:before="0" w:after="0" w:line="240" w:lineRule="auto"/>
              <w:jc w:val="center"/>
            </w:pPr>
            <w:r/>
            <w:r>
              <w:rPr>
                <w:rFonts w:ascii="Liberation Sans" w:hAnsi="Liberation Sans"/>
                <w:b/>
                <w:i w:val="0"/>
                <w:color w:val="FFFFFF"/>
                <w:sz w:val="16"/>
              </w:rPr>
              <w:t>Time</w:t>
            </w:r>
          </w:p>
        </w:tc>
        <w:tc>
          <w:tcPr>
            <w:tcW w:type="dxa" w:w="1550"/>
            <w:tcMar>
              <w:top w:w="80" w:type="dxa"/>
              <w:start w:w="110" w:type="dxa"/>
              <w:bottom w:w="80" w:type="dxa"/>
              <w:end w:w="110" w:type="dxa"/>
            </w:tcMar>
            <w:vAlign w:val="center"/>
            <w:shd w:fill="0A2458"/>
          </w:tcPr>
          <w:p>
            <w:pPr>
              <w:spacing w:before="0" w:after="0" w:line="240" w:lineRule="auto"/>
              <w:jc w:val="center"/>
            </w:pPr>
            <w:r/>
            <w:r>
              <w:rPr>
                <w:rFonts w:ascii="Liberation Sans" w:hAnsi="Liberation Sans"/>
                <w:b/>
                <w:i w:val="0"/>
                <w:color w:val="FFFFFF"/>
                <w:sz w:val="16"/>
              </w:rPr>
              <w:t>Target</w:t>
            </w:r>
          </w:p>
        </w:tc>
        <w:tc>
          <w:tcPr>
            <w:tcW w:type="dxa" w:w="6836"/>
            <w:tcMar>
              <w:top w:w="80" w:type="dxa"/>
              <w:start w:w="110" w:type="dxa"/>
              <w:bottom w:w="80" w:type="dxa"/>
              <w:end w:w="110" w:type="dxa"/>
            </w:tcMar>
            <w:vAlign w:val="center"/>
            <w:shd w:fill="0A2458"/>
          </w:tcPr>
          <w:p>
            <w:pPr>
              <w:spacing w:before="0" w:after="0" w:line="240" w:lineRule="auto"/>
              <w:jc w:val="left"/>
            </w:pPr>
            <w:r/>
            <w:r>
              <w:rPr>
                <w:rFonts w:ascii="Liberation Sans" w:hAnsi="Liberation Sans"/>
                <w:b/>
                <w:i w:val="0"/>
                <w:color w:val="FFFFFF"/>
                <w:sz w:val="16"/>
              </w:rPr>
              <w:t>Use</w:t>
            </w:r>
          </w:p>
        </w:tc>
      </w:tr>
      <w:tr>
        <w:trPr>
          <w:cantSplit/>
        </w:trPr>
        <w:tc>
          <w:tcPr>
            <w:tcW w:type="dxa" w:w="155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6"/>
              </w:rPr>
              <w:t>40 minutes</w:t>
            </w:r>
          </w:p>
        </w:tc>
        <w:tc>
          <w:tcPr>
            <w:tcW w:type="dxa" w:w="155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6"/>
              </w:rPr>
              <w:t>Item 30</w:t>
            </w:r>
          </w:p>
        </w:tc>
        <w:tc>
          <w:tcPr>
            <w:tcW w:type="dxa" w:w="6836"/>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6"/>
              </w:rPr>
              <w:t>One-third complete; adjust pace without rushing safety or legal reasoning.</w:t>
            </w:r>
          </w:p>
        </w:tc>
      </w:tr>
      <w:tr>
        <w:trPr>
          <w:cantSplit/>
        </w:trPr>
        <w:tc>
          <w:tcPr>
            <w:tcW w:type="dxa" w:w="155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6"/>
              </w:rPr>
              <w:t>60 minutes</w:t>
            </w:r>
          </w:p>
        </w:tc>
        <w:tc>
          <w:tcPr>
            <w:tcW w:type="dxa" w:w="155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6"/>
              </w:rPr>
              <w:t>Item 45</w:t>
            </w:r>
          </w:p>
        </w:tc>
        <w:tc>
          <w:tcPr>
            <w:tcW w:type="dxa" w:w="6836"/>
            <w:shd w:fill="F8FAFC"/>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6"/>
              </w:rPr>
              <w:t>Half complete; note unanswered items and over-investment.</w:t>
            </w:r>
          </w:p>
        </w:tc>
      </w:tr>
      <w:tr>
        <w:trPr>
          <w:cantSplit/>
        </w:trPr>
        <w:tc>
          <w:tcPr>
            <w:tcW w:type="dxa" w:w="155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6"/>
              </w:rPr>
              <w:t>80 minutes</w:t>
            </w:r>
          </w:p>
        </w:tc>
        <w:tc>
          <w:tcPr>
            <w:tcW w:type="dxa" w:w="155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6"/>
              </w:rPr>
              <w:t>Item 60</w:t>
            </w:r>
          </w:p>
        </w:tc>
        <w:tc>
          <w:tcPr>
            <w:tcW w:type="dxa" w:w="6836"/>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6"/>
              </w:rPr>
              <w:t>Two-thirds complete; preserve time for remaining integrated items.</w:t>
            </w:r>
          </w:p>
        </w:tc>
      </w:tr>
      <w:tr>
        <w:trPr>
          <w:cantSplit/>
        </w:trPr>
        <w:tc>
          <w:tcPr>
            <w:tcW w:type="dxa" w:w="155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6"/>
              </w:rPr>
              <w:t>120 minutes</w:t>
            </w:r>
          </w:p>
        </w:tc>
        <w:tc>
          <w:tcPr>
            <w:tcW w:type="dxa" w:w="155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6"/>
              </w:rPr>
              <w:t>Item 90</w:t>
            </w:r>
          </w:p>
        </w:tc>
        <w:tc>
          <w:tcPr>
            <w:tcW w:type="dxa" w:w="6836"/>
            <w:shd w:fill="F8FAFC"/>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6"/>
              </w:rPr>
              <w:t>Record all responses and submit the first attempt.</w:t>
            </w:r>
          </w:p>
        </w:tc>
      </w:tr>
    </w:tbl>
    <w:p>
      <w:pPr>
        <w:spacing w:after="40"/>
      </w:pPr>
    </w:p>
    <w:tbl>
      <w:tblPr>
        <w:tblW w:type="dxa" w:w="9936"/>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936"/>
      </w:tblGrid>
      <w:tr>
        <w:trPr>
          <w:cantSplit/>
          <w:tblHeader w:val="true"/>
        </w:trPr>
        <w:tc>
          <w:tcPr>
            <w:tcW w:type="dxa" w:w="9936"/>
            <w:tcMar>
              <w:top w:w="115" w:type="dxa"/>
              <w:start w:w="165" w:type="dxa"/>
              <w:bottom w:w="115" w:type="dxa"/>
              <w:end w:w="165" w:type="dxa"/>
            </w:tcMar>
            <w:vAlign w:val="center"/>
            <w:shd w:fill="F3F5F7"/>
          </w:tcPr>
          <w:p>
            <w:pPr>
              <w:spacing w:after="0" w:line="252" w:lineRule="auto"/>
            </w:pPr>
            <w:r/>
            <w:r>
              <w:rPr>
                <w:rFonts w:ascii="Liberation Sans" w:hAnsi="Liberation Sans"/>
                <w:b/>
                <w:i w:val="0"/>
                <w:color w:val="0A2458"/>
                <w:sz w:val="17"/>
              </w:rPr>
              <w:t xml:space="preserve">ORIGINALITY AND SECURITY:  </w:t>
            </w:r>
            <w:r>
              <w:rPr>
                <w:rFonts w:ascii="Liberation Sans" w:hAnsi="Liberation Sans"/>
                <w:b w:val="0"/>
                <w:i w:val="0"/>
                <w:color w:val="17202A"/>
                <w:sz w:val="17"/>
              </w:rPr>
              <w:t>All questions are original CTA practice items. They are not live, recalled, leaked, retired, proprietary, or memorized examination content. CTA is an independent educational provider and is not affiliated with or endorsed by AMFTRB, PTC, Prometric, AAMFT, or any licensing board.</w:t>
            </w:r>
          </w:p>
        </w:tc>
      </w:tr>
    </w:tbl>
    <w:p>
      <w:pPr>
        <w:spacing w:after="40"/>
      </w:pPr>
    </w:p>
    <w:tbl>
      <w:tblPr>
        <w:tblW w:type="dxa" w:w="9936"/>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936"/>
      </w:tblGrid>
      <w:tr>
        <w:trPr>
          <w:cantSplit/>
          <w:tblHeader w:val="true"/>
        </w:trPr>
        <w:tc>
          <w:tcPr>
            <w:tcW w:type="dxa" w:w="9936"/>
            <w:tcMar>
              <w:top w:w="115" w:type="dxa"/>
              <w:start w:w="165" w:type="dxa"/>
              <w:bottom w:w="115" w:type="dxa"/>
              <w:end w:w="165" w:type="dxa"/>
            </w:tcMar>
            <w:vAlign w:val="center"/>
            <w:shd w:fill="E7F6F5"/>
          </w:tcPr>
          <w:p>
            <w:pPr>
              <w:spacing w:after="0" w:line="252" w:lineRule="auto"/>
            </w:pPr>
            <w:r/>
            <w:r>
              <w:rPr>
                <w:rFonts w:ascii="Liberation Sans" w:hAnsi="Liberation Sans"/>
                <w:b/>
                <w:i w:val="0"/>
                <w:color w:val="0A2458"/>
                <w:sz w:val="17"/>
              </w:rPr>
              <w:t xml:space="preserve">CURRENCY:  </w:t>
            </w:r>
            <w:r>
              <w:rPr>
                <w:rFonts w:ascii="Liberation Sans" w:hAnsi="Liberation Sans"/>
                <w:b w:val="0"/>
                <w:i w:val="0"/>
                <w:color w:val="17202A"/>
                <w:sz w:val="17"/>
              </w:rPr>
              <w:t>Clinical, diagnostic, legal, ethical, teletherapy, privacy, supervision, technology, and AI requirements can change and may vary by jurisdiction. Use current governing authority and official candidate information in practice.</w:t>
            </w:r>
          </w:p>
        </w:tc>
      </w:tr>
    </w:tbl>
    <w:p>
      <w:pPr>
        <w:spacing w:after="40"/>
      </w:pPr>
    </w:p>
    <w:p>
      <w:pPr>
        <w:pStyle w:val="Heading1"/>
        <w:pageBreakBefore/>
      </w:pPr>
      <w:r>
        <w:t>First-Attempt Response Sheet</w:t>
      </w:r>
    </w:p>
    <w:tbl>
      <w:tblPr>
        <w:tblW w:type="dxa" w:w="9936"/>
        <w:tblInd w:type="dxa" w:w="0"/>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1500"/>
        <w:gridCol w:w="3500"/>
        <w:gridCol w:w="1500"/>
        <w:gridCol w:w="3436"/>
      </w:tblGrid>
      <w:tr>
        <w:trPr>
          <w:cantSplit/>
          <w:tblHeader w:val="true"/>
        </w:trPr>
        <w:tc>
          <w:tcPr>
            <w:tcW w:type="dxa" w:w="1500"/>
            <w:tcMar>
              <w:top w:w="80" w:type="dxa"/>
              <w:start w:w="110" w:type="dxa"/>
              <w:bottom w:w="80" w:type="dxa"/>
              <w:end w:w="110" w:type="dxa"/>
            </w:tcMar>
            <w:vAlign w:val="center"/>
            <w:shd w:fill="0A2458"/>
          </w:tcPr>
          <w:p>
            <w:pPr>
              <w:spacing w:before="0" w:after="0" w:line="240" w:lineRule="auto"/>
              <w:jc w:val="left"/>
            </w:pPr>
            <w:r/>
            <w:r>
              <w:rPr>
                <w:rFonts w:ascii="Liberation Sans" w:hAnsi="Liberation Sans"/>
                <w:b/>
                <w:i w:val="0"/>
                <w:color w:val="FFFFFF"/>
                <w:sz w:val="15"/>
              </w:rPr>
              <w:t>Field</w:t>
            </w:r>
          </w:p>
        </w:tc>
        <w:tc>
          <w:tcPr>
            <w:tcW w:type="dxa" w:w="3500"/>
            <w:tcMar>
              <w:top w:w="80" w:type="dxa"/>
              <w:start w:w="110" w:type="dxa"/>
              <w:bottom w:w="80" w:type="dxa"/>
              <w:end w:w="110" w:type="dxa"/>
            </w:tcMar>
            <w:vAlign w:val="center"/>
            <w:shd w:fill="0A2458"/>
          </w:tcPr>
          <w:p>
            <w:pPr>
              <w:spacing w:before="0" w:after="0" w:line="240" w:lineRule="auto"/>
              <w:jc w:val="left"/>
            </w:pPr>
            <w:r/>
            <w:r>
              <w:rPr>
                <w:rFonts w:ascii="Liberation Sans" w:hAnsi="Liberation Sans"/>
                <w:b/>
                <w:i w:val="0"/>
                <w:color w:val="FFFFFF"/>
                <w:sz w:val="15"/>
              </w:rPr>
              <w:t>Entry</w:t>
            </w:r>
          </w:p>
        </w:tc>
        <w:tc>
          <w:tcPr>
            <w:tcW w:type="dxa" w:w="1500"/>
            <w:tcMar>
              <w:top w:w="80" w:type="dxa"/>
              <w:start w:w="110" w:type="dxa"/>
              <w:bottom w:w="80" w:type="dxa"/>
              <w:end w:w="110" w:type="dxa"/>
            </w:tcMar>
            <w:vAlign w:val="center"/>
            <w:shd w:fill="0A2458"/>
          </w:tcPr>
          <w:p>
            <w:pPr>
              <w:spacing w:before="0" w:after="0" w:line="240" w:lineRule="auto"/>
              <w:jc w:val="left"/>
            </w:pPr>
            <w:r/>
            <w:r>
              <w:rPr>
                <w:rFonts w:ascii="Liberation Sans" w:hAnsi="Liberation Sans"/>
                <w:b/>
                <w:i w:val="0"/>
                <w:color w:val="FFFFFF"/>
                <w:sz w:val="15"/>
              </w:rPr>
              <w:t>Field</w:t>
            </w:r>
          </w:p>
        </w:tc>
        <w:tc>
          <w:tcPr>
            <w:tcW w:type="dxa" w:w="3436"/>
            <w:tcMar>
              <w:top w:w="80" w:type="dxa"/>
              <w:start w:w="110" w:type="dxa"/>
              <w:bottom w:w="80" w:type="dxa"/>
              <w:end w:w="110" w:type="dxa"/>
            </w:tcMar>
            <w:vAlign w:val="center"/>
            <w:shd w:fill="0A2458"/>
          </w:tcPr>
          <w:p>
            <w:pPr>
              <w:spacing w:before="0" w:after="0" w:line="240" w:lineRule="auto"/>
              <w:jc w:val="left"/>
            </w:pPr>
            <w:r/>
            <w:r>
              <w:rPr>
                <w:rFonts w:ascii="Liberation Sans" w:hAnsi="Liberation Sans"/>
                <w:b/>
                <w:i w:val="0"/>
                <w:color w:val="FFFFFF"/>
                <w:sz w:val="15"/>
              </w:rPr>
              <w:t>Entry</w:t>
            </w:r>
          </w:p>
        </w:tc>
      </w:tr>
      <w:tr>
        <w:trPr>
          <w:cantSplit/>
        </w:trPr>
        <w:tc>
          <w:tcPr>
            <w:tcW w:type="dxa" w:w="1500"/>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5"/>
              </w:rPr>
              <w:t>Candidate</w:t>
            </w:r>
          </w:p>
        </w:tc>
        <w:tc>
          <w:tcPr>
            <w:tcW w:type="dxa" w:w="3500"/>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5"/>
              </w:rPr>
              <w:t>______________________________________</w:t>
            </w:r>
          </w:p>
        </w:tc>
        <w:tc>
          <w:tcPr>
            <w:tcW w:type="dxa" w:w="1500"/>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5"/>
              </w:rPr>
              <w:t>Date</w:t>
            </w:r>
          </w:p>
        </w:tc>
        <w:tc>
          <w:tcPr>
            <w:tcW w:type="dxa" w:w="3436"/>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5"/>
              </w:rPr>
              <w:t>____________________</w:t>
            </w:r>
          </w:p>
        </w:tc>
      </w:tr>
      <w:tr>
        <w:trPr>
          <w:cantSplit/>
        </w:trPr>
        <w:tc>
          <w:tcPr>
            <w:tcW w:type="dxa" w:w="1500"/>
            <w:shd w:fill="F8FAFC"/>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5"/>
              </w:rPr>
              <w:t>Start time</w:t>
            </w:r>
          </w:p>
        </w:tc>
        <w:tc>
          <w:tcPr>
            <w:tcW w:type="dxa" w:w="3500"/>
            <w:shd w:fill="F8FAFC"/>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5"/>
              </w:rPr>
              <w:t>________________</w:t>
            </w:r>
          </w:p>
        </w:tc>
        <w:tc>
          <w:tcPr>
            <w:tcW w:type="dxa" w:w="1500"/>
            <w:shd w:fill="F8FAFC"/>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5"/>
              </w:rPr>
              <w:t>End time</w:t>
            </w:r>
          </w:p>
        </w:tc>
        <w:tc>
          <w:tcPr>
            <w:tcW w:type="dxa" w:w="3436"/>
            <w:shd w:fill="F8FAFC"/>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5"/>
              </w:rPr>
              <w:t>________________</w:t>
            </w:r>
          </w:p>
        </w:tc>
      </w:tr>
      <w:tr>
        <w:trPr>
          <w:cantSplit/>
        </w:trPr>
        <w:tc>
          <w:tcPr>
            <w:tcW w:type="dxa" w:w="1500"/>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5"/>
              </w:rPr>
              <w:t>Time used</w:t>
            </w:r>
          </w:p>
        </w:tc>
        <w:tc>
          <w:tcPr>
            <w:tcW w:type="dxa" w:w="3500"/>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5"/>
              </w:rPr>
              <w:t>________________ minutes</w:t>
            </w:r>
          </w:p>
        </w:tc>
        <w:tc>
          <w:tcPr>
            <w:tcW w:type="dxa" w:w="1500"/>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5"/>
              </w:rPr>
              <w:t>Submitted</w:t>
            </w:r>
          </w:p>
        </w:tc>
        <w:tc>
          <w:tcPr>
            <w:tcW w:type="dxa" w:w="3436"/>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5"/>
              </w:rPr>
              <w:t>[ ] Yes  [ ] No</w:t>
            </w:r>
          </w:p>
        </w:tc>
      </w:tr>
    </w:tbl>
    <w:p>
      <w:pPr>
        <w:spacing w:after="40"/>
      </w:pPr>
    </w:p>
    <w:p>
      <w:pPr>
        <w:keepNext w:val="0"/>
        <w:spacing w:before="0" w:after="120" w:line="259" w:lineRule="auto"/>
        <w:jc w:val="left"/>
      </w:pPr>
      <w:r>
        <w:rPr>
          <w:rFonts w:ascii="Liberation Sans" w:hAnsi="Liberation Sans"/>
          <w:b w:val="0"/>
          <w:i w:val="0"/>
          <w:color w:val="5C6670"/>
          <w:sz w:val="18"/>
        </w:rPr>
        <w:t>Record one answer and one confidence rating (1-4) for every item. Example: B / 3.</w:t>
      </w:r>
    </w:p>
    <w:tbl>
      <w:tblPr>
        <w:tblW w:type="dxa" w:w="9936"/>
        <w:tblInd w:type="dxa" w:w="0"/>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760"/>
        <w:gridCol w:w="2552"/>
        <w:gridCol w:w="760"/>
        <w:gridCol w:w="2552"/>
        <w:gridCol w:w="760"/>
        <w:gridCol w:w="2552"/>
      </w:tblGrid>
      <w:tr>
        <w:trPr>
          <w:cantSplit/>
          <w:tblHeader w:val="true"/>
        </w:trPr>
        <w:tc>
          <w:tcPr>
            <w:tcW w:type="dxa" w:w="760"/>
            <w:tcMar>
              <w:top w:w="80" w:type="dxa"/>
              <w:start w:w="110" w:type="dxa"/>
              <w:bottom w:w="80" w:type="dxa"/>
              <w:end w:w="110" w:type="dxa"/>
            </w:tcMar>
            <w:vAlign w:val="center"/>
            <w:shd w:fill="0A2458"/>
          </w:tcPr>
          <w:p>
            <w:pPr>
              <w:spacing w:before="0" w:after="0" w:line="240" w:lineRule="auto"/>
              <w:jc w:val="center"/>
            </w:pPr>
            <w:r/>
            <w:r>
              <w:rPr>
                <w:rFonts w:ascii="Liberation Sans" w:hAnsi="Liberation Sans"/>
                <w:b/>
                <w:i w:val="0"/>
                <w:color w:val="FFFFFF"/>
                <w:sz w:val="15"/>
              </w:rPr>
              <w:t>Item</w:t>
            </w:r>
          </w:p>
        </w:tc>
        <w:tc>
          <w:tcPr>
            <w:tcW w:type="dxa" w:w="2552"/>
            <w:tcMar>
              <w:top w:w="80" w:type="dxa"/>
              <w:start w:w="110" w:type="dxa"/>
              <w:bottom w:w="80" w:type="dxa"/>
              <w:end w:w="110" w:type="dxa"/>
            </w:tcMar>
            <w:vAlign w:val="center"/>
            <w:shd w:fill="0A2458"/>
          </w:tcPr>
          <w:p>
            <w:pPr>
              <w:spacing w:before="0" w:after="0" w:line="240" w:lineRule="auto"/>
              <w:jc w:val="center"/>
            </w:pPr>
            <w:r/>
            <w:r>
              <w:rPr>
                <w:rFonts w:ascii="Liberation Sans" w:hAnsi="Liberation Sans"/>
                <w:b/>
                <w:i w:val="0"/>
                <w:color w:val="FFFFFF"/>
                <w:sz w:val="15"/>
              </w:rPr>
              <w:t>Answer / Conf.</w:t>
            </w:r>
          </w:p>
        </w:tc>
        <w:tc>
          <w:tcPr>
            <w:tcW w:type="dxa" w:w="760"/>
            <w:tcMar>
              <w:top w:w="80" w:type="dxa"/>
              <w:start w:w="110" w:type="dxa"/>
              <w:bottom w:w="80" w:type="dxa"/>
              <w:end w:w="110" w:type="dxa"/>
            </w:tcMar>
            <w:vAlign w:val="center"/>
            <w:shd w:fill="0A2458"/>
          </w:tcPr>
          <w:p>
            <w:pPr>
              <w:spacing w:before="0" w:after="0" w:line="240" w:lineRule="auto"/>
              <w:jc w:val="center"/>
            </w:pPr>
            <w:r/>
            <w:r>
              <w:rPr>
                <w:rFonts w:ascii="Liberation Sans" w:hAnsi="Liberation Sans"/>
                <w:b/>
                <w:i w:val="0"/>
                <w:color w:val="FFFFFF"/>
                <w:sz w:val="15"/>
              </w:rPr>
              <w:t>Item</w:t>
            </w:r>
          </w:p>
        </w:tc>
        <w:tc>
          <w:tcPr>
            <w:tcW w:type="dxa" w:w="2552"/>
            <w:tcMar>
              <w:top w:w="80" w:type="dxa"/>
              <w:start w:w="110" w:type="dxa"/>
              <w:bottom w:w="80" w:type="dxa"/>
              <w:end w:w="110" w:type="dxa"/>
            </w:tcMar>
            <w:vAlign w:val="center"/>
            <w:shd w:fill="0A2458"/>
          </w:tcPr>
          <w:p>
            <w:pPr>
              <w:spacing w:before="0" w:after="0" w:line="240" w:lineRule="auto"/>
              <w:jc w:val="center"/>
            </w:pPr>
            <w:r/>
            <w:r>
              <w:rPr>
                <w:rFonts w:ascii="Liberation Sans" w:hAnsi="Liberation Sans"/>
                <w:b/>
                <w:i w:val="0"/>
                <w:color w:val="FFFFFF"/>
                <w:sz w:val="15"/>
              </w:rPr>
              <w:t>Answer / Conf.</w:t>
            </w:r>
          </w:p>
        </w:tc>
        <w:tc>
          <w:tcPr>
            <w:tcW w:type="dxa" w:w="760"/>
            <w:tcMar>
              <w:top w:w="80" w:type="dxa"/>
              <w:start w:w="110" w:type="dxa"/>
              <w:bottom w:w="80" w:type="dxa"/>
              <w:end w:w="110" w:type="dxa"/>
            </w:tcMar>
            <w:vAlign w:val="center"/>
            <w:shd w:fill="0A2458"/>
          </w:tcPr>
          <w:p>
            <w:pPr>
              <w:spacing w:before="0" w:after="0" w:line="240" w:lineRule="auto"/>
              <w:jc w:val="center"/>
            </w:pPr>
            <w:r/>
            <w:r>
              <w:rPr>
                <w:rFonts w:ascii="Liberation Sans" w:hAnsi="Liberation Sans"/>
                <w:b/>
                <w:i w:val="0"/>
                <w:color w:val="FFFFFF"/>
                <w:sz w:val="15"/>
              </w:rPr>
              <w:t>Item</w:t>
            </w:r>
          </w:p>
        </w:tc>
        <w:tc>
          <w:tcPr>
            <w:tcW w:type="dxa" w:w="2552"/>
            <w:tcMar>
              <w:top w:w="80" w:type="dxa"/>
              <w:start w:w="110" w:type="dxa"/>
              <w:bottom w:w="80" w:type="dxa"/>
              <w:end w:w="110" w:type="dxa"/>
            </w:tcMar>
            <w:vAlign w:val="center"/>
            <w:shd w:fill="0A2458"/>
          </w:tcPr>
          <w:p>
            <w:pPr>
              <w:spacing w:before="0" w:after="0" w:line="240" w:lineRule="auto"/>
              <w:jc w:val="center"/>
            </w:pPr>
            <w:r/>
            <w:r>
              <w:rPr>
                <w:rFonts w:ascii="Liberation Sans" w:hAnsi="Liberation Sans"/>
                <w:b/>
                <w:i w:val="0"/>
                <w:color w:val="FFFFFF"/>
                <w:sz w:val="15"/>
              </w:rPr>
              <w:t>Answer / Conf.</w:t>
            </w:r>
          </w:p>
        </w:tc>
      </w:tr>
      <w:tr>
        <w:trPr>
          <w:cantSplit/>
        </w:trPr>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1</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31</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61</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r>
      <w:tr>
        <w:trPr>
          <w:cantSplit/>
        </w:trPr>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2</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32</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62</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r>
      <w:tr>
        <w:trPr>
          <w:cantSplit/>
        </w:trPr>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3</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33</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63</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r>
      <w:tr>
        <w:trPr>
          <w:cantSplit/>
        </w:trPr>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4</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34</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64</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r>
      <w:tr>
        <w:trPr>
          <w:cantSplit/>
        </w:trPr>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5</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35</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65</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r>
      <w:tr>
        <w:trPr>
          <w:cantSplit/>
        </w:trPr>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6</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36</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66</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r>
      <w:tr>
        <w:trPr>
          <w:cantSplit/>
        </w:trPr>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7</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37</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67</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r>
      <w:tr>
        <w:trPr>
          <w:cantSplit/>
        </w:trPr>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8</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38</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68</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r>
      <w:tr>
        <w:trPr>
          <w:cantSplit/>
        </w:trPr>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9</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39</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69</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r>
      <w:tr>
        <w:trPr>
          <w:cantSplit/>
        </w:trPr>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10</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40</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70</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r>
      <w:tr>
        <w:trPr>
          <w:cantSplit/>
        </w:trPr>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11</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41</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71</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r>
      <w:tr>
        <w:trPr>
          <w:cantSplit/>
        </w:trPr>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12</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42</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72</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r>
      <w:tr>
        <w:trPr>
          <w:cantSplit/>
        </w:trPr>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13</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43</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73</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r>
      <w:tr>
        <w:trPr>
          <w:cantSplit/>
        </w:trPr>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14</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44</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74</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r>
      <w:tr>
        <w:trPr>
          <w:cantSplit/>
        </w:trPr>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15</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45</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75</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r>
      <w:tr>
        <w:trPr>
          <w:cantSplit/>
        </w:trPr>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16</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46</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76</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r>
      <w:tr>
        <w:trPr>
          <w:cantSplit/>
        </w:trPr>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17</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47</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77</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r>
      <w:tr>
        <w:trPr>
          <w:cantSplit/>
        </w:trPr>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18</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48</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78</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r>
      <w:tr>
        <w:trPr>
          <w:cantSplit/>
        </w:trPr>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19</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49</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79</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r>
      <w:tr>
        <w:trPr>
          <w:cantSplit/>
        </w:trPr>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20</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50</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80</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r>
      <w:tr>
        <w:trPr>
          <w:cantSplit/>
        </w:trPr>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21</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51</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81</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r>
      <w:tr>
        <w:trPr>
          <w:cantSplit/>
        </w:trPr>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22</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52</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82</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r>
      <w:tr>
        <w:trPr>
          <w:cantSplit/>
        </w:trPr>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23</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53</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83</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r>
      <w:tr>
        <w:trPr>
          <w:cantSplit/>
        </w:trPr>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24</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54</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84</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r>
      <w:tr>
        <w:trPr>
          <w:cantSplit/>
        </w:trPr>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25</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55</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85</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r>
      <w:tr>
        <w:trPr>
          <w:cantSplit/>
        </w:trPr>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26</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56</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86</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r>
      <w:tr>
        <w:trPr>
          <w:cantSplit/>
        </w:trPr>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27</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57</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87</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r>
      <w:tr>
        <w:trPr>
          <w:cantSplit/>
        </w:trPr>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28</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58</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88</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r>
      <w:tr>
        <w:trPr>
          <w:cantSplit/>
        </w:trPr>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29</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59</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89</w:t>
            </w:r>
          </w:p>
        </w:tc>
        <w:tc>
          <w:tcPr>
            <w:tcW w:type="dxa" w:w="2552"/>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r>
      <w:tr>
        <w:trPr>
          <w:cantSplit/>
        </w:trPr>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30</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60</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c>
          <w:tcPr>
            <w:tcW w:type="dxa" w:w="76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90</w:t>
            </w:r>
          </w:p>
        </w:tc>
        <w:tc>
          <w:tcPr>
            <w:tcW w:type="dxa" w:w="2552"/>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5"/>
              </w:rPr>
              <w:t>____ / _</w:t>
            </w:r>
          </w:p>
        </w:tc>
      </w:tr>
    </w:tbl>
    <w:p>
      <w:pPr>
        <w:spacing w:after="40"/>
      </w:pPr>
    </w:p>
    <w:p>
      <w:pPr>
        <w:pStyle w:val="Heading1"/>
      </w:pPr>
      <w:r>
        <w:t>Assessment Items 1-30</w:t>
      </w:r>
    </w:p>
    <w:p>
      <w:pPr>
        <w:keepNext w:val="0"/>
        <w:spacing w:before="0" w:after="120" w:line="259" w:lineRule="auto"/>
        <w:jc w:val="left"/>
      </w:pPr>
      <w:r>
        <w:rPr>
          <w:rFonts w:ascii="Liberation Sans" w:hAnsi="Liberation Sans"/>
          <w:b w:val="0"/>
          <w:i w:val="0"/>
          <w:color w:val="5C6670"/>
          <w:sz w:val="18"/>
        </w:rPr>
        <w:t>Select one best answer. Keep the controlled answer key closed until all 90 responses are submitted.</w:t>
      </w:r>
    </w:p>
    <w:p>
      <w:pPr>
        <w:pStyle w:val="AssessmentQuestion"/>
      </w:pPr>
      <w:r>
        <w:rPr>
          <w:rFonts w:ascii="Liberation Sans" w:hAnsi="Liberation Sans"/>
          <w:b/>
          <w:i w:val="0"/>
          <w:color w:val="0A2458"/>
          <w:sz w:val="20"/>
        </w:rPr>
        <w:t xml:space="preserve">1. </w:t>
      </w:r>
      <w:r>
        <w:rPr>
          <w:rFonts w:ascii="Liberation Sans" w:hAnsi="Liberation Sans"/>
          <w:b/>
          <w:i w:val="0"/>
          <w:color w:val="17202A"/>
          <w:sz w:val="20"/>
        </w:rPr>
        <w:t>A therapist wants to use an AI tool to summarize intake data for clients who may be located in several jurisdictions. What should the therapist do FIRST?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Identify the governing jurisdictions and applicable requirements, evaluate the tool and the therapist's competence, and resolve consent, privacy, and human-review controls before use.</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Use the tool only for clients who sign the practice's existing general technology acknowledgment, because a signature transfers responsibility to the client.</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Ask the vendor whether the tool is lawful in every jurisdiction and rely on the vendor's answer as the practice's legal and clinical review.</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Begin with low-risk cases and address jurisdiction, consent, and accuracy only if the summaries create a visible clinical problem.</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2. </w:t>
      </w:r>
      <w:r>
        <w:rPr>
          <w:rFonts w:ascii="Liberation Sans" w:hAnsi="Liberation Sans"/>
          <w:b/>
          <w:i w:val="0"/>
          <w:color w:val="17202A"/>
          <w:sz w:val="20"/>
        </w:rPr>
        <w:t>During a conjoint session, a client becomes disoriented, cannot state where they are, and reports a recent sexual assault. Which response is BEST?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Invite the partner to describe the assault in detail so the therapist can compare both accounts before changing the session plan.</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Pause routine therapy, assess immediate safety and medical needs, stabilize the client, and arrange the level of emergency or specialized care indicated.</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Complete the planned trauma-processing exercise because disorientation is expected when difficult memories are discussed.</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End the session and schedule an individual appointment after the client has independently obtained medical clearance.</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3. </w:t>
      </w:r>
      <w:r>
        <w:rPr>
          <w:rFonts w:ascii="Liberation Sans" w:hAnsi="Liberation Sans"/>
          <w:b/>
          <w:i w:val="0"/>
          <w:color w:val="17202A"/>
          <w:sz w:val="20"/>
        </w:rPr>
        <w:t>In the third family session, one parent says therapy is pointless while the adolescent becomes silent and the other parent answers for everyone. Which intervention is MOST likely to strengthen the alliance?</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Explain that resistance is a predictable stage of family treatment and continue the planned intervention without discussing the tension.</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Ask the more cooperative parent to persuade the others to participate so the therapist can preserve the treatment plan.</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Name the strain in the room, invite each person's view of therapy and its risks, and renegotiate how each member can participate safely.</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Meet only with the adolescent until the therapist has established which parent is causing the family's lack of engagement.</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4. </w:t>
      </w:r>
      <w:r>
        <w:rPr>
          <w:rFonts w:ascii="Liberation Sans" w:hAnsi="Liberation Sans"/>
          <w:b/>
          <w:i w:val="0"/>
          <w:color w:val="17202A"/>
          <w:sz w:val="20"/>
        </w:rPr>
        <w:t>A recently resettled family reports escalating conflict after an older child begins translating for the parents. The child avoids eye contact, and a school note labels the child oppositional. Which assessment approach is BEST?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Treat eye-contact avoidance and refusal to translate as evidence of an oppositional pattern that should be assessed separately from migration stress.</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Ask the child to continue translating during assessment because this preserves the family's established hierarchy and reduces outside influence.</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Focus on the parents' discipline practices because the child's school behavior is most likely maintained by inconsistent consequences at home.</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Use qualified language support and explore migration, developmental roles, school context, nonverbal meaning, and reciprocal family responses before forming a hypothesis.</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5. </w:t>
      </w:r>
      <w:r>
        <w:rPr>
          <w:rFonts w:ascii="Liberation Sans" w:hAnsi="Liberation Sans"/>
          <w:b/>
          <w:i w:val="0"/>
          <w:color w:val="17202A"/>
          <w:sz w:val="20"/>
        </w:rPr>
        <w:t>A couple's weekly outcome scores have worsened for a month, yet both partners say a new evening ritual feels helpful. Attendance has also become inconsistent. Which evaluation strategy is BEST?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Review the score trend, alliance, attendance, implementation, and the couple's experience together; clarify what the ritual changes and revise the plan collaboratively.</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Continue the ritual unchanged because client preference is more clinically valid than standardized outcome information.</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Discontinue the ritual because worsening scores establish that the intervention is ineffective regardless of other data.</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Wait another month before discussing the discrepancy so short-term variability does not affect the couple's confidence.</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6. </w:t>
      </w:r>
      <w:r>
        <w:rPr>
          <w:rFonts w:ascii="Liberation Sans" w:hAnsi="Liberation Sans"/>
          <w:b/>
          <w:i w:val="0"/>
          <w:color w:val="17202A"/>
          <w:sz w:val="20"/>
        </w:rPr>
        <w:t>After identifying an individual's symptom and the family sequence that reliably follows it, what is the therapist's NEXT systemic conceptualization task?</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Select the diagnosis that best assigns responsibility for the sequence to the symptomatic family member.</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Develop a provisional account of how reciprocal responses, beliefs, context, and attempted solutions may maintain the pattern.</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Choose a technique from the therapist's preferred model before exploring the sequence with the family.</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Determine which family member's version of the sequence is most factually accurate and use it as the treatment narrative.</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7. </w:t>
      </w:r>
      <w:r>
        <w:rPr>
          <w:rFonts w:ascii="Liberation Sans" w:hAnsi="Liberation Sans"/>
          <w:b/>
          <w:i w:val="0"/>
          <w:color w:val="17202A"/>
          <w:sz w:val="20"/>
        </w:rPr>
        <w:t>A jurisdiction permits a clinical use of AI, an employer policy allows it with manager approval, and a professional ethics code requires protections that are more stringent than both. What should the therapist do NEXT?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Follow the employer policy because an organizational rule replaces voluntary professional standards during paid work.</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Follow the least restrictive requirement because the jurisdiction has already determined the use is legally acceptable.</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Map all applicable duties, meet the higher applicable standard when the requirements do not conflict, and seek consultation if the obligations cannot be reconciled.</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Avoid documenting the conflict because describing uncertainty may create discoverable evidence of an ethical concern.</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8. </w:t>
      </w:r>
      <w:r>
        <w:rPr>
          <w:rFonts w:ascii="Liberation Sans" w:hAnsi="Liberation Sans"/>
          <w:b/>
          <w:i w:val="0"/>
          <w:color w:val="17202A"/>
          <w:sz w:val="20"/>
        </w:rPr>
        <w:t>A 16-year-old reports suicidal intent, access to a firearm at home, and fear of being harmed by a caregiver if the disclosure is shared. What should the therapist do FIRST?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Promise confidentiality until the adolescent identifies a trusted adult who can be present for any later safety discussion.</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Ask the adolescent to surrender the firearm at the next session and provide a written no-harm agreement in the meantime.</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Confront the caregiver about both allegations before assessing whether the adolescent can leave the office safely.</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Assess immediacy, access, supervision, and current danger; initiate the indicated emergency and protective actions using the safest communication plan.</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9. </w:t>
      </w:r>
      <w:r>
        <w:rPr>
          <w:rFonts w:ascii="Liberation Sans" w:hAnsi="Liberation Sans"/>
          <w:b/>
          <w:i w:val="0"/>
          <w:color w:val="17202A"/>
          <w:sz w:val="20"/>
        </w:rPr>
        <w:t>Parents request therapy to make their adult child resume a psychiatric medication, while the adult child wants fewer arguments and more independence. Which therapeutic contract is BEST?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Create a shared, observable agreement about communication, decision roles, safety concerns, and progress criteria while preserving the adult client's treatment autonomy.</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Contract with the parents to monitor medication adherence because family stability depends on eliminating the symptomatic behavior.</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Accept only the adult child's goal and exclude the parents from treatment so homeostatic pressure cannot interfere with autonomy.</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Postpone goal setting until the prescriber determines which family member's expectations are medically appropriate.</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10. </w:t>
      </w:r>
      <w:r>
        <w:rPr>
          <w:rFonts w:ascii="Liberation Sans" w:hAnsi="Liberation Sans"/>
          <w:b/>
          <w:i w:val="0"/>
          <w:color w:val="17202A"/>
          <w:sz w:val="20"/>
        </w:rPr>
        <w:t>An adult appears guarded and irritable during an interview, and a personality inventory is invalid because of inconsistent responding. Which interpretation is MOST appropriate?</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Assign the diagnosis suggested by the highest available scale because an invalid profile still contains useful trait information.</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Integrate the mental-status findings with interview, history, collateral information when authorized, context, and the instrument's validity limits before reaching conclusions.</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Repeat the same inventory immediately and accept the second profile if its validity indicators fall within range.</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Treat guardedness as proof of a personality disorder because the client interfered with both the interview and standardized assessment.</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11. </w:t>
      </w:r>
      <w:r>
        <w:rPr>
          <w:rFonts w:ascii="Liberation Sans" w:hAnsi="Liberation Sans"/>
          <w:b/>
          <w:i w:val="0"/>
          <w:color w:val="17202A"/>
          <w:sz w:val="20"/>
        </w:rPr>
        <w:t>A family has completed six sessions under a plan with three measurable objectives. What should the therapist do FIRST when evaluating progress?</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Compare the family with published norms and determine whether the average family would have improved more quickly.</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Ask the referring professional to rate progress before inviting the family to influence the evaluation.</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Review the agreed objectives and available outcome information with the family, including their view of change, barriers, and unintended effects.</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Introduce a new intervention so the evaluation includes evidence from more than one treatment approach.</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12. </w:t>
      </w:r>
      <w:r>
        <w:rPr>
          <w:rFonts w:ascii="Liberation Sans" w:hAnsi="Liberation Sans"/>
          <w:b/>
          <w:i w:val="0"/>
          <w:color w:val="17202A"/>
          <w:sz w:val="20"/>
        </w:rPr>
        <w:t>When a therapist is considering a technique from a systemic model for a complex family, which task should occur FIRST to preserve theory-practice consistency?</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Determine whether the technique is widely used by experienced therapists, even if its change mechanism differs from the therapist's case formulation.</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Ask the family which named model they prefer and apply its signature technique without further conceptual review.</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Select the least directive intervention so the therapist's theoretical assumptions cannot influence the family.</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State the systemic hypothesis and intended change mechanism, then confirm that the proposed technique logically addresses that mechanism and fits the family.</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13. </w:t>
      </w:r>
      <w:r>
        <w:rPr>
          <w:rFonts w:ascii="Liberation Sans" w:hAnsi="Liberation Sans"/>
          <w:b/>
          <w:i w:val="0"/>
          <w:color w:val="17202A"/>
          <w:sz w:val="20"/>
        </w:rPr>
        <w:t>A group practice adds a new fee and cancellation policy that is common in the local market but was not included in current agreements. Which action is MOST appropriate?</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Review current law, contracts, payer rules, and effective ethics requirements; communicate changes transparently and obtain any required agreement before applying them.</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Apply the policy immediately because common business practice establishes reasonable notice to existing clients.</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Charge only clients who are unlikely to object so the practice can test the policy without a formal revision.</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Ask clinicians to describe the fee verbally and omit it from written documents to preserve flexibility.</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14. </w:t>
      </w:r>
      <w:r>
        <w:rPr>
          <w:rFonts w:ascii="Liberation Sans" w:hAnsi="Liberation Sans"/>
          <w:b/>
          <w:i w:val="0"/>
          <w:color w:val="17202A"/>
          <w:sz w:val="20"/>
        </w:rPr>
        <w:t>A client says an estranged partner has begun waiting outside work and sending photographs of the client's children. The client minimizes the behavior but reports sleeping in a car. What should the therapist do NEXT?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Begin couple therapy so both partners can negotiate boundaries in a controlled setting.</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Assess immediate danger, stalking and coercion indicators, child and medical concerns, safe communication, and the need for specialized or emergency resources.</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Recommend a routine housing referral because the client's sleeping arrangement is the only objectively documented problem.</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Ask the client to send a boundary-setting message during session before evaluating whether contact could increase danger.</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15. </w:t>
      </w:r>
      <w:r>
        <w:rPr>
          <w:rFonts w:ascii="Liberation Sans" w:hAnsi="Liberation Sans"/>
          <w:b/>
          <w:i w:val="0"/>
          <w:color w:val="17202A"/>
          <w:sz w:val="20"/>
        </w:rPr>
        <w:t>Assessment shows that a family's conflict is shaped by caregiving burden, a member's chronic illness, and different spiritual meanings of suffering. What should the therapist do NEXT?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Use the therapist's preferred evidence-based protocol exactly as written so spiritual disagreement does not reduce treatment fidelity.</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Refer the family to clergy and postpone therapy because spiritual meanings fall outside systemic treatment planning.</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Collaboratively link goals and interventions to the family's meanings, health limitations, resources, and safety while preserving each member's voice.</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Focus treatment on the ill member's acceptance because symptom reduction will resolve the caregiving conflict.</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16. </w:t>
      </w:r>
      <w:r>
        <w:rPr>
          <w:rFonts w:ascii="Liberation Sans" w:hAnsi="Liberation Sans"/>
          <w:b/>
          <w:i w:val="0"/>
          <w:color w:val="17202A"/>
          <w:sz w:val="20"/>
        </w:rPr>
        <w:t>During an intake, a client says, 'Sometimes I think everyone would be better without me,' while a partner reports recent threats toward a neighbor. What should the therapist do FIRST?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Complete the relationship history so the statements can be interpreted within the couple's normal conflict pattern.</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Ask the partner to leave and begin an individual trauma narrative with the client.</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Develop a communication agreement and reassess risk after the couple demonstrates that they can use it.</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Conduct direct, separate assessment of suicidal, self-injury, and violence risk, including intent, plan, means, timing, protective factors, and immediate safety needs.</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17. </w:t>
      </w:r>
      <w:r>
        <w:rPr>
          <w:rFonts w:ascii="Liberation Sans" w:hAnsi="Liberation Sans"/>
          <w:b/>
          <w:i w:val="0"/>
          <w:color w:val="17202A"/>
          <w:sz w:val="20"/>
        </w:rPr>
        <w:t>A psychoeducational family group has low attendance, and those who attend report that examples do not fit their circumstances. What should the therapist do NEXT?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Review participation, access, implementation, and member feedback; then adapt delivery while preserving the program's core purpose.</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Increase the number of required sessions so attendance becomes a stronger indicator of commitment.</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Continue unchanged until the full curriculum is delivered because adaptation would prevent outcome evaluation.</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Discharge members with repeated absences and calculate outcomes only for consistent attendees.</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18. </w:t>
      </w:r>
      <w:r>
        <w:rPr>
          <w:rFonts w:ascii="Liberation Sans" w:hAnsi="Liberation Sans"/>
          <w:b/>
          <w:i w:val="0"/>
          <w:color w:val="17202A"/>
          <w:sz w:val="20"/>
        </w:rPr>
        <w:t>A client with panic symptoms wants individual coping skills, while the family reports that escalating reassurance and avoidance organize daily life. Which plan is BEST?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Treat only the family's reassurance cycle because individual symptom management would contradict systemic practice.</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Combine appropriate individual coping work with interventions that change the reciprocal reassurance-avoidance pattern and clarify family roles.</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Treat only the panic symptoms until they remit, then decide whether family patterns still require attention.</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Ask the family to stop all reassurance immediately so the client is forced to practice independent regulation.</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19. </w:t>
      </w:r>
      <w:r>
        <w:rPr>
          <w:rFonts w:ascii="Liberation Sans" w:hAnsi="Liberation Sans"/>
          <w:b/>
          <w:i w:val="0"/>
          <w:color w:val="17202A"/>
          <w:sz w:val="20"/>
        </w:rPr>
        <w:t>A practice plans to add an online scheduling and payment platform that also collects health-related information. Which action is BEST before implementation?</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Rely on the platform's consumer privacy policy because it is publicly available and therefore part of each client's agreement.</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Use the platform only for self-pay clients so payer requirements cannot create a privacy obligation.</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Map data collection and disclosures, verify applicable business and privacy duties and vendor terms, minimize data, update notices and agreements, and document approval.</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Allow each therapist to decide whether the platform is secure enough based on personal comfort with technology.</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20. </w:t>
      </w:r>
      <w:r>
        <w:rPr>
          <w:rFonts w:ascii="Liberation Sans" w:hAnsi="Liberation Sans"/>
          <w:b/>
          <w:i w:val="0"/>
          <w:color w:val="17202A"/>
          <w:sz w:val="20"/>
        </w:rPr>
        <w:t>A client reports cutting after arguments but denies wanting to die. Which response is MOST appropriate?</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Accept the denial of suicidal intent and proceed with routine communication work because nonsuicidal self-injury is not a crisis concern.</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Require hospitalization because any intentional injury establishes imminent suicide risk.</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Ask the partner to inspect the client's body after each disagreement and report new injuries to the therapist.</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Assess injury severity, function, frequency, suicidal intent, access to means, triggers, supports, and the level of intervention needed.</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21. </w:t>
      </w:r>
      <w:r>
        <w:rPr>
          <w:rFonts w:ascii="Liberation Sans" w:hAnsi="Liberation Sans"/>
          <w:b/>
          <w:i w:val="0"/>
          <w:color w:val="17202A"/>
          <w:sz w:val="20"/>
        </w:rPr>
        <w:t>A couple says the goal is to 'stop being toxic,' but each partner defines toxicity as the other person's personality. What should the therapist do FIRST?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Translate the complaint into observable interactional goals and completion criteria, then invite alternative descriptions that preserve accountability without fixed blame.</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Choose the partner with stronger assessment evidence as the identified patient and write goals around that person's symptoms.</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Teach a standard communication skill before clarifying goals so the couple can discuss the problem more productively.</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Ask each partner to list the other's toxic traits and use the overlap as the treatment plan.</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22. </w:t>
      </w:r>
      <w:r>
        <w:rPr>
          <w:rFonts w:ascii="Liberation Sans" w:hAnsi="Liberation Sans"/>
          <w:b/>
          <w:i w:val="0"/>
          <w:color w:val="17202A"/>
          <w:sz w:val="20"/>
        </w:rPr>
        <w:t>Following a separation, a child has sleep problems and one parent becomes the child's confidant while the other is excluded. The child also meets criteria for an anxiety disorder. What should the therapist do NEXT?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Treat the diagnosis as an individual condition and avoid addressing parental alliances until the child is asymptomatic.</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Integrate the diagnosis with a map of boundaries, coalitions, hierarchy, divorce stress, and reciprocal responses, then identify the safest treatment unit.</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Conclude that the confidant relationship caused the anxiety because it appeared after the separation.</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Recommend immediate reunification work with the excluded parent without assessing the child's experience or the parents' conflict.</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23. </w:t>
      </w:r>
      <w:r>
        <w:rPr>
          <w:rFonts w:ascii="Liberation Sans" w:hAnsi="Liberation Sans"/>
          <w:b/>
          <w:i w:val="0"/>
          <w:color w:val="17202A"/>
          <w:sz w:val="20"/>
        </w:rPr>
        <w:t>A family shifted to video sessions for transportation reasons. Attendance improved, but one member rarely speaks, alliance ratings declined, and privacy at home is uncertain. Which conclusion is MOST appropriate?</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Continue video sessions because attendance is the strongest objective indicator of modality fit.</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Return to in-person treatment because lower alliance ratings prove that teletherapy is ineffective for families.</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Reassess privacy, participation, access, safety, alliance, and outcomes with the family and modify the modality or structure based on the combined evidence.</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Alternate modalities weekly so both delivery methods receive equal exposure before any decision is made.</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24. </w:t>
      </w:r>
      <w:r>
        <w:rPr>
          <w:rFonts w:ascii="Liberation Sans" w:hAnsi="Liberation Sans"/>
          <w:b/>
          <w:i w:val="0"/>
          <w:color w:val="17202A"/>
          <w:sz w:val="20"/>
        </w:rPr>
        <w:t>Which practice MOST clearly integrates diversity and social justice into systemic therapy?</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Using identical interventions for every family so cultural assumptions cannot affect treatment decisions.</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Explaining structural inequity only when a client identifies it as the sole cause of the presenting problem.</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Avoiding discussion of power because the therapist's authority makes such conversations inherently coercive.</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Collaboratively examining how identity, power, access, community conditions, and family meanings shape both the problem and the available solutions.</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25. </w:t>
      </w:r>
      <w:r>
        <w:rPr>
          <w:rFonts w:ascii="Liberation Sans" w:hAnsi="Liberation Sans"/>
          <w:b/>
          <w:i w:val="0"/>
          <w:color w:val="17202A"/>
          <w:sz w:val="20"/>
        </w:rPr>
        <w:t>A therapist is asked to provide a specialized intervention never used in practice, and the therapist notices a strong personal identification with the client. What should the therapist do FIRST?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Assess competence and the impact of the therapist's reactions, obtain appropriate consultation or training, and limit or refer the service if safe competence cannot be established.</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Accept the case because personal identification will improve empathy while the therapist learns the intervention.</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Explain the therapist's similar experience in detail so the client can decide whether the overlap creates a boundary concern.</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Provide the intervention under a general mental-health license because scope is determined by licensure rather than demonstrated competence.</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26. </w:t>
      </w:r>
      <w:r>
        <w:rPr>
          <w:rFonts w:ascii="Liberation Sans" w:hAnsi="Liberation Sans"/>
          <w:b/>
          <w:i w:val="0"/>
          <w:color w:val="17202A"/>
          <w:sz w:val="20"/>
        </w:rPr>
        <w:t>During a session, a client describes a specific plan to injure a former partner, has recently purchased equipment for the plan, and refuses to discuss timing. Which response is BEST?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Explore childhood anger patterns before taking protective action so the therapist can distinguish fantasy from intent.</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Conduct and document an immediate violence assessment, initiate the level of protection required by current law and clinical risk, and coordinate emergency support as indicated.</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Ask the client to promise not to act until the next session because the refusal to state timing leaves imminence uncertain.</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Notify every person connected to the former partner so responsibility for safety is widely shared.</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27. </w:t>
      </w:r>
      <w:r>
        <w:rPr>
          <w:rFonts w:ascii="Liberation Sans" w:hAnsi="Liberation Sans"/>
          <w:b/>
          <w:i w:val="0"/>
          <w:color w:val="17202A"/>
          <w:sz w:val="20"/>
        </w:rPr>
        <w:t>A family repeatedly responds to a young adult's missed work by paying debts, issuing ultimatums, and then withdrawing them. Which question would be MOST useful before choosing an intervention?</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Which family member first developed the personality trait that causes the current pattern?</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What consequence would be severe enough to make the young adult comply immediately?</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What has each person tried, how do others respond, when does the sequence differ, and what has helped even briefly?</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Which standardized family model recommends the most common response to missed work?</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28. </w:t>
      </w:r>
      <w:r>
        <w:rPr>
          <w:rFonts w:ascii="Liberation Sans" w:hAnsi="Liberation Sans"/>
          <w:b/>
          <w:i w:val="0"/>
          <w:color w:val="17202A"/>
          <w:sz w:val="20"/>
        </w:rPr>
        <w:t>Which description BEST reflects a context-responsive systemic hypothesis?</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A definitive statement identifying the family member whose pathology causes the relationship problem.</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A diagnosis-free description that excludes individual symptoms from consideration.</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A culturally neutral explanation based only on behavior observed during the first session.</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A provisional, testable account linking symptoms, reciprocal patterns, development, strengths, and sociocultural context without assigning fixed blame.</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29. </w:t>
      </w:r>
      <w:r>
        <w:rPr>
          <w:rFonts w:ascii="Liberation Sans" w:hAnsi="Liberation Sans"/>
          <w:b/>
          <w:i w:val="0"/>
          <w:color w:val="17202A"/>
          <w:sz w:val="20"/>
        </w:rPr>
        <w:t>A couple who entered treatment after infidelity reports that trust has improved and agreed goals are met. Which termination plan is BEST?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Review gains and remaining vulnerabilities, rehearse maintenance and repair steps, identify relapse signals and resources, and agree on follow-up or return criteria.</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End immediately so continued sessions do not create dependence once the presenting problem is resolved.</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Continue monthly sessions indefinitely because recurrence after infidelity is too likely for planned termination.</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Ask the involved partner to sign a permanent transparency agreement as the primary measure of successful termination.</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30. </w:t>
      </w:r>
      <w:r>
        <w:rPr>
          <w:rFonts w:ascii="Liberation Sans" w:hAnsi="Liberation Sans"/>
          <w:b/>
          <w:i w:val="0"/>
          <w:color w:val="17202A"/>
          <w:sz w:val="20"/>
        </w:rPr>
        <w:t>A therapist notices increasing irritability, poor concentration, and avoidance of cases that resemble a recent personal loss. What should the therapist do NEXT?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Continue working and disclose the personal loss to affected clients so they can interpret changes in the therapist's behavior.</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Assess current professional functioning, seek consultation or personal support, reduce or transfer work as needed, and protect continuity of care.</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Wait for a client complaint before changing practice because internal distress does not establish impairment.</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Terminate all clients immediately to ensure that no clinical judgment is influenced by the loss.</w:t>
      </w:r>
    </w:p>
    <w:p>
      <w:pPr>
        <w:keepLines/>
        <w:spacing w:before="20" w:after="160"/>
        <w:ind w:left="317"/>
      </w:pPr>
      <w:r>
        <w:rPr>
          <w:rFonts w:ascii="Liberation Sans" w:hAnsi="Liberation Sans"/>
          <w:b/>
          <w:i w:val="0"/>
          <w:color w:val="5C6670"/>
          <w:sz w:val="17"/>
        </w:rPr>
        <w:t>Answer: ______    Confidence:  [ ] 1 Guess   [ ] 2 Low   [ ] 3 Moderate   [ ] 4 High</w:t>
      </w:r>
    </w:p>
    <w:p>
      <w:pPr>
        <w:pStyle w:val="Heading1"/>
      </w:pPr>
      <w:r>
        <w:t>Assessment Items 31-60</w:t>
      </w:r>
    </w:p>
    <w:p>
      <w:pPr>
        <w:keepNext w:val="0"/>
        <w:spacing w:before="0" w:after="120" w:line="259" w:lineRule="auto"/>
        <w:jc w:val="left"/>
      </w:pPr>
      <w:r>
        <w:rPr>
          <w:rFonts w:ascii="Liberation Sans" w:hAnsi="Liberation Sans"/>
          <w:b w:val="0"/>
          <w:i w:val="0"/>
          <w:color w:val="5C6670"/>
          <w:sz w:val="18"/>
        </w:rPr>
        <w:t>Select one best answer. Keep the controlled answer key closed until all 90 responses are submitted.</w:t>
      </w:r>
    </w:p>
    <w:p>
      <w:pPr>
        <w:pStyle w:val="AssessmentQuestion"/>
      </w:pPr>
      <w:r>
        <w:rPr>
          <w:rFonts w:ascii="Liberation Sans" w:hAnsi="Liberation Sans"/>
          <w:b/>
          <w:i w:val="0"/>
          <w:color w:val="0A2458"/>
          <w:sz w:val="20"/>
        </w:rPr>
        <w:t xml:space="preserve">31. </w:t>
      </w:r>
      <w:r>
        <w:rPr>
          <w:rFonts w:ascii="Liberation Sans" w:hAnsi="Liberation Sans"/>
          <w:b/>
          <w:i w:val="0"/>
          <w:color w:val="17202A"/>
          <w:sz w:val="20"/>
        </w:rPr>
        <w:t>A court-mandated group includes members with different literacy levels, one wheelchair user, and a participant who reports being mocked for an accent. What should the therapist do NEXT?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Use the original materials and seating plan so accommodations do not create different treatment experiences.</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Ask the targeted participant to address the group alone because direct self-advocacy is the best measure of resilience.</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Address the harmful interaction, clarify mandate and choice limits, assess access and safety needs, and adapt participation without reducing the group's clinical purpose.</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Remove all members involved in conflict so the remaining group can proceed without discussing power or difference.</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32. </w:t>
      </w:r>
      <w:r>
        <w:rPr>
          <w:rFonts w:ascii="Liberation Sans" w:hAnsi="Liberation Sans"/>
          <w:b/>
          <w:i w:val="0"/>
          <w:color w:val="17202A"/>
          <w:sz w:val="20"/>
        </w:rPr>
        <w:t>A former client's relative posts the therapist's home address online and sends a message stating, 'You will pay tonight.' What should the therapist do FIRST?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Reply that threats violate clinic policy and invite the person to schedule a meeting to resolve the concern.</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Contact the former client and require the relative to remove the post before the therapist takes further action.</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Document the threat but complete the workday so a possible hoax does not disrupt client care.</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Activate immediate personal and workplace safety procedures, preserve evidence, contact appropriate emergency or security resources, and protect clients who may be affected.</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33. </w:t>
      </w:r>
      <w:r>
        <w:rPr>
          <w:rFonts w:ascii="Liberation Sans" w:hAnsi="Liberation Sans"/>
          <w:b/>
          <w:i w:val="0"/>
          <w:color w:val="17202A"/>
          <w:sz w:val="20"/>
        </w:rPr>
        <w:t>A couple invites an adult sibling to treatment for support. One partner uses a family proverb to describe feeling trapped, while the sibling begins answering every question. Which intervention is BEST?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Clarify consent and the sibling's role, restore each partner's voice, and use the client's proverb to explore relational meanings and possible change.</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Ask the sibling to explain the proverb because collateral participants are more objective about family language.</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Exclude the sibling immediately because systemic therapy should never include a collateral participant in couple treatment.</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Replace the proverb with a neutral clinical term so the therapist can apply a standardized intervention consistently.</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34. </w:t>
      </w:r>
      <w:r>
        <w:rPr>
          <w:rFonts w:ascii="Liberation Sans" w:hAnsi="Liberation Sans"/>
          <w:b/>
          <w:i w:val="0"/>
          <w:color w:val="17202A"/>
          <w:sz w:val="20"/>
        </w:rPr>
        <w:t>A child with developmental differences becomes dysregulated during long office sessions, while caregivers report better communication during brief home routines. Which treatment arrangement is MOST appropriate?</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Continue long office sessions so the child can build tolerance for the clinically standard setting.</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Select an accessible structure and modality that fit the child's regulation needs, caregiver participation, safety, and the integrated systemic and diagnostic formulation.</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Treat the caregivers without the child because developmental diagnoses make direct family participation unreliable.</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Use video sessions exclusively because home-based information is always more valid than office observation.</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35. </w:t>
      </w:r>
      <w:r>
        <w:rPr>
          <w:rFonts w:ascii="Liberation Sans" w:hAnsi="Liberation Sans"/>
          <w:b/>
          <w:i w:val="0"/>
          <w:color w:val="17202A"/>
          <w:sz w:val="20"/>
        </w:rPr>
        <w:t>Which supervisory practice MOST effectively addresses the supervisor's self-awareness and impact on supervisees?</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Avoid discussing personal reactions so supervision remains focused only on the supervisee's clinical performance.</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Share the supervisor's clinical history whenever a supervisee appears uncertain so authority and experience are clear.</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Monitor power, bias, health or stress effects, and parallel process; invite feedback and seek consultation when these factors may shape evaluation or guidance.</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Delegate all difficult evaluations to another supervisor so personal reactions never become part of supervision.</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36. </w:t>
      </w:r>
      <w:r>
        <w:rPr>
          <w:rFonts w:ascii="Liberation Sans" w:hAnsi="Liberation Sans"/>
          <w:b/>
          <w:i w:val="0"/>
          <w:color w:val="17202A"/>
          <w:sz w:val="20"/>
        </w:rPr>
        <w:t>A family has met treatment goals, but a member says ending now feels like another abandonment because services have repeatedly ended without explanation. What should the therapist do FIRST?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Extend treatment for a standard number of sessions because prior abandonment makes planned termination clinically inappropriate.</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Explain that objective goal attainment determines termination and reassure the family that the reaction will pass.</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Refer the family immediately so another therapist can address the termination reaction without a dual role.</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Explore the meaning of ending, review choice and remaining needs, and collaboratively create a culturally and relationally responsive transition plan.</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37. </w:t>
      </w:r>
      <w:r>
        <w:rPr>
          <w:rFonts w:ascii="Liberation Sans" w:hAnsi="Liberation Sans"/>
          <w:b/>
          <w:i w:val="0"/>
          <w:color w:val="17202A"/>
          <w:sz w:val="20"/>
        </w:rPr>
        <w:t>At the beginning of systemic treatment, what should the therapist do FIRST to establish a therapeutic relationship?</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Join respectfully with each participant, clarify the treatment context, and use circular curiosity to understand each person's experience and hopes.</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Identify the family member most motivated for change and form a primary alliance with that person.</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Delay discussion of expectations until the therapist has observed enough interaction to determine the true hierarchy.</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Explain the therapist's model in detail so participants can adapt their descriptions to the treatment framework.</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38. </w:t>
      </w:r>
      <w:r>
        <w:rPr>
          <w:rFonts w:ascii="Liberation Sans" w:hAnsi="Liberation Sans"/>
          <w:b/>
          <w:i w:val="0"/>
          <w:color w:val="17202A"/>
          <w:sz w:val="20"/>
        </w:rPr>
        <w:t>After a neighborhood disaster, a community clinic notices that displaced immigrant families are least likely to receive follow-up services. What should the clinic team do NEXT?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Use the existing first-come process because changing it would give preferential treatment to one population.</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Assess urgent needs and access barriers with affected communities, coordinate culturally and linguistically responsive outreach, and revise referral pathways.</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Wait for individual families to request accommodations so the team does not assume discrimination occurred.</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Offer a general online handout because a uniform resource is the most equitable response during a large emergency.</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39. </w:t>
      </w:r>
      <w:r>
        <w:rPr>
          <w:rFonts w:ascii="Liberation Sans" w:hAnsi="Liberation Sans"/>
          <w:b/>
          <w:i w:val="0"/>
          <w:color w:val="17202A"/>
          <w:sz w:val="20"/>
        </w:rPr>
        <w:t>During teletherapy, a client with a recent violence history joins from an unfamiliar location and another person appears briefly off camera. What should the therapist do NEXT?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Continue the intervention and ask about the other person at the end so the client does not feel monitored.</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End the session automatically because an unverified location makes teletherapy unethical in every jurisdiction.</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Confirm identity, exact location, privacy, who is present, current risk, and emergency contacts; then use the established safety plan or escalate as indicated.</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Ask the client to turn the camera toward the room and continue only if no one else can be seen.</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40. </w:t>
      </w:r>
      <w:r>
        <w:rPr>
          <w:rFonts w:ascii="Liberation Sans" w:hAnsi="Liberation Sans"/>
          <w:b/>
          <w:i w:val="0"/>
          <w:color w:val="17202A"/>
          <w:sz w:val="20"/>
        </w:rPr>
        <w:t>A client reports insomnia, irritability, and conflict after a worksite raid led to reduced hours and fear of family separation. What should the therapist do FIRST?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Administer a personality inventory because irritability across settings suggests a stable trait pattern.</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Diagnose an anxiety disorder based on insomnia and begin exposure work before discussing environmental events.</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Focus the interview on couple communication so immigration and employment concerns do not politicize assessment.</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Assess symptoms together with work, legal uncertainty, economic pressure, family roles, safety, supports, and the client's meaning of the events.</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41. </w:t>
      </w:r>
      <w:r>
        <w:rPr>
          <w:rFonts w:ascii="Liberation Sans" w:hAnsi="Liberation Sans"/>
          <w:b/>
          <w:i w:val="0"/>
          <w:color w:val="17202A"/>
          <w:sz w:val="20"/>
        </w:rPr>
        <w:t>Two partners begin treatment, but only one is named in the electronic record and the practice has not clarified access, confidentiality, or record requests. Which agreement is BEST?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Clarify who the clients and participants are, the purpose of treatment, confidentiality and its limits, record practices, fees, technology use, and applicable rights before proceeding.</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List both partners as clients but defer confidentiality and record rules until one of them requests information.</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Keep one partner off the record so couple disclosures cannot become part of a future legal request.</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Let the partner who pays decide record access because the financial contract controls the treatment relationship.</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42. </w:t>
      </w:r>
      <w:r>
        <w:rPr>
          <w:rFonts w:ascii="Liberation Sans" w:hAnsi="Liberation Sans"/>
          <w:b/>
          <w:i w:val="0"/>
          <w:color w:val="17202A"/>
          <w:sz w:val="20"/>
        </w:rPr>
        <w:t>An adoptive family reports increased conflict after a life-story intervention. The therapist wants to know whether the intervention is helping or activating unaddressed distress. What should the therapist do NEXT?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Continue the intervention until a full research-supported dose is delivered, because early distress does not predict outcome.</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Collect and integrate repeated outcome, alliance, behavioral, and family-feedback data, assess implementation and safety, and revise the plan based on the pattern.</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Stop all discussion of adoption because increased conflict demonstrates that the topic is harmful.</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Rely on the therapist's observation because family ratings may be influenced by loyalty conflicts.</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43. </w:t>
      </w:r>
      <w:r>
        <w:rPr>
          <w:rFonts w:ascii="Liberation Sans" w:hAnsi="Liberation Sans"/>
          <w:b/>
          <w:i w:val="0"/>
          <w:color w:val="17202A"/>
          <w:sz w:val="20"/>
        </w:rPr>
        <w:t>A therapist feels unusually protective of one partner and impatient with the other during a recurring pursue-withdraw sequence. What is the BEST use of this reaction?</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Support the partner who appears more vulnerable so the therapist's empathy corrects the couple's power imbalance.</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Ignore the reaction because self-of-the-therapist information is irrelevant to systemic formulation.</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Pause, examine how the reaction may be recruited by the couple's sequence, seek feedback or consultation, and use it as provisional relational data.</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Disclose the reaction to both partners and ask them to decide whether the therapist is biased.</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44. </w:t>
      </w:r>
      <w:r>
        <w:rPr>
          <w:rFonts w:ascii="Liberation Sans" w:hAnsi="Liberation Sans"/>
          <w:b/>
          <w:i w:val="0"/>
          <w:color w:val="17202A"/>
          <w:sz w:val="20"/>
        </w:rPr>
        <w:t>Following a sudden death, a client has vivid memories, sleeplessness, increased alcohol use, and intense family conflict. Which formulation is MOST appropriate?</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Assume a trauma disorder because vivid memories after a sudden death are diagnostically specific.</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Treat the alcohol use first and postpone evaluation of grief, trauma, and family response until abstinence is established.</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View the reactions as normal grief and avoid direct risk assessment unless symptoms continue beyond a standard time period.</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Assess grief, trauma symptoms, substance effects, safety, culture, prior losses, functioning, and reciprocal family responses before selecting a crisis or treatment plan.</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45. </w:t>
      </w:r>
      <w:r>
        <w:rPr>
          <w:rFonts w:ascii="Liberation Sans" w:hAnsi="Liberation Sans"/>
          <w:b/>
          <w:i w:val="0"/>
          <w:color w:val="17202A"/>
          <w:sz w:val="20"/>
        </w:rPr>
        <w:t>A practice wants an AI note assistant that records sessions, sends data to subcontractors, and trains future models unless users opt out. What should the practice do FIRST?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Map recording and data flows, verify current legal and ethical duties and vendor terms, assess consent and alternatives, minimize data, and require human accuracy review.</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Enable the tool for all clients and place the opt-out instructions in the practice's website privacy notice.</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Use the tool only for couple sessions because multiple participants provide a natural check on note accuracy.</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Ask clinicians to delete the generated note after copying it into the record so upstream vendor retention no longer matters.</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46. </w:t>
      </w:r>
      <w:r>
        <w:rPr>
          <w:rFonts w:ascii="Liberation Sans" w:hAnsi="Liberation Sans"/>
          <w:b/>
          <w:i w:val="0"/>
          <w:color w:val="17202A"/>
          <w:sz w:val="20"/>
        </w:rPr>
        <w:t>A family asks to incorporate a spiritual ritual into treatment, and an evidence-supported intervention can be adapted without changing its core mechanism. What should the therapist do FIRST?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Decline because spiritual practices cannot be integrated into an evidence-supported treatment.</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Explore each member's meaning, preferences, safety, and goals, then collaboratively adapt the intervention while monitoring fidelity and outcome.</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Ask the family's spiritual leader to direct the clinical plan because the ritual falls within that person's expertise.</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Use the ritual exactly as described by the most religious family member so the therapist does not impose outside values.</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47. </w:t>
      </w:r>
      <w:r>
        <w:rPr>
          <w:rFonts w:ascii="Liberation Sans" w:hAnsi="Liberation Sans"/>
          <w:b/>
          <w:i w:val="0"/>
          <w:color w:val="17202A"/>
          <w:sz w:val="20"/>
        </w:rPr>
        <w:t>A client working rotating night shifts reports fatigue, escalating couple conflict, and increasing use of over-the-counter stimulants. What should the therapist assess NEXT?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Whether the partner's criticism is the primary cause of stimulant use and should become the identified treatment target.</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Whether a diagnosis can be assigned from the amount of stimulant use without examining occupational conditions.</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Sleep and work patterns, substance timing and effects, medical risk, functioning, reciprocal relationship responses, and available workplace or health resources.</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Whether the client can change jobs immediately, because treatment cannot succeed while the shift schedule continues.</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48. </w:t>
      </w:r>
      <w:r>
        <w:rPr>
          <w:rFonts w:ascii="Liberation Sans" w:hAnsi="Liberation Sans"/>
          <w:b/>
          <w:i w:val="0"/>
          <w:color w:val="17202A"/>
          <w:sz w:val="20"/>
        </w:rPr>
        <w:t>Which method provides the MOST useful collaborative evaluation of progress for a couple experiencing infertility-related stress?</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The therapist's global impression after each session, because standardized measures cannot capture infertility experiences.</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A single symptom inventory administered at intake and termination so repeated measurement does not burden the couple.</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The referring physician's view of coping because medical outcomes determine whether therapy is effective.</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Repeated outcome and alliance information combined with the couple's goals, relational functioning, treatment implementation, and contextual changes.</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49. </w:t>
      </w:r>
      <w:r>
        <w:rPr>
          <w:rFonts w:ascii="Liberation Sans" w:hAnsi="Liberation Sans"/>
          <w:b/>
          <w:i w:val="0"/>
          <w:color w:val="17202A"/>
          <w:sz w:val="20"/>
        </w:rPr>
        <w:t>A client uses harsh self-talk after conflict, and the partner responds with reassurance that briefly reduces distress but increases future dependence. Which formulation is MOST systemic?</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The self-talk and reassurance form a reciprocal pattern influenced by individual beliefs and relationship responses, so intervention can address both levels.</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The client's distorted thoughts cause the partner's behavior, so changing cognition should precede any relational work.</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The partner's reassurance creates the client's distress, so reassurance should stop before the client learns coping skills.</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Individual and systemic models are incompatible, so the therapist must choose one explanation and exclude the other.</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50. </w:t>
      </w:r>
      <w:r>
        <w:rPr>
          <w:rFonts w:ascii="Liberation Sans" w:hAnsi="Liberation Sans"/>
          <w:b/>
          <w:i w:val="0"/>
          <w:color w:val="17202A"/>
          <w:sz w:val="20"/>
        </w:rPr>
        <w:t>A client joins a teletherapy session from a parked car in another state and says, 'It is private enough.' What should the therapist do NEXT?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Proceed because the client has personally determined that the setting is private.</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Confirm identity, exact location and jurisdiction, privacy, safety, emergency contacts, and authorization to practice before deciding whether the session can continue.</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Ask the client to drive home during the session so location and privacy concerns can be resolved without rescheduling.</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Continue for supportive counseling only because jurisdictional practice rules do not apply when no diagnosis is discussed.</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51. </w:t>
      </w:r>
      <w:r>
        <w:rPr>
          <w:rFonts w:ascii="Liberation Sans" w:hAnsi="Liberation Sans"/>
          <w:b/>
          <w:i w:val="0"/>
          <w:color w:val="17202A"/>
          <w:sz w:val="20"/>
        </w:rPr>
        <w:t>After a regional wildfire, families are displaced across several counties and agencies are duplicating some services while missing others. Which collaboration plan is BEST?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Allow each agency to work independently so confidentiality is not complicated by cross-system communication.</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Create one centralized clinical team that assumes all decision authority until the emergency ends.</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Establish defined roles, consent and information boundaries, shared triage priorities, communication channels, referral tracking, and ongoing reassessment with community partners.</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Prioritize families already connected to therapy because established clients have the clearest treatment records.</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52. </w:t>
      </w:r>
      <w:r>
        <w:rPr>
          <w:rFonts w:ascii="Liberation Sans" w:hAnsi="Liberation Sans"/>
          <w:b/>
          <w:i w:val="0"/>
          <w:color w:val="17202A"/>
          <w:sz w:val="20"/>
        </w:rPr>
        <w:t>Which explanation MOST effectively supports collaborative intervention rationale?</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'This technique is standard for couples with your diagnosis, so we should begin before discussing alternatives.'</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'My model assumes this will work even if the pattern we identified changes during treatment.'</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'The research supports this method, which means your preferences should not affect how it is delivered.'</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'We linked this step to your cycle and goals; here is how it may help, its alternatives, and how we will evaluate it together.'</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53. </w:t>
      </w:r>
      <w:r>
        <w:rPr>
          <w:rFonts w:ascii="Liberation Sans" w:hAnsi="Liberation Sans"/>
          <w:b/>
          <w:i w:val="0"/>
          <w:color w:val="17202A"/>
          <w:sz w:val="20"/>
        </w:rPr>
        <w:t>A parent in early recovery reports cravings, missed medication appointments, and conflict about money while family members alternate between surveillance and avoidance. Which plan is BEST?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Assess current substance and medical risk, recovery supports, motivation, finances, and the surveillance-avoidance cycle; coordinate appropriate care with consent and build a relational recovery plan.</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Focus only on family communication because substance use is an individual medical issue outside systemic treatment.</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Require daily family drug testing before exploring treatment goals so abstinence becomes the organizing condition of therapy.</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Ask family members to stop monitoring immediately because surveillance always undermines recovery autonomy.</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54. </w:t>
      </w:r>
      <w:r>
        <w:rPr>
          <w:rFonts w:ascii="Liberation Sans" w:hAnsi="Liberation Sans"/>
          <w:b/>
          <w:i w:val="0"/>
          <w:color w:val="17202A"/>
          <w:sz w:val="20"/>
        </w:rPr>
        <w:t>Parents in a custody dispute ask the treating therapist to decide which home is psychologically healthier. Treatment data show the child is distressed by transitions. Which response is BEST?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Recommend the home with better attendance because treatment participation predicts parenting capacity.</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Clarify the treatment role, avoid unsupported custody conclusions, and use treatment data with authorized participants to address transition distress.</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Interview each parent separately and provide the court a comparative opinion based on clinical impressions.</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Suspend treatment until the custody case ends so any plan modification cannot influence legal proceedings.</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55. </w:t>
      </w:r>
      <w:r>
        <w:rPr>
          <w:rFonts w:ascii="Liberation Sans" w:hAnsi="Liberation Sans"/>
          <w:b/>
          <w:i w:val="0"/>
          <w:color w:val="17202A"/>
          <w:sz w:val="20"/>
        </w:rPr>
        <w:t>A therapist conceptualizes a family's difficulty as a pattern maintained by rigid beliefs about loyalty. What should the therapist do NEXT to remain theory-practice consistent?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Use a generic communication worksheet because skills practice is useful regardless of the hypothesis.</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Challenge the most rigid family member directly so the belief system loses authority.</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Choose an intervention designed to reveal and expand the loyalty meanings while testing whether the interactional pattern changes.</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Replace the systemic hypothesis with an individual diagnosis before selecting any technique.</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56. </w:t>
      </w:r>
      <w:r>
        <w:rPr>
          <w:rFonts w:ascii="Liberation Sans" w:hAnsi="Liberation Sans"/>
          <w:b/>
          <w:i w:val="0"/>
          <w:color w:val="17202A"/>
          <w:sz w:val="20"/>
        </w:rPr>
        <w:t>A supervisee begins providing free transportation to a financially stressed client and asks to use the client's business for personal home repairs. Which concern is MOST important?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The arrangement may reduce billable time but is acceptable if both parties believe it is mutually helpful.</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The supervisee should charge for transportation so the relationship remains a standard business exchange.</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The client should sign a dual-relationship waiver because written consent resolves exploitation risk.</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Power, dependency, role conflict, impaired judgment, and potential exploitation require prompt supervisory review, boundary correction, and documentation.</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57. </w:t>
      </w:r>
      <w:r>
        <w:rPr>
          <w:rFonts w:ascii="Liberation Sans" w:hAnsi="Liberation Sans"/>
          <w:b/>
          <w:i w:val="0"/>
          <w:color w:val="17202A"/>
          <w:sz w:val="20"/>
        </w:rPr>
        <w:t>When a client in acute crisis cannot use reflective couple work and may need a higher level of care, what should the therapist do FIRST?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Stabilize immediate risk and functioning, select the safest available crisis modality and resources, and arrange continuity before returning to routine treatment.</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Continue the couple intervention because changing modalities may reinforce avoidance of difficult emotions.</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Obtain a complete multigenerational history before deciding whether the crisis is severe enough for referral.</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Transfer the client permanently because crisis management and systemic therapy cannot occur in the same episode of care.</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58. </w:t>
      </w:r>
      <w:r>
        <w:rPr>
          <w:rFonts w:ascii="Liberation Sans" w:hAnsi="Liberation Sans"/>
          <w:b/>
          <w:i w:val="0"/>
          <w:color w:val="17202A"/>
          <w:sz w:val="20"/>
        </w:rPr>
        <w:t>A client wants a parent included for one treatment-planning session but not for trauma details. Which participation plan is BEST?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Invite the parent to all sessions because meaningful systemic work requires full access to treatment content.</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Clarify goals, consent, the parent's limited role and information boundaries, then sequence participation to support autonomy and fit.</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Exclude the parent because selective participation creates an unmanageable confidentiality risk.</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Let the parent decide which information is necessary after hearing the treatment diagnosis.</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59. </w:t>
      </w:r>
      <w:r>
        <w:rPr>
          <w:rFonts w:ascii="Liberation Sans" w:hAnsi="Liberation Sans"/>
          <w:b/>
          <w:i w:val="0"/>
          <w:color w:val="17202A"/>
          <w:sz w:val="20"/>
        </w:rPr>
        <w:t>A child in a high-conflict custody situation reports headaches, startle responses, and possible physical injury after exchanges. Which response is MOST appropriate?</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Begin exposure exercises so avoidance does not strengthen trauma symptoms while the custody dispute continues.</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Ask both parents to agree on whether the injuries occurred before seeking outside evaluation.</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Assess immediate safety and trauma effects, obtain indicated medical or specialized evaluation, and follow current protective duties while maintaining the treatment role.</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Delay action until repeated reports establish a stable pattern that can be distinguished from custody-related influence.</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60. </w:t>
      </w:r>
      <w:r>
        <w:rPr>
          <w:rFonts w:ascii="Liberation Sans" w:hAnsi="Liberation Sans"/>
          <w:b/>
          <w:i w:val="0"/>
          <w:color w:val="17202A"/>
          <w:sz w:val="20"/>
        </w:rPr>
        <w:t>A therapist faces an unfamiliar ethics question involving a marginalized family and seeks consultation. Which approach is BEST?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Share the complete record so the consultant can identify every possible issue without missing context.</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Ask a colleague for an informal opinion and omit the discussion from documentation because no formal service was provided.</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Choose a consultant who agrees with the therapist's initial view so the record demonstrates professional support.</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Define the question, protect information to the extent possible, select qualified consultation, consider power and context, and document advice, analysis, and the therapist's decision.</w:t>
      </w:r>
    </w:p>
    <w:p>
      <w:pPr>
        <w:keepLines/>
        <w:spacing w:before="20" w:after="160"/>
        <w:ind w:left="317"/>
      </w:pPr>
      <w:r>
        <w:rPr>
          <w:rFonts w:ascii="Liberation Sans" w:hAnsi="Liberation Sans"/>
          <w:b/>
          <w:i w:val="0"/>
          <w:color w:val="5C6670"/>
          <w:sz w:val="17"/>
        </w:rPr>
        <w:t>Answer: ______    Confidence:  [ ] 1 Guess   [ ] 2 Low   [ ] 3 Moderate   [ ] 4 High</w:t>
      </w:r>
    </w:p>
    <w:p>
      <w:pPr>
        <w:pStyle w:val="Heading1"/>
      </w:pPr>
      <w:r>
        <w:t>Assessment Items 61-90</w:t>
      </w:r>
    </w:p>
    <w:p>
      <w:pPr>
        <w:keepNext w:val="0"/>
        <w:spacing w:before="0" w:after="120" w:line="259" w:lineRule="auto"/>
        <w:jc w:val="left"/>
      </w:pPr>
      <w:r>
        <w:rPr>
          <w:rFonts w:ascii="Liberation Sans" w:hAnsi="Liberation Sans"/>
          <w:b w:val="0"/>
          <w:i w:val="0"/>
          <w:color w:val="5C6670"/>
          <w:sz w:val="18"/>
        </w:rPr>
        <w:t>Select one best answer. Keep the controlled answer key closed until all 90 responses are submitted.</w:t>
      </w:r>
    </w:p>
    <w:p>
      <w:pPr>
        <w:pStyle w:val="AssessmentQuestion"/>
      </w:pPr>
      <w:r>
        <w:rPr>
          <w:rFonts w:ascii="Liberation Sans" w:hAnsi="Liberation Sans"/>
          <w:b/>
          <w:i w:val="0"/>
          <w:color w:val="0A2458"/>
          <w:sz w:val="20"/>
        </w:rPr>
        <w:t xml:space="preserve">61. </w:t>
      </w:r>
      <w:r>
        <w:rPr>
          <w:rFonts w:ascii="Liberation Sans" w:hAnsi="Liberation Sans"/>
          <w:b/>
          <w:i w:val="0"/>
          <w:color w:val="17202A"/>
          <w:sz w:val="20"/>
        </w:rPr>
        <w:t>Before continuing a changed delivery modality, what should the therapist assess FIRST?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Whether the modality remains safe, accessible, private, clinically effective, and acceptable to the client system based on outcome and alliance information.</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Whether the therapist prefers the modality and can schedule more clients with it.</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Whether the modality is widely advertised by other practices in the jurisdiction.</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Whether at least one participant reports convenience, regardless of other members' access or engagement.</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62. </w:t>
      </w:r>
      <w:r>
        <w:rPr>
          <w:rFonts w:ascii="Liberation Sans" w:hAnsi="Liberation Sans"/>
          <w:b/>
          <w:i w:val="0"/>
          <w:color w:val="17202A"/>
          <w:sz w:val="20"/>
        </w:rPr>
        <w:t>A child's school refusal decreases whenever parents stop arguing and jointly organize the morning, but returns when they disagree about discipline. What should the therapist do FIRST?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Ask the child to track anxious thoughts for two weeks before discussing the parents' conflict or changing the morning routine.</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Identify how the symptom functions within the reciprocal family pattern and collaborate on changing the parental sequence that surrounds it.</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Treat the child individually until school attendance is stable because parental conflict is only a background stressor.</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Ask the school to impose stricter consequences so the family's homeostatic pattern is disrupted from outside.</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63. </w:t>
      </w:r>
      <w:r>
        <w:rPr>
          <w:rFonts w:ascii="Liberation Sans" w:hAnsi="Liberation Sans"/>
          <w:b/>
          <w:i w:val="0"/>
          <w:color w:val="17202A"/>
          <w:sz w:val="20"/>
        </w:rPr>
        <w:t>During a family session, an older adult becomes confused, weak on one side, and unable to repeat a simple sentence. What should the therapist do NEXT?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Use grounding exercises and reassess after the family has completed the planned communication task.</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Ask relatives whether similar episodes occur during conflict before deciding whether the symptoms are medical.</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Treat the presentation as a possible medical emergency, activate emergency response, maintain immediate safety, and provide relevant information to responders.</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End the session and advise the family to contact the client's primary clinician within the next day.</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64. </w:t>
      </w:r>
      <w:r>
        <w:rPr>
          <w:rFonts w:ascii="Liberation Sans" w:hAnsi="Liberation Sans"/>
          <w:b/>
          <w:i w:val="0"/>
          <w:color w:val="17202A"/>
          <w:sz w:val="20"/>
        </w:rPr>
        <w:t>A couple seeks help after one partner returns from residential substance-use treatment. The other partner monitors every activity, and both fear relapse. What should the therapist do NEXT?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Require the recovering partner to provide unrestricted access to all communications so trust can be rebuilt through transparency.</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Ask the monitoring partner to stop all questions because recovery requires complete independence from the family system.</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Focus on historical couple injuries before discussing recovery supports so substance use does not dominate the relationship.</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Coordinate recovery and medical supports with consent, assess current risk, and build a collaborative relapse, boundary, and relationship-repair plan.</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65. </w:t>
      </w:r>
      <w:r>
        <w:rPr>
          <w:rFonts w:ascii="Liberation Sans" w:hAnsi="Liberation Sans"/>
          <w:b/>
          <w:i w:val="0"/>
          <w:color w:val="17202A"/>
          <w:sz w:val="20"/>
        </w:rPr>
        <w:t>An adult reports nightmares and avoidance related to childhood violence but also describes strong community support and stable current functioning. What should the therapist do FIRST?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Assess current symptoms, duration, impairment, development, safety, context, and protective factors before deciding whether diagnostic criteria are met.</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Assign a trauma diagnosis because exposure and nightmares together are sufficient for classification.</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Avoid diagnostic discussion because systemic therapists should not use DSM or ICD categories.</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Ask family members to confirm every childhood event before exploring the client's present experience.</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66. </w:t>
      </w:r>
      <w:r>
        <w:rPr>
          <w:rFonts w:ascii="Liberation Sans" w:hAnsi="Liberation Sans"/>
          <w:b/>
          <w:i w:val="0"/>
          <w:color w:val="17202A"/>
          <w:sz w:val="20"/>
        </w:rPr>
        <w:t>A school counselor, primary-care clinician, and family therapist are all helping an adolescent, but the family is unclear about who receives which information. What should the therapist do FIRST?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Send a complete summary to all providers so inconsistent recommendations can be corrected quickly.</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Clarify each professional's role, obtain and document appropriate authorization, define information boundaries and communication channels, and center the family's goals.</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Ask the school counselor to lead coordination because the adolescent spends the most time at school.</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Stop communicating with the team because multiple providers create unavoidable confidentiality conflicts.</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67. </w:t>
      </w:r>
      <w:r>
        <w:rPr>
          <w:rFonts w:ascii="Liberation Sans" w:hAnsi="Liberation Sans"/>
          <w:b/>
          <w:i w:val="0"/>
          <w:color w:val="17202A"/>
          <w:sz w:val="20"/>
        </w:rPr>
        <w:t>A divorcing couple has completed therapy goals but anticipates stress during future school events involving both households. What should the therapist do NEXT?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Continue weekly therapy until the youngest child graduates so predictable stress cannot reactivate conflict.</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Terminate without discussing future contact because planning may imply that the couple has not met goals.</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Consolidate effective co-parenting responses, rehearse a maintenance plan for school events, identify supports and return criteria, and complete termination collaboratively.</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Refer one parent to a new therapist and retain the other so each household has separate professional advocacy.</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68. </w:t>
      </w:r>
      <w:r>
        <w:rPr>
          <w:rFonts w:ascii="Liberation Sans" w:hAnsi="Liberation Sans"/>
          <w:b/>
          <w:i w:val="0"/>
          <w:color w:val="17202A"/>
          <w:sz w:val="20"/>
        </w:rPr>
        <w:t>A standardized couple intervention assumes equal financial power, but one partner's immigration status and economic dependence limit decision-making. Which adaptation is BEST?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Use the protocol unchanged so the therapist does not stereotype the couple based on social position.</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Assign the dependent partner more homework to build equality through individual effort.</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Suspend couple work until immigration and financial conditions are resolved outside therapy.</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Assess safety and coercion, name structural constraints, preserve both voices, and adapt the intervention for genuinely collaborative participation.</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69. </w:t>
      </w:r>
      <w:r>
        <w:rPr>
          <w:rFonts w:ascii="Liberation Sans" w:hAnsi="Liberation Sans"/>
          <w:b/>
          <w:i w:val="0"/>
          <w:color w:val="17202A"/>
          <w:sz w:val="20"/>
        </w:rPr>
        <w:t>During sex therapy, a client discloses recent suicidal thoughts after a relationship rupture but denies current intent. Which concern is MOST important to address now?</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Complete a direct suicide-risk assessment and determine the needed safety response before continuing the planned sexual intervention.</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Explore sexual avoidance first because resolving the relationship rupture may eliminate the suicidal thoughts.</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Ask the partner to guarantee supervision between sessions and proceed if the partner agrees.</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Pause all treatment until the client independently obtains a psychiatric diagnosis.</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70. </w:t>
      </w:r>
      <w:r>
        <w:rPr>
          <w:rFonts w:ascii="Liberation Sans" w:hAnsi="Liberation Sans"/>
          <w:b/>
          <w:i w:val="0"/>
          <w:color w:val="17202A"/>
          <w:sz w:val="20"/>
        </w:rPr>
        <w:t>A genogram reveals repeated family concern about mood changes, and a client recently started a medication associated with activation. What should the therapist do FIRST?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Use the genogram to challenge the family's belief that medication contributes to the change.</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Assess timing, symptoms, sleep, safety, and relational observations; coordinate promptly with the prescriber with consent while using the family map as contextual evidence.</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Recommend that the client stop the medication until the family agrees that the prior mood has returned.</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Postpone medication discussion because family mapping should remain separate from biological treatment.</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71. </w:t>
      </w:r>
      <w:r>
        <w:rPr>
          <w:rFonts w:ascii="Liberation Sans" w:hAnsi="Liberation Sans"/>
          <w:b/>
          <w:i w:val="0"/>
          <w:color w:val="17202A"/>
          <w:sz w:val="20"/>
        </w:rPr>
        <w:t>A standardized measure suggests severe online-gaming problems, but the client disputes the score and reports that gaming is the main source of peer support. What should the therapist do NEXT?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Accept the severe score because standardized instruments are more reliable than client reports about rewarding behavior.</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Discard the instrument because the client identifies a social benefit and therefore cannot have a process-use disorder.</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Integrate validity and score information with interview, functioning, developmental and cultural context, family impact, strengths, and collaborative treatment priorities.</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Prioritize abstinence before assessment so the client's baseline functioning can be observed without gaming.</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72. </w:t>
      </w:r>
      <w:r>
        <w:rPr>
          <w:rFonts w:ascii="Liberation Sans" w:hAnsi="Liberation Sans"/>
          <w:b/>
          <w:i w:val="0"/>
          <w:color w:val="17202A"/>
          <w:sz w:val="20"/>
        </w:rPr>
        <w:t>A teletherapy practice closes, and clients need records transferred while one cloud vendor will soon delete stored files. What should the therapist do NEXT?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Download all files to a personal device so records remain available regardless of the practice's security systems.</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Tell clients to request records from the vendor because the vendor controls the storage account.</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Delete the files immediately to prevent any future privacy breach and document only that the practice closed.</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Follow current retention, authorization, secure transfer, notice, access, storage, and disposal requirements and document the continuity plan.</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73. </w:t>
      </w:r>
      <w:r>
        <w:rPr>
          <w:rFonts w:ascii="Liberation Sans" w:hAnsi="Liberation Sans"/>
          <w:b/>
          <w:i w:val="0"/>
          <w:color w:val="17202A"/>
          <w:sz w:val="20"/>
        </w:rPr>
        <w:t>An educational support group reports high satisfaction, but skill use and family functioning have not improved. Which conclusion is MOST appropriate?</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Satisfaction, implementation, skill practice, contextual barriers, and outcome trends should be examined together before the group is continued or revised.</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High satisfaction establishes effectiveness because participant experience is the primary outcome of educational groups.</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The curriculum is ineffective and should be replaced without checking attendance or delivery fidelity.</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Family functioning is unrelated to a support group, so only satisfaction should be monitored.</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74. </w:t>
      </w:r>
      <w:r>
        <w:rPr>
          <w:rFonts w:ascii="Liberation Sans" w:hAnsi="Liberation Sans"/>
          <w:b/>
          <w:i w:val="0"/>
          <w:color w:val="17202A"/>
          <w:sz w:val="20"/>
        </w:rPr>
        <w:t>Parents answer every question for their emerging-adult child, who has a developmental disability and asks to speak privately. Which response is MOST appropriate?</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Continue with the parents because developmental disability eliminates the need for private participation.</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Assess support needs, consent, and roles; provide an accessible private voice and include family according to the client's rights.</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Exclude the parents permanently so the client can demonstrate independence.</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Ask the parents to decide whether privacy is developmentally appropriate before speaking with the client.</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75. </w:t>
      </w:r>
      <w:r>
        <w:rPr>
          <w:rFonts w:ascii="Liberation Sans" w:hAnsi="Liberation Sans"/>
          <w:b/>
          <w:i w:val="0"/>
          <w:color w:val="17202A"/>
          <w:sz w:val="20"/>
        </w:rPr>
        <w:t>A client says a partner used physical force during sexual contact, and the client now has pain and fears going home. Which response is BEST?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Begin a sexual communication exercise so both partners can clarify the misunderstanding while details are recent.</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Invite the partner into the session to determine whether the contact met the couple's usual consent practices.</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Assess immediate safety, coercion, injury and medical needs, safe destination, and specialized or protective resources before routine sex-therapy work.</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Advise the client to document the incident at home and return for assessment after deciding whether to end the relationship.</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76. </w:t>
      </w:r>
      <w:r>
        <w:rPr>
          <w:rFonts w:ascii="Liberation Sans" w:hAnsi="Liberation Sans"/>
          <w:b/>
          <w:i w:val="0"/>
          <w:color w:val="17202A"/>
          <w:sz w:val="20"/>
        </w:rPr>
        <w:t>After infidelity, grandparents repeatedly enter parenting disputes and one partner uses them to overrule the other. Which intervention is MOST consistent with restructuring?</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Explore each grandparent's childhood history until their involvement becomes emotionally understandable.</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Ask the betrayed partner to accept grandparent involvement as a natural consequence of lost trust.</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Provide communication skills to each person individually without changing who participates in parenting decisions.</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Strengthen the co-parenting subsystem, clarify generational boundaries and decision authority, and practice interactions that support the new structure.</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77. </w:t>
      </w:r>
      <w:r>
        <w:rPr>
          <w:rFonts w:ascii="Liberation Sans" w:hAnsi="Liberation Sans"/>
          <w:b/>
          <w:i w:val="0"/>
          <w:color w:val="17202A"/>
          <w:sz w:val="20"/>
        </w:rPr>
        <w:t>A couple reports a change in sexual desire after childbirth and worries that the relationship is failing. Which assessment is BEST?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Normalize possible variation while assessing medical and hormonal factors, sleep, pain, development, mood, consent, relationship patterns, culture, and each partner's goals.</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Diagnose a sexual dysfunction if desire has differed for more than several weeks, regardless of distress or context.</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Focus on frequency because the number of sexual encounters is the most objective indicator of functioning.</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Refer immediately for individual sex therapy because conjoint assessment can pressure the lower-desire partner.</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78. </w:t>
      </w:r>
      <w:r>
        <w:rPr>
          <w:rFonts w:ascii="Liberation Sans" w:hAnsi="Liberation Sans"/>
          <w:b/>
          <w:i w:val="0"/>
          <w:color w:val="17202A"/>
          <w:sz w:val="20"/>
        </w:rPr>
        <w:t>A supervisee serving low-income families asks to reduce required documentation and skip live supervision because both take unpaid time. Which response is MOST appropriate?</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Approve the changes because economic hardship justifies lower administrative standards when clients still receive sessions.</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Maintain applicable supervision and documentation requirements while addressing workload, compensation, access, and feasible supports through transparent problem solving.</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Tell the supervisee to stop serving low-income clients because financial strain creates an unavoidable competence problem.</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Allow verbal supervision without records so the supervisor can preserve clinical oversight informally.</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79. </w:t>
      </w:r>
      <w:r>
        <w:rPr>
          <w:rFonts w:ascii="Liberation Sans" w:hAnsi="Liberation Sans"/>
          <w:b/>
          <w:i w:val="0"/>
          <w:color w:val="17202A"/>
          <w:sz w:val="20"/>
        </w:rPr>
        <w:t>A therapist sees small improvement on a symptom scale, large improvement in alliance, and no change in the couple's target behavior. Which evaluation is BEST?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Declare treatment successful and continue unchanged, because alliance improvement is the strongest leading indicator of later change.</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Declare treatment unsuccessful and replace the approach, because the agreed target behavior has not yet improved.</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Review trends, goal importance, alliance, implementation, and barriers with the couple, then decide whether to modify the plan.</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Continue the current plan until all measures move in the same direction, then revisit the couple's goals and progress.</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80. </w:t>
      </w:r>
      <w:r>
        <w:rPr>
          <w:rFonts w:ascii="Liberation Sans" w:hAnsi="Liberation Sans"/>
          <w:b/>
          <w:i w:val="0"/>
          <w:color w:val="17202A"/>
          <w:sz w:val="20"/>
        </w:rPr>
        <w:t>A refugee family describes a child as 'the strong one' because the child manages appointments and translates distressing information. What should the therapist do NEXT?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Praise the child's resilience and preserve the role because it helped the family survive migration.</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Tell the parents the role is inappropriate and require immediate transfer of all responsibilities.</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Diagnose parentification as the primary family disorder without exploring cultural or resettlement conditions.</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Develop a provisional systemic hypothesis that includes migration, loss, language access, role shifts, strengths, burden, and reciprocal family responses, then test it collaboratively.</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81. </w:t>
      </w:r>
      <w:r>
        <w:rPr>
          <w:rFonts w:ascii="Liberation Sans" w:hAnsi="Liberation Sans"/>
          <w:b/>
          <w:i w:val="0"/>
          <w:color w:val="17202A"/>
          <w:sz w:val="20"/>
        </w:rPr>
        <w:t>A client reports intentionally restricting food and using painful sexual behavior after conflict to regulate emotion, while denying suicidal intent. What should the therapist do FIRST?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Assess medical danger, coercion and consent, self-injury and suicide risk, function, frequency, supports, and the level of care needed.</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Begin a distress-tolerance worksheet because the client has identified emotion regulation as the function.</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Treat the behaviors as consensual sexual variation unless the partner reports concern.</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Focus on the couple conflict because changing the trigger will make direct safety assessment unnecessary.</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82. </w:t>
      </w:r>
      <w:r>
        <w:rPr>
          <w:rFonts w:ascii="Liberation Sans" w:hAnsi="Liberation Sans"/>
          <w:b/>
          <w:i w:val="0"/>
          <w:color w:val="17202A"/>
          <w:sz w:val="20"/>
        </w:rPr>
        <w:t>When several treatment priorities compete across individual, couple, and family sessions, which principle provides the BEST sequence?</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Use the therapist's preferred systemic model in every modality so treatment remains consistent.</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Address supported safety and acute impairment first, then select the treatment unit and intervention that fit shared goals and current evidence.</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Begin with the goal named by the person who initiated treatment because that person established the contract.</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Alternate equally among priorities so no participant experiences the therapist as taking sides.</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83. </w:t>
      </w:r>
      <w:r>
        <w:rPr>
          <w:rFonts w:ascii="Liberation Sans" w:hAnsi="Liberation Sans"/>
          <w:b/>
          <w:i w:val="0"/>
          <w:color w:val="17202A"/>
          <w:sz w:val="20"/>
        </w:rPr>
        <w:t>A relational assessment suggests family strain, while an adolescent also shows a new decline in language, learning, and daily functioning. Which concern is MOST important?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Whether the parents can agree on a single systemic explanation before any referral is made.</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Whether the relational instrument score reaches a diagnostic cutoff for the adolescent.</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Whether developmental, medical, educational, or psychological evaluation is needed while systemic assessment and support continue.</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Whether family therapy should end because outside evaluation and systemic treatment cannot occur at the same time.</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84. </w:t>
      </w:r>
      <w:r>
        <w:rPr>
          <w:rFonts w:ascii="Liberation Sans" w:hAnsi="Liberation Sans"/>
          <w:b/>
          <w:i w:val="0"/>
          <w:color w:val="17202A"/>
          <w:sz w:val="20"/>
        </w:rPr>
        <w:t>A therapist is competent in family assessment but unfamiliar with an AI system that proposes diagnoses and treatment plans. Which use is BEST?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Use the recommendations only when they agree with the therapist's first impression, because agreement confirms accuracy.</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Let clients choose whether the system is competent after reading the vendor's description.</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Use the tool for administrative efficiency and place its clinical recommendations in the record without separate review.</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Limit use until competence, governing requirements, consent and privacy, evidence, bias, security, and human verification are adequately addressed.</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85. </w:t>
      </w:r>
      <w:r>
        <w:rPr>
          <w:rFonts w:ascii="Liberation Sans" w:hAnsi="Liberation Sans"/>
          <w:b/>
          <w:i w:val="0"/>
          <w:color w:val="17202A"/>
          <w:sz w:val="20"/>
        </w:rPr>
        <w:t>A couple working on infidelity has stopped completing agreed exercises and now debates whether the treatment goals still matter. What should the therapist do FIRST?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Revisit alliance, goals, safety, barriers, attempted solutions, and the meaning of noncompletion with both partners before selecting a new intervention.</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Increase homework accountability because noncompletion shows insufficient motivation.</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End treatment because clients who reject agreed exercises cannot benefit from the model.</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Choose a more intensive infidelity protocol without discussing the stalled plan so treatment regains momentum.</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86. </w:t>
      </w:r>
      <w:r>
        <w:rPr>
          <w:rFonts w:ascii="Liberation Sans" w:hAnsi="Liberation Sans"/>
          <w:b/>
          <w:i w:val="0"/>
          <w:color w:val="17202A"/>
          <w:sz w:val="20"/>
        </w:rPr>
        <w:t>A therapist's model emphasizes direct emotional disclosure, but clients report that public hostility toward their community makes disclosure feel unsafe. What should the therapist do FIRST?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Explain that corrective emotional experience requires temporary discomfort and continue the intervention as designed.</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Revisit the systemic hypothesis and change mechanism, assess sociopolitical safety and client meaning, and adapt the model without abandoning its clinically necessary elements.</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Avoid all emotional work because social hostility makes disclosure contraindicated for every client in that community.</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Refer the clients to a therapist from the same community because model adaptation would reduce treatment fidelity.</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87. </w:t>
      </w:r>
      <w:r>
        <w:rPr>
          <w:rFonts w:ascii="Liberation Sans" w:hAnsi="Liberation Sans"/>
          <w:b/>
          <w:i w:val="0"/>
          <w:color w:val="17202A"/>
          <w:sz w:val="20"/>
        </w:rPr>
        <w:t>A client says they may confront a coworker who repeatedly makes anti-LGBTQ threats and adds, 'I know where he keeps a weapon.' What should the therapist do NEXT?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Explore the client's identity development before asking direct questions that could feel stigmatizing.</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Assume the statement is self-protective because the coworker initiated the threats.</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Assess target, intent, plan, means, timing, and immediate danger, then take the protective steps required by risk and governing authority.</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Advise the client to document the coworker's threats and return if a direct plan to harm emerges.</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88. </w:t>
      </w:r>
      <w:r>
        <w:rPr>
          <w:rFonts w:ascii="Liberation Sans" w:hAnsi="Liberation Sans"/>
          <w:b/>
          <w:i w:val="0"/>
          <w:color w:val="17202A"/>
          <w:sz w:val="20"/>
        </w:rPr>
        <w:t>Which intervention should occur NEXT when partners understand their conflict cycle but still cannot make joint decisions under stress?</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Interpret each partner's childhood origins until insight eliminates the decision difficulty.</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Ask one partner to take final authority so repeated negotiation does not reinforce conflict.</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Assign separate individual goals because joint decisions are outside the scope of couple therapy.</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Teach, rehearse, and evaluate a structured coping and communication process tied to a real decision and the couple's agreed relational goals.</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89. </w:t>
      </w:r>
      <w:r>
        <w:rPr>
          <w:rFonts w:ascii="Liberation Sans" w:hAnsi="Liberation Sans"/>
          <w:b/>
          <w:i w:val="0"/>
          <w:color w:val="17202A"/>
          <w:sz w:val="20"/>
        </w:rPr>
        <w:t>A bicultural family is referred for 'poor adjustment,' but members describe strong mutual aid, community leadership, and flexible language use alongside conflict with an institution. What should the therapist do FIRST?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Elicit each member's cultural meanings, strengths, coping, acculturation experiences, institutional pressures, and desired outcomes before accepting a deficit-based formulation.</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Administer an acculturation scale and use the total score as the primary explanation for family conflict.</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Focus on teaching mainstream communication norms so the family can reduce conflict with the institution.</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Reject the referral concern entirely because community leadership proves the family is functioning well.</w:t>
      </w:r>
    </w:p>
    <w:p>
      <w:pPr>
        <w:keepLines/>
        <w:spacing w:before="20" w:after="160"/>
        <w:ind w:left="317"/>
      </w:pPr>
      <w:r>
        <w:rPr>
          <w:rFonts w:ascii="Liberation Sans" w:hAnsi="Liberation Sans"/>
          <w:b/>
          <w:i w:val="0"/>
          <w:color w:val="5C6670"/>
          <w:sz w:val="17"/>
        </w:rPr>
        <w:t>Answer: ______    Confidence:  [ ] 1 Guess   [ ] 2 Low   [ ] 3 Moderate   [ ] 4 High</w:t>
      </w:r>
    </w:p>
    <w:p>
      <w:pPr>
        <w:pStyle w:val="AssessmentQuestion"/>
      </w:pPr>
      <w:r>
        <w:rPr>
          <w:rFonts w:ascii="Liberation Sans" w:hAnsi="Liberation Sans"/>
          <w:b/>
          <w:i w:val="0"/>
          <w:color w:val="0A2458"/>
          <w:sz w:val="20"/>
        </w:rPr>
        <w:t xml:space="preserve">90. </w:t>
      </w:r>
      <w:r>
        <w:rPr>
          <w:rFonts w:ascii="Liberation Sans" w:hAnsi="Liberation Sans"/>
          <w:b/>
          <w:i w:val="0"/>
          <w:color w:val="17202A"/>
          <w:sz w:val="20"/>
        </w:rPr>
        <w:t>A health system policy requires clinicians to use an AI risk score, but the score's family-impact logic is undisclosed and the ethics code requires informed professional judgment. What should the therapist do FIRST?</w:t>
      </w:r>
    </w:p>
    <w:p>
      <w:pPr>
        <w:pStyle w:val="AssessmentOption"/>
        <w:keepNext/>
      </w:pPr>
      <w:r>
        <w:rPr>
          <w:rFonts w:ascii="Liberation Sans" w:hAnsi="Liberation Sans"/>
          <w:b/>
          <w:i w:val="0"/>
          <w:color w:val="0A2458"/>
          <w:sz w:val="18"/>
        </w:rPr>
        <w:t xml:space="preserve">A. </w:t>
      </w:r>
      <w:r>
        <w:rPr>
          <w:rFonts w:ascii="Liberation Sans" w:hAnsi="Liberation Sans"/>
          <w:b w:val="0"/>
          <w:i w:val="0"/>
          <w:color w:val="17202A"/>
          <w:sz w:val="18"/>
        </w:rPr>
        <w:t>Use the score without qualification because institutional policy defines the clinician's professional role.</w:t>
      </w:r>
    </w:p>
    <w:p>
      <w:pPr>
        <w:pStyle w:val="AssessmentOption"/>
        <w:keepNext/>
      </w:pPr>
      <w:r>
        <w:rPr>
          <w:rFonts w:ascii="Liberation Sans" w:hAnsi="Liberation Sans"/>
          <w:b/>
          <w:i w:val="0"/>
          <w:color w:val="0A2458"/>
          <w:sz w:val="18"/>
        </w:rPr>
        <w:t xml:space="preserve">B. </w:t>
      </w:r>
      <w:r>
        <w:rPr>
          <w:rFonts w:ascii="Liberation Sans" w:hAnsi="Liberation Sans"/>
          <w:b w:val="0"/>
          <w:i w:val="0"/>
          <w:color w:val="17202A"/>
          <w:sz w:val="18"/>
        </w:rPr>
        <w:t>Identify governing law, ethics, policy, consent and disclosure duties, suspend unsupported reliance when necessary, seek qualified consultation, and document an independent clinical decision.</w:t>
      </w:r>
    </w:p>
    <w:p>
      <w:pPr>
        <w:pStyle w:val="AssessmentOption"/>
        <w:keepNext/>
      </w:pPr>
      <w:r>
        <w:rPr>
          <w:rFonts w:ascii="Liberation Sans" w:hAnsi="Liberation Sans"/>
          <w:b/>
          <w:i w:val="0"/>
          <w:color w:val="0A2458"/>
          <w:sz w:val="18"/>
        </w:rPr>
        <w:t xml:space="preserve">C. </w:t>
      </w:r>
      <w:r>
        <w:rPr>
          <w:rFonts w:ascii="Liberation Sans" w:hAnsi="Liberation Sans"/>
          <w:b w:val="0"/>
          <w:i w:val="0"/>
          <w:color w:val="17202A"/>
          <w:sz w:val="18"/>
        </w:rPr>
        <w:t>Ignore the score and omit it from the record so the family is not affected by an opaque system.</w:t>
      </w:r>
    </w:p>
    <w:p>
      <w:pPr>
        <w:pStyle w:val="AssessmentOption"/>
        <w:keepNext/>
      </w:pPr>
      <w:r>
        <w:rPr>
          <w:rFonts w:ascii="Liberation Sans" w:hAnsi="Liberation Sans"/>
          <w:b/>
          <w:i w:val="0"/>
          <w:color w:val="0A2458"/>
          <w:sz w:val="18"/>
        </w:rPr>
        <w:t xml:space="preserve">D. </w:t>
      </w:r>
      <w:r>
        <w:rPr>
          <w:rFonts w:ascii="Liberation Sans" w:hAnsi="Liberation Sans"/>
          <w:b w:val="0"/>
          <w:i w:val="0"/>
          <w:color w:val="17202A"/>
          <w:sz w:val="18"/>
        </w:rPr>
        <w:t>Tell the family that the score is legally required even if the therapist has not verified whether the policy or tool is applicable.</w:t>
      </w:r>
    </w:p>
    <w:p>
      <w:pPr>
        <w:keepLines/>
        <w:spacing w:before="20" w:after="160"/>
        <w:ind w:left="317"/>
      </w:pPr>
      <w:r>
        <w:rPr>
          <w:rFonts w:ascii="Liberation Sans" w:hAnsi="Liberation Sans"/>
          <w:b/>
          <w:i w:val="0"/>
          <w:color w:val="5C6670"/>
          <w:sz w:val="17"/>
        </w:rPr>
        <w:t>Answer: ______    Confidence:  [ ] 1 Guess   [ ] 2 Low   [ ] 3 Moderate   [ ] 4 High</w:t>
      </w:r>
    </w:p>
    <w:p>
      <w:pPr>
        <w:pStyle w:val="Heading1"/>
        <w:pageBreakBefore/>
      </w:pPr>
      <w:r>
        <w:t>Post-Attempt Record</w:t>
      </w:r>
    </w:p>
    <w:tbl>
      <w:tblPr>
        <w:tblW w:type="dxa" w:w="9936"/>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936"/>
      </w:tblGrid>
      <w:tr>
        <w:trPr>
          <w:cantSplit/>
          <w:tblHeader w:val="true"/>
        </w:trPr>
        <w:tc>
          <w:tcPr>
            <w:tcW w:type="dxa" w:w="9936"/>
            <w:tcMar>
              <w:top w:w="115" w:type="dxa"/>
              <w:start w:w="165" w:type="dxa"/>
              <w:bottom w:w="115" w:type="dxa"/>
              <w:end w:w="165" w:type="dxa"/>
            </w:tcMar>
            <w:vAlign w:val="center"/>
            <w:shd w:fill="E7F6F5"/>
          </w:tcPr>
          <w:p>
            <w:pPr>
              <w:spacing w:after="0" w:line="252" w:lineRule="auto"/>
            </w:pPr>
            <w:r/>
            <w:r>
              <w:rPr>
                <w:rFonts w:ascii="Liberation Sans" w:hAnsi="Liberation Sans"/>
                <w:b/>
                <w:i w:val="0"/>
                <w:color w:val="0A2458"/>
                <w:sz w:val="17"/>
              </w:rPr>
              <w:t xml:space="preserve">SUBMISSION GATE:  </w:t>
            </w:r>
            <w:r>
              <w:rPr>
                <w:rFonts w:ascii="Liberation Sans" w:hAnsi="Liberation Sans"/>
                <w:b w:val="0"/>
                <w:i w:val="0"/>
                <w:color w:val="17202A"/>
                <w:sz w:val="17"/>
              </w:rPr>
              <w:t>Submit or preserve the completed first-attempt responses before opening the separately controlled answer key and detailed rationales.</w:t>
            </w:r>
          </w:p>
        </w:tc>
      </w:tr>
    </w:tbl>
    <w:p>
      <w:pPr>
        <w:spacing w:after="40"/>
      </w:pPr>
    </w:p>
    <w:tbl>
      <w:tblPr>
        <w:tblW w:type="dxa" w:w="9936"/>
        <w:tblInd w:type="dxa" w:w="0"/>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1650"/>
        <w:gridCol w:w="3300"/>
        <w:gridCol w:w="1650"/>
        <w:gridCol w:w="3336"/>
      </w:tblGrid>
      <w:tr>
        <w:trPr>
          <w:cantSplit/>
          <w:tblHeader w:val="true"/>
        </w:trPr>
        <w:tc>
          <w:tcPr>
            <w:tcW w:type="dxa" w:w="1650"/>
            <w:tcMar>
              <w:top w:w="80" w:type="dxa"/>
              <w:start w:w="110" w:type="dxa"/>
              <w:bottom w:w="80" w:type="dxa"/>
              <w:end w:w="110" w:type="dxa"/>
            </w:tcMar>
            <w:vAlign w:val="center"/>
            <w:shd w:fill="0A2458"/>
          </w:tcPr>
          <w:p>
            <w:pPr>
              <w:spacing w:before="0" w:after="0" w:line="240" w:lineRule="auto"/>
              <w:jc w:val="left"/>
            </w:pPr>
            <w:r/>
            <w:r>
              <w:rPr>
                <w:rFonts w:ascii="Liberation Sans" w:hAnsi="Liberation Sans"/>
                <w:b/>
                <w:i w:val="0"/>
                <w:color w:val="FFFFFF"/>
                <w:sz w:val="15"/>
              </w:rPr>
              <w:t>Measure</w:t>
            </w:r>
          </w:p>
        </w:tc>
        <w:tc>
          <w:tcPr>
            <w:tcW w:type="dxa" w:w="3300"/>
            <w:tcMar>
              <w:top w:w="80" w:type="dxa"/>
              <w:start w:w="110" w:type="dxa"/>
              <w:bottom w:w="80" w:type="dxa"/>
              <w:end w:w="110" w:type="dxa"/>
            </w:tcMar>
            <w:vAlign w:val="center"/>
            <w:shd w:fill="0A2458"/>
          </w:tcPr>
          <w:p>
            <w:pPr>
              <w:spacing w:before="0" w:after="0" w:line="240" w:lineRule="auto"/>
              <w:jc w:val="left"/>
            </w:pPr>
            <w:r/>
            <w:r>
              <w:rPr>
                <w:rFonts w:ascii="Liberation Sans" w:hAnsi="Liberation Sans"/>
                <w:b/>
                <w:i w:val="0"/>
                <w:color w:val="FFFFFF"/>
                <w:sz w:val="15"/>
              </w:rPr>
              <w:t>Entry</w:t>
            </w:r>
          </w:p>
        </w:tc>
        <w:tc>
          <w:tcPr>
            <w:tcW w:type="dxa" w:w="1650"/>
            <w:tcMar>
              <w:top w:w="80" w:type="dxa"/>
              <w:start w:w="110" w:type="dxa"/>
              <w:bottom w:w="80" w:type="dxa"/>
              <w:end w:w="110" w:type="dxa"/>
            </w:tcMar>
            <w:vAlign w:val="center"/>
            <w:shd w:fill="0A2458"/>
          </w:tcPr>
          <w:p>
            <w:pPr>
              <w:spacing w:before="0" w:after="0" w:line="240" w:lineRule="auto"/>
              <w:jc w:val="left"/>
            </w:pPr>
            <w:r/>
            <w:r>
              <w:rPr>
                <w:rFonts w:ascii="Liberation Sans" w:hAnsi="Liberation Sans"/>
                <w:b/>
                <w:i w:val="0"/>
                <w:color w:val="FFFFFF"/>
                <w:sz w:val="15"/>
              </w:rPr>
              <w:t>Measure</w:t>
            </w:r>
          </w:p>
        </w:tc>
        <w:tc>
          <w:tcPr>
            <w:tcW w:type="dxa" w:w="3336"/>
            <w:tcMar>
              <w:top w:w="80" w:type="dxa"/>
              <w:start w:w="110" w:type="dxa"/>
              <w:bottom w:w="80" w:type="dxa"/>
              <w:end w:w="110" w:type="dxa"/>
            </w:tcMar>
            <w:vAlign w:val="center"/>
            <w:shd w:fill="0A2458"/>
          </w:tcPr>
          <w:p>
            <w:pPr>
              <w:spacing w:before="0" w:after="0" w:line="240" w:lineRule="auto"/>
              <w:jc w:val="left"/>
            </w:pPr>
            <w:r/>
            <w:r>
              <w:rPr>
                <w:rFonts w:ascii="Liberation Sans" w:hAnsi="Liberation Sans"/>
                <w:b/>
                <w:i w:val="0"/>
                <w:color w:val="FFFFFF"/>
                <w:sz w:val="15"/>
              </w:rPr>
              <w:t>Entry</w:t>
            </w:r>
          </w:p>
        </w:tc>
      </w:tr>
      <w:tr>
        <w:trPr>
          <w:cantSplit/>
        </w:trPr>
        <w:tc>
          <w:tcPr>
            <w:tcW w:type="dxa" w:w="1650"/>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5"/>
              </w:rPr>
              <w:t>Raw total</w:t>
            </w:r>
          </w:p>
        </w:tc>
        <w:tc>
          <w:tcPr>
            <w:tcW w:type="dxa" w:w="3300"/>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5"/>
              </w:rPr>
              <w:t>____ / 90</w:t>
            </w:r>
          </w:p>
        </w:tc>
        <w:tc>
          <w:tcPr>
            <w:tcW w:type="dxa" w:w="1650"/>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5"/>
              </w:rPr>
              <w:t>Time used</w:t>
            </w:r>
          </w:p>
        </w:tc>
        <w:tc>
          <w:tcPr>
            <w:tcW w:type="dxa" w:w="3336"/>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5"/>
              </w:rPr>
              <w:t>________ minutes</w:t>
            </w:r>
          </w:p>
        </w:tc>
      </w:tr>
      <w:tr>
        <w:trPr>
          <w:cantSplit/>
        </w:trPr>
        <w:tc>
          <w:tcPr>
            <w:tcW w:type="dxa" w:w="1650"/>
            <w:shd w:fill="F8FAFC"/>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5"/>
              </w:rPr>
              <w:t>Unanswered</w:t>
            </w:r>
          </w:p>
        </w:tc>
        <w:tc>
          <w:tcPr>
            <w:tcW w:type="dxa" w:w="3300"/>
            <w:shd w:fill="F8FAFC"/>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5"/>
              </w:rPr>
              <w:t>________</w:t>
            </w:r>
          </w:p>
        </w:tc>
        <w:tc>
          <w:tcPr>
            <w:tcW w:type="dxa" w:w="1650"/>
            <w:shd w:fill="F8FAFC"/>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5"/>
              </w:rPr>
              <w:t>Low-confidence items</w:t>
            </w:r>
          </w:p>
        </w:tc>
        <w:tc>
          <w:tcPr>
            <w:tcW w:type="dxa" w:w="3336"/>
            <w:shd w:fill="F8FAFC"/>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5"/>
              </w:rPr>
              <w:t>________________</w:t>
            </w:r>
          </w:p>
        </w:tc>
      </w:tr>
      <w:tr>
        <w:trPr>
          <w:cantSplit/>
        </w:trPr>
        <w:tc>
          <w:tcPr>
            <w:tcW w:type="dxa" w:w="1650"/>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5"/>
              </w:rPr>
              <w:t>Pacing concern</w:t>
            </w:r>
          </w:p>
        </w:tc>
        <w:tc>
          <w:tcPr>
            <w:tcW w:type="dxa" w:w="3300"/>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5"/>
              </w:rPr>
              <w:t>[ ] Early  [ ] Middle  [ ] Late</w:t>
            </w:r>
          </w:p>
        </w:tc>
        <w:tc>
          <w:tcPr>
            <w:tcW w:type="dxa" w:w="1650"/>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5"/>
              </w:rPr>
              <w:t>Fatigue concern</w:t>
            </w:r>
          </w:p>
        </w:tc>
        <w:tc>
          <w:tcPr>
            <w:tcW w:type="dxa" w:w="3336"/>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5"/>
              </w:rPr>
              <w:t>[ ] Yes  [ ] No</w:t>
            </w:r>
          </w:p>
        </w:tc>
      </w:tr>
    </w:tbl>
    <w:p>
      <w:pPr>
        <w:spacing w:after="40"/>
      </w:pPr>
    </w:p>
    <w:p>
      <w:pPr>
        <w:pStyle w:val="Heading2"/>
      </w:pPr>
      <w:r>
        <w:t>Raw Domain Profile</w:t>
      </w:r>
    </w:p>
    <w:tbl>
      <w:tblPr>
        <w:tblW w:type="dxa" w:w="9936"/>
        <w:tblInd w:type="dxa" w:w="0"/>
        <w:tblLook w:firstColumn="1" w:firstRow="1" w:lastColumn="0" w:lastRow="0" w:noHBand="0" w:noVBand="1" w:val="04A0"/>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Layout w:type="fixed"/>
      </w:tblPr>
      <w:tblGrid>
        <w:gridCol w:w="1000"/>
        <w:gridCol w:w="6700"/>
        <w:gridCol w:w="2236"/>
      </w:tblGrid>
      <w:tr>
        <w:trPr>
          <w:cantSplit/>
          <w:tblHeader w:val="true"/>
        </w:trPr>
        <w:tc>
          <w:tcPr>
            <w:tcW w:type="dxa" w:w="1000"/>
            <w:tcMar>
              <w:top w:w="80" w:type="dxa"/>
              <w:start w:w="110" w:type="dxa"/>
              <w:bottom w:w="80" w:type="dxa"/>
              <w:end w:w="110" w:type="dxa"/>
            </w:tcMar>
            <w:vAlign w:val="center"/>
            <w:shd w:fill="0A2458"/>
          </w:tcPr>
          <w:p>
            <w:pPr>
              <w:spacing w:before="0" w:after="0" w:line="240" w:lineRule="auto"/>
              <w:jc w:val="center"/>
            </w:pPr>
            <w:r/>
            <w:r>
              <w:rPr>
                <w:rFonts w:ascii="Liberation Sans" w:hAnsi="Liberation Sans"/>
                <w:b/>
                <w:i w:val="0"/>
                <w:color w:val="FFFFFF"/>
                <w:sz w:val="16"/>
              </w:rPr>
              <w:t>Domain</w:t>
            </w:r>
          </w:p>
        </w:tc>
        <w:tc>
          <w:tcPr>
            <w:tcW w:type="dxa" w:w="6700"/>
            <w:tcMar>
              <w:top w:w="80" w:type="dxa"/>
              <w:start w:w="110" w:type="dxa"/>
              <w:bottom w:w="80" w:type="dxa"/>
              <w:end w:w="110" w:type="dxa"/>
            </w:tcMar>
            <w:vAlign w:val="center"/>
            <w:shd w:fill="0A2458"/>
          </w:tcPr>
          <w:p>
            <w:pPr>
              <w:spacing w:before="0" w:after="0" w:line="240" w:lineRule="auto"/>
              <w:jc w:val="left"/>
            </w:pPr>
            <w:r/>
            <w:r>
              <w:rPr>
                <w:rFonts w:ascii="Liberation Sans" w:hAnsi="Liberation Sans"/>
                <w:b/>
                <w:i w:val="0"/>
                <w:color w:val="FFFFFF"/>
                <w:sz w:val="16"/>
              </w:rPr>
              <w:t>Name</w:t>
            </w:r>
          </w:p>
        </w:tc>
        <w:tc>
          <w:tcPr>
            <w:tcW w:type="dxa" w:w="2236"/>
            <w:tcMar>
              <w:top w:w="80" w:type="dxa"/>
              <w:start w:w="110" w:type="dxa"/>
              <w:bottom w:w="80" w:type="dxa"/>
              <w:end w:w="110" w:type="dxa"/>
            </w:tcMar>
            <w:vAlign w:val="center"/>
            <w:shd w:fill="0A2458"/>
          </w:tcPr>
          <w:p>
            <w:pPr>
              <w:spacing w:before="0" w:after="0" w:line="240" w:lineRule="auto"/>
              <w:jc w:val="center"/>
            </w:pPr>
            <w:r/>
            <w:r>
              <w:rPr>
                <w:rFonts w:ascii="Liberation Sans" w:hAnsi="Liberation Sans"/>
                <w:b/>
                <w:i w:val="0"/>
                <w:color w:val="FFFFFF"/>
                <w:sz w:val="16"/>
              </w:rPr>
              <w:t>Raw score</w:t>
            </w:r>
          </w:p>
        </w:tc>
      </w:tr>
      <w:tr>
        <w:trPr>
          <w:cantSplit/>
        </w:trPr>
        <w:tc>
          <w:tcPr>
            <w:tcW w:type="dxa" w:w="100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6"/>
              </w:rPr>
              <w:t>D1</w:t>
            </w:r>
          </w:p>
        </w:tc>
        <w:tc>
          <w:tcPr>
            <w:tcW w:type="dxa" w:w="6700"/>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6"/>
              </w:rPr>
              <w:t>Practice of Systemic Therapy</w:t>
            </w:r>
          </w:p>
        </w:tc>
        <w:tc>
          <w:tcPr>
            <w:tcW w:type="dxa" w:w="2236"/>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6"/>
              </w:rPr>
              <w:t>____ / 14</w:t>
            </w:r>
          </w:p>
        </w:tc>
      </w:tr>
      <w:tr>
        <w:trPr>
          <w:cantSplit/>
        </w:trPr>
        <w:tc>
          <w:tcPr>
            <w:tcW w:type="dxa" w:w="100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6"/>
              </w:rPr>
              <w:t>D2</w:t>
            </w:r>
          </w:p>
        </w:tc>
        <w:tc>
          <w:tcPr>
            <w:tcW w:type="dxa" w:w="6700"/>
            <w:shd w:fill="F8FAFC"/>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6"/>
              </w:rPr>
              <w:t>Assessing, Hypothesizing, and Diagnosing</w:t>
            </w:r>
          </w:p>
        </w:tc>
        <w:tc>
          <w:tcPr>
            <w:tcW w:type="dxa" w:w="2236"/>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6"/>
              </w:rPr>
              <w:t>____ / 15</w:t>
            </w:r>
          </w:p>
        </w:tc>
      </w:tr>
      <w:tr>
        <w:trPr>
          <w:cantSplit/>
        </w:trPr>
        <w:tc>
          <w:tcPr>
            <w:tcW w:type="dxa" w:w="100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6"/>
              </w:rPr>
              <w:t>D3</w:t>
            </w:r>
          </w:p>
        </w:tc>
        <w:tc>
          <w:tcPr>
            <w:tcW w:type="dxa" w:w="6700"/>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6"/>
              </w:rPr>
              <w:t>Designing and Conducting Treatment</w:t>
            </w:r>
          </w:p>
        </w:tc>
        <w:tc>
          <w:tcPr>
            <w:tcW w:type="dxa" w:w="2236"/>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6"/>
              </w:rPr>
              <w:t>____ / 15</w:t>
            </w:r>
          </w:p>
        </w:tc>
      </w:tr>
      <w:tr>
        <w:trPr>
          <w:cantSplit/>
        </w:trPr>
        <w:tc>
          <w:tcPr>
            <w:tcW w:type="dxa" w:w="100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6"/>
              </w:rPr>
              <w:t>D4</w:t>
            </w:r>
          </w:p>
        </w:tc>
        <w:tc>
          <w:tcPr>
            <w:tcW w:type="dxa" w:w="6700"/>
            <w:shd w:fill="F8FAFC"/>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6"/>
              </w:rPr>
              <w:t>Evaluating Ongoing Process and Terminating Treatment</w:t>
            </w:r>
          </w:p>
        </w:tc>
        <w:tc>
          <w:tcPr>
            <w:tcW w:type="dxa" w:w="2236"/>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6"/>
              </w:rPr>
              <w:t>____ / 14</w:t>
            </w:r>
          </w:p>
        </w:tc>
      </w:tr>
      <w:tr>
        <w:trPr>
          <w:cantSplit/>
        </w:trPr>
        <w:tc>
          <w:tcPr>
            <w:tcW w:type="dxa" w:w="1000"/>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6"/>
              </w:rPr>
              <w:t>D5</w:t>
            </w:r>
          </w:p>
        </w:tc>
        <w:tc>
          <w:tcPr>
            <w:tcW w:type="dxa" w:w="6700"/>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6"/>
              </w:rPr>
              <w:t>Managing Crisis Situations</w:t>
            </w:r>
          </w:p>
        </w:tc>
        <w:tc>
          <w:tcPr>
            <w:tcW w:type="dxa" w:w="2236"/>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6"/>
              </w:rPr>
              <w:t>____ / 15</w:t>
            </w:r>
          </w:p>
        </w:tc>
      </w:tr>
      <w:tr>
        <w:trPr>
          <w:cantSplit/>
        </w:trPr>
        <w:tc>
          <w:tcPr>
            <w:tcW w:type="dxa" w:w="1000"/>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6"/>
              </w:rPr>
              <w:t>D6</w:t>
            </w:r>
          </w:p>
        </w:tc>
        <w:tc>
          <w:tcPr>
            <w:tcW w:type="dxa" w:w="6700"/>
            <w:shd w:fill="F8FAFC"/>
            <w:tcMar>
              <w:top w:w="80" w:type="dxa"/>
              <w:start w:w="110" w:type="dxa"/>
              <w:bottom w:w="80" w:type="dxa"/>
              <w:end w:w="110" w:type="dxa"/>
            </w:tcMar>
            <w:vAlign w:val="center"/>
          </w:tcPr>
          <w:p>
            <w:pPr>
              <w:spacing w:before="0" w:after="0" w:line="240" w:lineRule="auto"/>
              <w:jc w:val="left"/>
            </w:pPr>
            <w:r/>
            <w:r>
              <w:rPr>
                <w:rFonts w:ascii="Liberation Sans" w:hAnsi="Liberation Sans"/>
                <w:b w:val="0"/>
                <w:i w:val="0"/>
                <w:color w:val="17202A"/>
                <w:sz w:val="16"/>
              </w:rPr>
              <w:t>Maintaining Ethical, Legal, and Professional Standards</w:t>
            </w:r>
          </w:p>
        </w:tc>
        <w:tc>
          <w:tcPr>
            <w:tcW w:type="dxa" w:w="2236"/>
            <w:shd w:fill="F8FAFC"/>
            <w:tcMar>
              <w:top w:w="80" w:type="dxa"/>
              <w:start w:w="110" w:type="dxa"/>
              <w:bottom w:w="80" w:type="dxa"/>
              <w:end w:w="110" w:type="dxa"/>
            </w:tcMar>
            <w:vAlign w:val="center"/>
          </w:tcPr>
          <w:p>
            <w:pPr>
              <w:spacing w:before="0" w:after="0" w:line="240" w:lineRule="auto"/>
              <w:jc w:val="center"/>
            </w:pPr>
            <w:r/>
            <w:r>
              <w:rPr>
                <w:rFonts w:ascii="Liberation Sans" w:hAnsi="Liberation Sans"/>
                <w:b w:val="0"/>
                <w:i w:val="0"/>
                <w:color w:val="17202A"/>
                <w:sz w:val="16"/>
              </w:rPr>
              <w:t>____ / 17</w:t>
            </w:r>
          </w:p>
        </w:tc>
      </w:tr>
    </w:tbl>
    <w:p>
      <w:pPr>
        <w:spacing w:after="40"/>
      </w:pPr>
    </w:p>
    <w:p>
      <w:pPr>
        <w:pStyle w:val="Heading2"/>
      </w:pPr>
      <w:r>
        <w:t>Readiness Notes</w:t>
      </w:r>
    </w:p>
    <w:p>
      <w:pPr>
        <w:keepNext w:val="0"/>
        <w:spacing w:before="0" w:after="180" w:line="259" w:lineRule="auto"/>
        <w:jc w:val="left"/>
      </w:pPr>
      <w:r>
        <w:rPr>
          <w:rFonts w:ascii="Liberation Sans" w:hAnsi="Liberation Sans"/>
          <w:b w:val="0"/>
          <w:i w:val="0"/>
          <w:color w:val="17202A"/>
          <w:sz w:val="18"/>
        </w:rPr>
        <w:t>Most frequent reasoning error: ________________________________________________________________</w:t>
      </w:r>
    </w:p>
    <w:p>
      <w:pPr>
        <w:keepNext w:val="0"/>
        <w:spacing w:before="0" w:after="180" w:line="259" w:lineRule="auto"/>
        <w:jc w:val="left"/>
      </w:pPr>
      <w:r>
        <w:rPr>
          <w:rFonts w:ascii="Liberation Sans" w:hAnsi="Liberation Sans"/>
          <w:b w:val="0"/>
          <w:i w:val="0"/>
          <w:color w:val="17202A"/>
          <w:sz w:val="18"/>
        </w:rPr>
        <w:t>Items requiring safety or legal-current review: __________________________________________________</w:t>
      </w:r>
    </w:p>
    <w:p>
      <w:pPr>
        <w:keepNext w:val="0"/>
        <w:spacing w:before="0" w:after="180" w:line="259" w:lineRule="auto"/>
        <w:jc w:val="left"/>
      </w:pPr>
      <w:r>
        <w:rPr>
          <w:rFonts w:ascii="Liberation Sans" w:hAnsi="Liberation Sans"/>
          <w:b w:val="0"/>
          <w:i w:val="0"/>
          <w:color w:val="17202A"/>
          <w:sz w:val="18"/>
        </w:rPr>
        <w:t>Workbooks or tools to revisit: _________________________________________________________________</w:t>
      </w:r>
    </w:p>
    <w:p>
      <w:pPr>
        <w:keepNext w:val="0"/>
        <w:spacing w:before="0" w:after="180" w:line="259" w:lineRule="auto"/>
        <w:jc w:val="left"/>
      </w:pPr>
      <w:r>
        <w:rPr>
          <w:rFonts w:ascii="Liberation Sans" w:hAnsi="Liberation Sans"/>
          <w:b w:val="0"/>
          <w:i w:val="0"/>
          <w:color w:val="17202A"/>
          <w:sz w:val="18"/>
        </w:rPr>
        <w:t>Transfer rule to use on the next attempt: ________________________________________________________</w:t>
      </w:r>
    </w:p>
    <w:tbl>
      <w:tblPr>
        <w:tblW w:type="dxa" w:w="9936"/>
        <w:tblInd w:type="dxa" w:w="0"/>
        <w:tblLook w:firstColumn="1" w:firstRow="1" w:lastColumn="0" w:lastRow="0" w:noHBand="0" w:noVBand="1" w:val="04A0"/>
        <w:tblLayout w:type="fixed"/>
        <w:tblBorders>
          <w:top w:val="single" w:sz="6" w:space="0" w:color="C9D6E2"/>
          <w:left w:val="single" w:sz="6" w:space="0" w:color="C9D6E2"/>
          <w:bottom w:val="single" w:sz="6" w:space="0" w:color="C9D6E2"/>
          <w:right w:val="single" w:sz="6" w:space="0" w:color="C9D6E2"/>
          <w:insideH w:val="single" w:sz="6" w:space="0" w:color="C9D6E2"/>
          <w:insideV w:val="single" w:sz="6" w:space="0" w:color="C9D6E2"/>
        </w:tblBorders>
      </w:tblPr>
      <w:tblGrid>
        <w:gridCol w:w="9936"/>
      </w:tblGrid>
      <w:tr>
        <w:trPr>
          <w:cantSplit/>
          <w:tblHeader w:val="true"/>
        </w:trPr>
        <w:tc>
          <w:tcPr>
            <w:tcW w:type="dxa" w:w="9936"/>
            <w:tcMar>
              <w:top w:w="115" w:type="dxa"/>
              <w:start w:w="165" w:type="dxa"/>
              <w:bottom w:w="115" w:type="dxa"/>
              <w:end w:w="165" w:type="dxa"/>
            </w:tcMar>
            <w:vAlign w:val="center"/>
            <w:shd w:fill="EAF0F8"/>
          </w:tcPr>
          <w:p>
            <w:pPr>
              <w:spacing w:after="0" w:line="252" w:lineRule="auto"/>
            </w:pPr>
            <w:r/>
            <w:r>
              <w:rPr>
                <w:rFonts w:ascii="Liberation Sans" w:hAnsi="Liberation Sans"/>
                <w:b/>
                <w:i w:val="0"/>
                <w:color w:val="0A2458"/>
                <w:sz w:val="17"/>
              </w:rPr>
              <w:t xml:space="preserve">READINESS RULE:  </w:t>
            </w:r>
            <w:r>
              <w:rPr>
                <w:rFonts w:ascii="Liberation Sans" w:hAnsi="Liberation Sans"/>
                <w:b w:val="0"/>
                <w:i w:val="0"/>
                <w:color w:val="17202A"/>
                <w:sz w:val="17"/>
              </w:rPr>
              <w:t>Do not rely on score alone. Review every missed item and every correct answer marked with confidence 1 or 2. Before progressing, be able to name the controlling decision point, explain why the keyed action comes first or is best, identify the defect in competing options, and state a transferable repair rule.</w:t>
            </w:r>
          </w:p>
        </w:tc>
      </w:tr>
    </w:tbl>
    <w:p>
      <w:pPr>
        <w:spacing w:after="40"/>
      </w:pPr>
    </w:p>
    <w:p>
      <w:pPr>
        <w:keepNext w:val="0"/>
        <w:spacing w:before="0" w:after="40" w:line="259" w:lineRule="auto"/>
        <w:jc w:val="center"/>
      </w:pPr>
      <w:r>
        <w:rPr>
          <w:rFonts w:ascii="Liberation Sans" w:hAnsi="Liberation Sans"/>
          <w:b w:val="0"/>
          <w:i/>
          <w:color w:val="5C6670"/>
          <w:sz w:val="17"/>
        </w:rPr>
        <w:t>Exam preparation only | No CE credit | No fixed official passing percentage</w:t>
      </w:r>
    </w:p>
    <w:sectPr w:rsidR="00FC693F" w:rsidRPr="0006063C" w:rsidSect="00034616">
      <w:headerReference w:type="default" r:id="rId9"/>
      <w:footerReference w:type="default" r:id="rId10"/>
      <w:headerReference w:type="first" r:id="rId11"/>
      <w:footerReference w:type="first" r:id="rId12"/>
      <w:pgSz w:w="12240" w:h="15840"/>
      <w:pgMar w:top="1037" w:right="1152" w:bottom="1037" w:left="1152" w:header="490" w:footer="49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Liberation Sans" w:hAnsi="Liberation Sans"/>
        <w:b w:val="0"/>
        <w:i w:val="0"/>
        <w:color w:val="5C6670"/>
        <w:sz w:val="15"/>
      </w:rPr>
      <w:t xml:space="preserve">EXAM PREPARATION ONLY - NO CE CREDIT   |   </w:t>
    </w:r>
    <w:r>
      <w:rPr>
        <w:rFonts w:ascii="Liberation Sans" w:hAnsi="Liberation Sans"/>
        <w:b w:val="0"/>
        <w:i w:val="0"/>
        <w:color w:val="5C6670"/>
        <w:sz w:val="15"/>
      </w:rPr>
      <w:t xml:space="preserve">Page </w:t>
    </w:r>
    <w:r>
      <w:rPr>
        <w:rFonts w:ascii="Liberation Sans" w:hAnsi="Liberation Sans"/>
        <w:b w:val="0"/>
        <w:i w:val="0"/>
        <w:color w:val="5C6670"/>
        <w:sz w:val="15"/>
      </w:rPr>
      <w:fldChar w:fldCharType="begin"/>
    </w:r>
    <w:r>
      <w:rPr>
        <w:rFonts w:ascii="Liberation Sans" w:hAnsi="Liberation Sans"/>
        <w:b w:val="0"/>
        <w:i w:val="0"/>
        <w:color w:val="5C6670"/>
        <w:sz w:val="15"/>
      </w:rPr>
      <w:instrText xml:space="preserve"> PAGE </w:instrText>
    </w:r>
    <w:r>
      <w:rPr>
        <w:rFonts w:ascii="Liberation Sans" w:hAnsi="Liberation Sans"/>
        <w:b w:val="0"/>
        <w:i w:val="0"/>
        <w:color w:val="5C6670"/>
        <w:sz w:val="15"/>
      </w:rPr>
      <w:fldChar w:fldCharType="separate"/>
    </w:r>
    <w:r>
      <w:rPr>
        <w:rFonts w:ascii="Liberation Sans" w:hAnsi="Liberation Sans"/>
        <w:b w:val="0"/>
        <w:i w:val="0"/>
        <w:color w:val="5C6670"/>
        <w:sz w:val="15"/>
      </w:rPr>
      <w:t>1</w:t>
    </w:r>
    <w:r>
      <w:rPr>
        <w:rFonts w:ascii="Liberation Sans" w:hAnsi="Liberation Sans"/>
        <w:b w:val="0"/>
        <w:i w:val="0"/>
        <w:color w:val="5C6670"/>
        <w:sz w:val="15"/>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b w:val="0"/>
        <w:i w:val="0"/>
        <w:color w:val="5C6670"/>
        <w:sz w:val="15"/>
      </w:rPr>
      <w:t>Clinical Training &amp; Supervision Academy | Version 1.0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Liberation Sans" w:hAnsi="Liberation Sans"/>
        <w:b/>
        <w:i w:val="0"/>
        <w:color w:val="0A2458"/>
        <w:sz w:val="16"/>
      </w:rPr>
      <w:t>CTA LMFT AMFTRB | CHECKPOINT 3 CANDIDATE ASSESSMENT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Liberation Sans" w:hAnsi="Liberation Sans"/>
      <w:color w:val="1720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iberation Sans" w:hAnsi="Liberation Sans"/>
      <w:b/>
      <w:bCs/>
      <w:color w:val="0A2458"/>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ans" w:hAnsi="Liberation Sans"/>
      <w:b/>
      <w:bCs/>
      <w:color w:val="0A2458"/>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00A6A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80"/>
      <w:contextualSpacing/>
    </w:pPr>
    <w:rPr>
      <w:rFonts w:asciiTheme="majorHAnsi" w:eastAsiaTheme="majorEastAsia" w:hAnsiTheme="majorHAnsi" w:cstheme="majorBidi" w:ascii="Liberation Sans" w:hAnsi="Liberation Sans"/>
      <w:b/>
      <w:color w:val="0A245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Liberation Sans" w:hAnsi="Liberation Sans"/>
      <w:i w:val="0"/>
      <w:iCs/>
      <w:color w:val="00A6A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sessmentQuestion">
    <w:name w:val="Assessment Question"/>
    <w:pPr>
      <w:keepNext/>
      <w:spacing w:before="160" w:after="80" w:line="259" w:lineRule="auto"/>
    </w:pPr>
    <w:rPr>
      <w:rFonts w:ascii="Liberation Sans" w:hAnsi="Liberation Sans"/>
      <w:b/>
      <w:color w:val="17202A"/>
      <w:sz w:val="20"/>
    </w:rPr>
  </w:style>
  <w:style w:type="paragraph" w:customStyle="1" w:styleId="AssessmentOption">
    <w:name w:val="Assessment Option"/>
    <w:pPr>
      <w:spacing w:before="0" w:after="50" w:line="252" w:lineRule="auto"/>
      <w:ind w:left="317" w:hanging="317"/>
    </w:pPr>
    <w:rPr>
      <w:rFonts w:ascii="Liberation Sans" w:hAnsi="Liberation Sans"/>
      <w:color w:val="17202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Checkpoint 3 - 90-Question Candidate Assessment</dc:title>
  <dc:subject>Answer-hidden cumulative candidate assessment; exam preparation only; no CE credit</dc:subject>
  <dc:creator>Clinical Training and Supervision Academy</dc:creator>
  <cp:keywords>LMFT, AMFTRB, Checkpoint 3, candidate assessment, national exam preparation</cp:keywords>
  <dc:description>Original CTA practice assessment; not live or recalled examination content.</dc:description>
  <cp:lastModifiedBy/>
  <cp:revision>1</cp:revision>
  <dcterms:created xsi:type="dcterms:W3CDTF">2013-12-23T23:15:00Z</dcterms:created>
  <dcterms:modified xsi:type="dcterms:W3CDTF">2013-12-23T23:15:00Z</dcterms:modified>
  <cp:category/>
</cp:coreProperties>
</file>