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2"/>
                    <a:stretch>
                      <a:fillRect/>
                    </a:stretch>
                  </pic:blipFill>
                  <pic:spPr>
                    <a:xfrm>
                      <a:off x="0" y="0"/>
                      <a:ext cx="4297680" cy="2956076"/>
                    </a:xfrm>
                    <a:prstGeom prst="rect"/>
                  </pic:spPr>
                </pic:pic>
              </a:graphicData>
            </a:graphic>
          </wp:inline>
        </w:drawing>
      </w:r>
    </w:p>
    <w:p>
      <w:pPr>
        <w:spacing w:before="280" w:after="40"/>
        <w:jc w:val="center"/>
      </w:pPr>
      <w:r>
        <w:rPr>
          <w:rFonts w:ascii="Liberation Sans" w:hAnsi="Liberation Sans"/>
          <w:b/>
          <w:color w:val="12385B"/>
          <w:sz w:val="36"/>
        </w:rPr>
        <w:t>CTA LMFT AMFTRB</w:t>
      </w:r>
    </w:p>
    <w:p>
      <w:pPr>
        <w:spacing w:after="240"/>
        <w:jc w:val="center"/>
      </w:pPr>
      <w:r>
        <w:rPr>
          <w:rFonts w:ascii="Liberation Sans" w:hAnsi="Liberation Sans"/>
          <w:b/>
          <w:color w:val="13A6A6"/>
          <w:sz w:val="22"/>
        </w:rPr>
        <w:t>NATIONAL EXAM PREPARATION PROGRAM</w:t>
      </w:r>
    </w:p>
    <w:p>
      <w:pPr>
        <w:pStyle w:val="Title"/>
        <w:jc w:val="center"/>
      </w:pPr>
      <w:r>
        <w:t>17-Question Candidate Bank</w:t>
      </w:r>
    </w:p>
    <w:p>
      <w:pPr>
        <w:pStyle w:val="Subtitle"/>
        <w:jc w:val="center"/>
      </w:pPr>
      <w:r>
        <w:t>CTA LMFT AMFTRB Workbook 10</w:t>
      </w:r>
    </w:p>
    <w:p>
      <w:pPr>
        <w:spacing w:after="160"/>
        <w:jc w:val="center"/>
      </w:pPr>
      <w:r>
        <w:rPr>
          <w:rFonts w:ascii="Liberation Sans" w:hAnsi="Liberation Sans"/>
          <w:b/>
          <w:color w:val="12385B"/>
          <w:sz w:val="28"/>
        </w:rPr>
        <w:t>Progress Evaluation, Research Literacy, Plan Revision,</w:t>
        <w:br/>
        <w:t>Termination, and Continuity</w:t>
      </w:r>
    </w:p>
    <w:p>
      <w:pPr>
        <w:spacing w:after="160"/>
        <w:jc w:val="center"/>
      </w:pPr>
      <w:r>
        <w:rPr>
          <w:rFonts w:ascii="Liberation Sans" w:hAnsi="Liberation Sans"/>
          <w:i/>
          <w:color w:val="5A6872"/>
          <w:sz w:val="21"/>
        </w:rPr>
        <w:t>Original one-best-answer practice items for a timed first attempt</w:t>
      </w:r>
    </w:p>
    <w:p>
      <w:pPr>
        <w:jc w:val="center"/>
      </w:pPr>
      <w:r>
        <w:rPr>
          <w:rFonts w:ascii="Liberation Sans" w:hAnsi="Liberation Sans"/>
          <w:color w:val="5A6872"/>
          <w:sz w:val="19"/>
        </w:rPr>
        <w:t>Version 1.0 - August 2026</w:t>
      </w:r>
    </w:p>
    <w:p>
      <w:pPr>
        <w:jc w:val="center"/>
      </w:pPr>
      <w:r>
        <w:rPr>
          <w:rFonts w:ascii="Liberation Sans" w:hAnsi="Liberation Sans"/>
          <w:b/>
          <w:color w:val="12385B"/>
          <w:sz w:val="20"/>
        </w:rPr>
        <w:t>Clinical Training &amp; Supervision Academy</w:t>
      </w:r>
    </w:p>
    <w:p>
      <w:pPr>
        <w:pStyle w:val="Heading1"/>
        <w:pageBreakBefore/>
        <w:spacing w:before="640"/>
      </w:pPr>
      <w:r>
        <w:t>Candidate Instructions</w:t>
      </w:r>
    </w:p>
    <w:p>
      <w:pPr>
        <w:pStyle w:val="ListBullet"/>
        <w:spacing w:after="64"/>
      </w:pPr>
      <w:r>
        <w:rPr>
          <w:rFonts w:ascii="Liberation Sans" w:hAnsi="Liberation Sans"/>
          <w:color w:val="1E2D38"/>
          <w:sz w:val="19"/>
        </w:rPr>
        <w:t>Complete all 17 items before consulting any separate answer key or rationale document.</w:t>
      </w:r>
    </w:p>
    <w:p>
      <w:pPr>
        <w:pStyle w:val="ListBullet"/>
        <w:spacing w:after="64"/>
      </w:pPr>
      <w:r>
        <w:rPr>
          <w:rFonts w:ascii="Liberation Sans" w:hAnsi="Liberation Sans"/>
          <w:color w:val="1E2D38"/>
          <w:sz w:val="19"/>
        </w:rPr>
        <w:t>Suggested first-attempt time: 23 minutes (approximately 80 seconds per item). Use one uninterrupted attempt when possible.</w:t>
      </w:r>
    </w:p>
    <w:p>
      <w:pPr>
        <w:pStyle w:val="ListBullet"/>
        <w:spacing w:after="64"/>
      </w:pPr>
      <w:r>
        <w:rPr>
          <w:rFonts w:ascii="Liberation Sans" w:hAnsi="Liberation Sans"/>
          <w:color w:val="1E2D38"/>
          <w:sz w:val="19"/>
        </w:rPr>
        <w:t>Choose one best answer for each item. Base the choice on the decision required at that moment, not on every action that might eventually be useful.</w:t>
      </w:r>
    </w:p>
    <w:p>
      <w:pPr>
        <w:pStyle w:val="ListBullet"/>
        <w:spacing w:after="64"/>
      </w:pPr>
      <w:r>
        <w:rPr>
          <w:rFonts w:ascii="Liberation Sans" w:hAnsi="Liberation Sans"/>
          <w:color w:val="1E2D38"/>
          <w:sz w:val="19"/>
        </w:rPr>
        <w:t>After each answer, record confidence from 1 (guess) to 4 (high). A correct low-confidence answer still deserves review.</w:t>
      </w:r>
    </w:p>
    <w:p>
      <w:pPr>
        <w:pStyle w:val="ListBullet"/>
        <w:spacing w:after="64"/>
      </w:pPr>
      <w:r>
        <w:rPr>
          <w:rFonts w:ascii="Liberation Sans" w:hAnsi="Liberation Sans"/>
          <w:color w:val="1E2D38"/>
          <w:sz w:val="19"/>
        </w:rPr>
        <w:t>Mark uncertain items and continue. Return to them only if time remains.</w:t>
      </w:r>
    </w:p>
    <w:p>
      <w:pPr>
        <w:pStyle w:val="ListBullet"/>
        <w:spacing w:after="64"/>
      </w:pPr>
      <w:r>
        <w:rPr>
          <w:rFonts w:ascii="Liberation Sans" w:hAnsi="Liberation Sans"/>
          <w:color w:val="1E2D38"/>
          <w:sz w:val="19"/>
        </w:rPr>
        <w:t>After scoring, use the recording and remediation pages to identify reasoning patterns and plan targeted review.</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CLINICAL AND JURISDICTIONAL CURRENCY:  </w:t>
            </w:r>
            <w:r>
              <w:rPr>
                <w:rFonts w:ascii="Liberation Sans" w:hAnsi="Liberation Sans"/>
                <w:color w:val="1E2D38"/>
                <w:sz w:val="18"/>
              </w:rPr>
              <w:t>These items teach transferable systemic clinical reasoning. Consent, confidentiality, privacy, reporting, protection, records, telepractice, and professional requirements vary by jurisdiction and can change. Verify current law, board guidance, organizational policy, and the official candidate handbook.</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EXAM SECURITY:  </w:t>
            </w:r>
            <w:r>
              <w:rPr>
                <w:rFonts w:ascii="Liberation Sans" w:hAnsi="Liberation Sans"/>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or any licensing board.</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F2F4F7"/>
            <w:tcMar>
              <w:top w:w="125" w:type="dxa"/>
              <w:start w:w="180" w:type="dxa"/>
              <w:bottom w:w="125" w:type="dxa"/>
              <w:end w:w="180" w:type="dxa"/>
            </w:tcMar>
          </w:tcPr>
          <w:p>
            <w:pPr>
              <w:spacing w:after="0" w:line="252" w:lineRule="auto"/>
            </w:pPr>
            <w:r>
              <w:rPr>
                <w:rFonts w:ascii="Liberation Sans" w:hAnsi="Liberation Sans"/>
                <w:b/>
                <w:color w:val="12385B"/>
                <w:sz w:val="18"/>
              </w:rPr>
              <w:t xml:space="preserve">USE AND OUTCOME NOTICE:  </w:t>
            </w:r>
            <w:r>
              <w:rPr>
                <w:rFonts w:ascii="Liberation Sans" w:hAnsi="Liberation Sans"/>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10 Candidate Bank</w:t>
      </w:r>
    </w:p>
    <w:p>
      <w:pPr>
        <w:spacing w:after="120"/>
      </w:pPr>
      <w:r>
        <w:rPr>
          <w:rFonts w:ascii="Liberation Sans" w:hAnsi="Liberation Sans"/>
          <w:i/>
          <w:color w:val="5A6872"/>
          <w:sz w:val="19"/>
        </w:rPr>
        <w:t>Select one best answer for each item. Do not open the controlled answer key until your first attempt is complete.</w:t>
      </w:r>
    </w:p>
    <w:p>
      <w:pPr>
        <w:keepNext/>
        <w:spacing w:before="140" w:after="80" w:line="259" w:lineRule="auto"/>
        <w:ind w:left="432" w:hanging="360"/>
      </w:pPr>
      <w:r>
        <w:rPr>
          <w:rFonts w:ascii="Liberation Sans" w:hAnsi="Liberation Sans"/>
          <w:b/>
          <w:color w:val="1E2D38"/>
          <w:sz w:val="19"/>
        </w:rPr>
        <w:t xml:space="preserve">1. </w:t>
      </w:r>
      <w:r>
        <w:rPr>
          <w:rFonts w:ascii="Liberation Sans" w:hAnsi="Liberation Sans"/>
          <w:b/>
          <w:color w:val="1E2D38"/>
          <w:sz w:val="19"/>
        </w:rPr>
        <w:t>Which plan BEST establishes whether a client system is making progress toward a treatment goal?</w:t>
      </w:r>
    </w:p>
    <w:p>
      <w:pPr>
        <w:keepNext w:val="0"/>
        <w:spacing w:after="50" w:line="252" w:lineRule="auto"/>
        <w:ind w:left="504" w:firstLine="0"/>
      </w:pPr>
      <w:r>
        <w:rPr>
          <w:rFonts w:ascii="Liberation Sans" w:hAnsi="Liberation Sans"/>
          <w:color w:val="1E2D38"/>
          <w:sz w:val="18"/>
        </w:rPr>
        <w:t>A. Define the agreed target in observable terms, record a relevant baseline, identify whose perspectives and indicators will be used, and set a timeframe and review decision.</w:t>
      </w:r>
    </w:p>
    <w:p>
      <w:pPr>
        <w:keepNext w:val="0"/>
        <w:spacing w:after="50" w:line="252" w:lineRule="auto"/>
        <w:ind w:left="504" w:firstLine="0"/>
      </w:pPr>
      <w:r>
        <w:rPr>
          <w:rFonts w:ascii="Liberation Sans" w:hAnsi="Liberation Sans"/>
          <w:color w:val="1E2D38"/>
          <w:sz w:val="18"/>
        </w:rPr>
        <w:t>B. Select one standardized score and treat any numerical decrease as proof that the treatment goal has been met.</w:t>
      </w:r>
    </w:p>
    <w:p>
      <w:pPr>
        <w:keepNext w:val="0"/>
        <w:spacing w:after="50" w:line="252" w:lineRule="auto"/>
        <w:ind w:left="504" w:firstLine="0"/>
      </w:pPr>
      <w:r>
        <w:rPr>
          <w:rFonts w:ascii="Liberation Sans" w:hAnsi="Liberation Sans"/>
          <w:color w:val="1E2D38"/>
          <w:sz w:val="18"/>
        </w:rPr>
        <w:t>C. Delay formal evaluation until the therapist believes enough sessions have occurred to justify a conclusion.</w:t>
      </w:r>
    </w:p>
    <w:p>
      <w:pPr>
        <w:keepNext w:val="0"/>
        <w:spacing w:after="100" w:line="252" w:lineRule="auto"/>
        <w:ind w:left="504" w:firstLine="0"/>
      </w:pPr>
      <w:r>
        <w:rPr>
          <w:rFonts w:ascii="Liberation Sans" w:hAnsi="Liberation Sans"/>
          <w:color w:val="1E2D38"/>
          <w:sz w:val="18"/>
        </w:rPr>
        <w:t>D. Use the therapist's impression of session quality because client and family reports may disagree.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2. </w:t>
      </w:r>
      <w:r>
        <w:rPr>
          <w:rFonts w:ascii="Liberation Sans" w:hAnsi="Liberation Sans"/>
          <w:b/>
          <w:color w:val="1E2D38"/>
          <w:sz w:val="19"/>
        </w:rPr>
        <w:t>A bilingual family wants to reduce morning conflict and improve a child's school attendance. Caregivers have limited time, the child communicates more comfortably in another language, and the school can provide attendance records. Which monitoring plan is MOST appropriate?</w:t>
      </w:r>
    </w:p>
    <w:p>
      <w:pPr>
        <w:keepNext w:val="0"/>
        <w:spacing w:after="50" w:line="252" w:lineRule="auto"/>
        <w:ind w:left="504" w:firstLine="0"/>
      </w:pPr>
      <w:r>
        <w:rPr>
          <w:rFonts w:ascii="Liberation Sans" w:hAnsi="Liberation Sans"/>
          <w:color w:val="1E2D38"/>
          <w:sz w:val="18"/>
        </w:rPr>
        <w:t>A. Administer a lengthy English-only symptom battery to every participant before each session so all data use the same format.</w:t>
      </w:r>
    </w:p>
    <w:p>
      <w:pPr>
        <w:keepNext w:val="0"/>
        <w:spacing w:after="50" w:line="252" w:lineRule="auto"/>
        <w:ind w:left="504" w:firstLine="0"/>
      </w:pPr>
      <w:r>
        <w:rPr>
          <w:rFonts w:ascii="Liberation Sans" w:hAnsi="Liberation Sans"/>
          <w:color w:val="1E2D38"/>
          <w:sz w:val="18"/>
        </w:rPr>
        <w:t>B. Collaboratively select brief, accessible indicators from the child, caregivers, and attendance record; establish baseline and review timing; and monitor burden, safety, function, alliance, and family meaning.</w:t>
      </w:r>
    </w:p>
    <w:p>
      <w:pPr>
        <w:keepNext w:val="0"/>
        <w:spacing w:after="50" w:line="252" w:lineRule="auto"/>
        <w:ind w:left="504" w:firstLine="0"/>
      </w:pPr>
      <w:r>
        <w:rPr>
          <w:rFonts w:ascii="Liberation Sans" w:hAnsi="Liberation Sans"/>
          <w:color w:val="1E2D38"/>
          <w:sz w:val="18"/>
        </w:rPr>
        <w:t>C. Use school attendance alone because an objective record makes family perspectives unnecessary.</w:t>
      </w:r>
    </w:p>
    <w:p>
      <w:pPr>
        <w:keepNext w:val="0"/>
        <w:spacing w:after="100" w:line="252" w:lineRule="auto"/>
        <w:ind w:left="504" w:firstLine="0"/>
      </w:pPr>
      <w:r>
        <w:rPr>
          <w:rFonts w:ascii="Liberation Sans" w:hAnsi="Liberation Sans"/>
          <w:color w:val="1E2D38"/>
          <w:sz w:val="18"/>
        </w:rPr>
        <w:t>D. Ask one caregiver to summarize everyone's experience so differences among participants do not complicate interpretation.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3. </w:t>
      </w:r>
      <w:r>
        <w:rPr>
          <w:rFonts w:ascii="Liberation Sans" w:hAnsi="Liberation Sans"/>
          <w:b/>
          <w:color w:val="1E2D38"/>
          <w:sz w:val="19"/>
        </w:rPr>
        <w:t>At a scheduled review, a couple's shared conflict-frequency target has improved. One partner gives the alliance measure its lowest rating and writes, “I agree in session because the therapist and my spouse outnumber me.” What should the therapist do NEXT?</w:t>
      </w:r>
    </w:p>
    <w:p>
      <w:pPr>
        <w:keepNext w:val="0"/>
        <w:spacing w:after="50" w:line="252" w:lineRule="auto"/>
        <w:ind w:left="504" w:firstLine="0"/>
      </w:pPr>
      <w:r>
        <w:rPr>
          <w:rFonts w:ascii="Liberation Sans" w:hAnsi="Liberation Sans"/>
          <w:color w:val="1E2D38"/>
          <w:sz w:val="18"/>
        </w:rPr>
        <w:t>A. Continue the current plan because the agreed behavioral target has improved.</w:t>
      </w:r>
    </w:p>
    <w:p>
      <w:pPr>
        <w:keepNext w:val="0"/>
        <w:spacing w:after="50" w:line="252" w:lineRule="auto"/>
        <w:ind w:left="504" w:firstLine="0"/>
      </w:pPr>
      <w:r>
        <w:rPr>
          <w:rFonts w:ascii="Liberation Sans" w:hAnsi="Liberation Sans"/>
          <w:color w:val="1E2D38"/>
          <w:sz w:val="18"/>
        </w:rPr>
        <w:t>B. Average both partners' alliance ratings so the couple has one interpretable result.</w:t>
      </w:r>
    </w:p>
    <w:p>
      <w:pPr>
        <w:keepNext w:val="0"/>
        <w:spacing w:after="50" w:line="252" w:lineRule="auto"/>
        <w:ind w:left="504" w:firstLine="0"/>
      </w:pPr>
      <w:r>
        <w:rPr>
          <w:rFonts w:ascii="Liberation Sans" w:hAnsi="Liberation Sans"/>
          <w:color w:val="1E2D38"/>
          <w:sz w:val="18"/>
        </w:rPr>
        <w:t>C. Explore the reported rupture, power, safety, goals, and participation; invite each partner's perspective; and collaboratively repair or revise the treatment frame before adding technique.</w:t>
      </w:r>
    </w:p>
    <w:p>
      <w:pPr>
        <w:keepNext w:val="0"/>
        <w:spacing w:after="100" w:line="252" w:lineRule="auto"/>
        <w:ind w:left="504" w:firstLine="0"/>
      </w:pPr>
      <w:r>
        <w:rPr>
          <w:rFonts w:ascii="Liberation Sans" w:hAnsi="Liberation Sans"/>
          <w:color w:val="1E2D38"/>
          <w:sz w:val="18"/>
        </w:rPr>
        <w:t>D. Discontinue alliance measurement because conflicting ratings may undermine treatment confidence.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4. </w:t>
      </w:r>
      <w:r>
        <w:rPr>
          <w:rFonts w:ascii="Liberation Sans" w:hAnsi="Liberation Sans"/>
          <w:b/>
          <w:color w:val="1E2D38"/>
          <w:sz w:val="19"/>
        </w:rPr>
        <w:t>Which sequence is MOST consistent with responsible appraisal of research for a clinical decision?</w:t>
      </w:r>
    </w:p>
    <w:p>
      <w:pPr>
        <w:keepNext w:val="0"/>
        <w:spacing w:after="50" w:line="252" w:lineRule="auto"/>
        <w:ind w:left="504" w:firstLine="0"/>
      </w:pPr>
      <w:r>
        <w:rPr>
          <w:rFonts w:ascii="Liberation Sans" w:hAnsi="Liberation Sans"/>
          <w:color w:val="1E2D38"/>
          <w:sz w:val="18"/>
        </w:rPr>
        <w:t>A. Start with the article's conclusion, select the technique it recommends, and evaluate fit only if the intervention fails.</w:t>
      </w:r>
    </w:p>
    <w:p>
      <w:pPr>
        <w:keepNext w:val="0"/>
        <w:spacing w:after="50" w:line="252" w:lineRule="auto"/>
        <w:ind w:left="504" w:firstLine="0"/>
      </w:pPr>
      <w:r>
        <w:rPr>
          <w:rFonts w:ascii="Liberation Sans" w:hAnsi="Liberation Sans"/>
          <w:color w:val="1E2D38"/>
          <w:sz w:val="18"/>
        </w:rPr>
        <w:t>B. Rank sources by study design and apply the highest-ranked source without considering sample or setting differences.</w:t>
      </w:r>
    </w:p>
    <w:p>
      <w:pPr>
        <w:keepNext w:val="0"/>
        <w:spacing w:after="50" w:line="252" w:lineRule="auto"/>
        <w:ind w:left="504" w:firstLine="0"/>
      </w:pPr>
      <w:r>
        <w:rPr>
          <w:rFonts w:ascii="Liberation Sans" w:hAnsi="Liberation Sans"/>
          <w:color w:val="1E2D38"/>
          <w:sz w:val="18"/>
        </w:rPr>
        <w:t>C. Choose the finding that matches the therapist's preferred approach, then explain its likely benefits to the client.</w:t>
      </w:r>
    </w:p>
    <w:p>
      <w:pPr>
        <w:keepNext w:val="0"/>
        <w:spacing w:after="100" w:line="252" w:lineRule="auto"/>
        <w:ind w:left="504" w:firstLine="0"/>
      </w:pPr>
      <w:r>
        <w:rPr>
          <w:rFonts w:ascii="Liberation Sans" w:hAnsi="Liberation Sans"/>
          <w:color w:val="1E2D38"/>
          <w:sz w:val="18"/>
        </w:rPr>
        <w:t>D. Frame the decision question; examine design, source, sample, comparison, measures, effects, harms, bias, and limits; then integrate applicability, expertise, client preferences, culture, and feasibility.</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5. </w:t>
      </w:r>
      <w:r>
        <w:rPr>
          <w:rFonts w:ascii="Liberation Sans" w:hAnsi="Liberation Sans"/>
          <w:b/>
          <w:color w:val="1E2D38"/>
          <w:sz w:val="19"/>
        </w:rPr>
        <w:t>A controlled study found an average benefit for a highly structured couple intervention. The current couple has caregiving demands, limited transportation, different language needs, and goals not emphasized in the study. What is the BEST use of the evidence?</w:t>
      </w:r>
    </w:p>
    <w:p>
      <w:pPr>
        <w:keepNext w:val="0"/>
        <w:spacing w:after="50" w:line="252" w:lineRule="auto"/>
        <w:ind w:left="504" w:firstLine="0"/>
      </w:pPr>
      <w:r>
        <w:rPr>
          <w:rFonts w:ascii="Liberation Sans" w:hAnsi="Liberation Sans"/>
          <w:color w:val="1E2D38"/>
          <w:sz w:val="18"/>
        </w:rPr>
        <w:t>A. Examine whether the sample, setting, outcomes, effect, harms, mechanism, culture, access demands, and alternatives fit this couple; discuss uncertainty and preferences; and monitor benefit and burden if the approach is used or adapted.</w:t>
      </w:r>
    </w:p>
    <w:p>
      <w:pPr>
        <w:keepNext w:val="0"/>
        <w:spacing w:after="50" w:line="252" w:lineRule="auto"/>
        <w:ind w:left="504" w:firstLine="0"/>
      </w:pPr>
      <w:r>
        <w:rPr>
          <w:rFonts w:ascii="Liberation Sans" w:hAnsi="Liberation Sans"/>
          <w:color w:val="1E2D38"/>
          <w:sz w:val="18"/>
        </w:rPr>
        <w:t>B. Apply the full protocol unchanged because a controlled study should override feasibility and client preference.</w:t>
      </w:r>
    </w:p>
    <w:p>
      <w:pPr>
        <w:keepNext w:val="0"/>
        <w:spacing w:after="50" w:line="252" w:lineRule="auto"/>
        <w:ind w:left="504" w:firstLine="0"/>
      </w:pPr>
      <w:r>
        <w:rPr>
          <w:rFonts w:ascii="Liberation Sans" w:hAnsi="Liberation Sans"/>
          <w:color w:val="1E2D38"/>
          <w:sz w:val="18"/>
        </w:rPr>
        <w:t>C. Reject the study completely because any difference between the research sample and the couple eliminates relevance.</w:t>
      </w:r>
    </w:p>
    <w:p>
      <w:pPr>
        <w:keepNext w:val="0"/>
        <w:spacing w:after="100" w:line="252" w:lineRule="auto"/>
        <w:ind w:left="504" w:firstLine="0"/>
      </w:pPr>
      <w:r>
        <w:rPr>
          <w:rFonts w:ascii="Liberation Sans" w:hAnsi="Liberation Sans"/>
          <w:color w:val="1E2D38"/>
          <w:sz w:val="18"/>
        </w:rPr>
        <w:t>D. Select a familiar intervention instead because clinical experience is more important than published evidence.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6. </w:t>
      </w:r>
      <w:r>
        <w:rPr>
          <w:rFonts w:ascii="Liberation Sans" w:hAnsi="Liberation Sans"/>
          <w:b/>
          <w:color w:val="1E2D38"/>
          <w:sz w:val="19"/>
        </w:rPr>
        <w:t>Which statement BEST distinguishes statistical significance from clinically meaningful change?</w:t>
      </w:r>
    </w:p>
    <w:p>
      <w:pPr>
        <w:keepNext w:val="0"/>
        <w:spacing w:after="50" w:line="252" w:lineRule="auto"/>
        <w:ind w:left="504" w:firstLine="0"/>
      </w:pPr>
      <w:r>
        <w:rPr>
          <w:rFonts w:ascii="Liberation Sans" w:hAnsi="Liberation Sans"/>
          <w:color w:val="1E2D38"/>
          <w:sz w:val="18"/>
        </w:rPr>
        <w:t>A. Statistical significance proves that every client experienced an important improvement in daily life.</w:t>
      </w:r>
    </w:p>
    <w:p>
      <w:pPr>
        <w:keepNext w:val="0"/>
        <w:spacing w:after="50" w:line="252" w:lineRule="auto"/>
        <w:ind w:left="504" w:firstLine="0"/>
      </w:pPr>
      <w:r>
        <w:rPr>
          <w:rFonts w:ascii="Liberation Sans" w:hAnsi="Liberation Sans"/>
          <w:color w:val="1E2D38"/>
          <w:sz w:val="18"/>
        </w:rPr>
        <w:t>B. Statistical significance addresses whether an observed group difference is unlikely under a specified model, while clinical meaning asks whether the magnitude matters for goals, function, safety, burden, and the client system.</w:t>
      </w:r>
    </w:p>
    <w:p>
      <w:pPr>
        <w:keepNext w:val="0"/>
        <w:spacing w:after="50" w:line="252" w:lineRule="auto"/>
        <w:ind w:left="504" w:firstLine="0"/>
      </w:pPr>
      <w:r>
        <w:rPr>
          <w:rFonts w:ascii="Liberation Sans" w:hAnsi="Liberation Sans"/>
          <w:color w:val="1E2D38"/>
          <w:sz w:val="18"/>
        </w:rPr>
        <w:t>C. Clinically meaningful change can be established from the therapist's preference even when outcomes and client reports show no benefit.</w:t>
      </w:r>
    </w:p>
    <w:p>
      <w:pPr>
        <w:keepNext w:val="0"/>
        <w:spacing w:after="100" w:line="252" w:lineRule="auto"/>
        <w:ind w:left="504" w:firstLine="0"/>
      </w:pPr>
      <w:r>
        <w:rPr>
          <w:rFonts w:ascii="Liberation Sans" w:hAnsi="Liberation Sans"/>
          <w:color w:val="1E2D38"/>
          <w:sz w:val="18"/>
        </w:rPr>
        <w:t>D. The two terms are interchangeable whenever a standardized measure is used.</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7. </w:t>
      </w:r>
      <w:r>
        <w:rPr>
          <w:rFonts w:ascii="Liberation Sans" w:hAnsi="Liberation Sans"/>
          <w:b/>
          <w:color w:val="1E2D38"/>
          <w:sz w:val="19"/>
        </w:rPr>
        <w:t>A weekly relationship measure improves for three sessions, is missing during two weeks of severe conflict, and then returns near baseline. One partner says daily functioning is unchanged; the measure has a possible ceiling effect for the other partner. What is the BEST interpretation?</w:t>
      </w:r>
    </w:p>
    <w:p>
      <w:pPr>
        <w:keepNext w:val="0"/>
        <w:spacing w:after="50" w:line="252" w:lineRule="auto"/>
        <w:ind w:left="504" w:firstLine="0"/>
      </w:pPr>
      <w:r>
        <w:rPr>
          <w:rFonts w:ascii="Liberation Sans" w:hAnsi="Liberation Sans"/>
          <w:color w:val="1E2D38"/>
          <w:sz w:val="18"/>
        </w:rPr>
        <w:t>A. The early improvement proves that treatment worked, and the later return to baseline is ordinary variation.</w:t>
      </w:r>
    </w:p>
    <w:p>
      <w:pPr>
        <w:keepNext w:val="0"/>
        <w:spacing w:after="50" w:line="252" w:lineRule="auto"/>
        <w:ind w:left="504" w:firstLine="0"/>
      </w:pPr>
      <w:r>
        <w:rPr>
          <w:rFonts w:ascii="Liberation Sans" w:hAnsi="Liberation Sans"/>
          <w:color w:val="1E2D38"/>
          <w:sz w:val="18"/>
        </w:rPr>
        <w:t>B. The missing scores should be omitted from discussion because they prevent a clean statistical trend.</w:t>
      </w:r>
    </w:p>
    <w:p>
      <w:pPr>
        <w:keepNext w:val="0"/>
        <w:spacing w:after="50" w:line="252" w:lineRule="auto"/>
        <w:ind w:left="504" w:firstLine="0"/>
      </w:pPr>
      <w:r>
        <w:rPr>
          <w:rFonts w:ascii="Liberation Sans" w:hAnsi="Liberation Sans"/>
          <w:color w:val="1E2D38"/>
          <w:sz w:val="18"/>
        </w:rPr>
        <w:t>C. The pattern is uncertain; investigate the conflict-linked missingness and measure limits, integrate function and both partners' meanings, avoid a causal claim, and gather the next planned information before deciding.</w:t>
      </w:r>
    </w:p>
    <w:p>
      <w:pPr>
        <w:keepNext w:val="0"/>
        <w:spacing w:after="100" w:line="252" w:lineRule="auto"/>
        <w:ind w:left="504" w:firstLine="0"/>
      </w:pPr>
      <w:r>
        <w:rPr>
          <w:rFonts w:ascii="Liberation Sans" w:hAnsi="Liberation Sans"/>
          <w:color w:val="1E2D38"/>
          <w:sz w:val="18"/>
        </w:rPr>
        <w:t>D. The treatment has definitively failed because a valid response must improve at every observation.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8. </w:t>
      </w:r>
      <w:r>
        <w:rPr>
          <w:rFonts w:ascii="Liberation Sans" w:hAnsi="Liberation Sans"/>
          <w:b/>
          <w:color w:val="1E2D38"/>
          <w:sz w:val="19"/>
        </w:rPr>
        <w:t>Outcome scores have modestly improved, but family members disagree about whether the change matters, one translated measure has uncertain validity for this family, and attendance was interrupted by transportation problems. Which documentation is BEST?</w:t>
      </w:r>
    </w:p>
    <w:p>
      <w:pPr>
        <w:keepNext w:val="0"/>
        <w:spacing w:after="50" w:line="252" w:lineRule="auto"/>
        <w:ind w:left="504" w:firstLine="0"/>
      </w:pPr>
      <w:r>
        <w:rPr>
          <w:rFonts w:ascii="Liberation Sans" w:hAnsi="Liberation Sans"/>
          <w:color w:val="1E2D38"/>
          <w:sz w:val="18"/>
        </w:rPr>
        <w:t>A. Record that the family improved because the numerical trend is the most objective source.</w:t>
      </w:r>
    </w:p>
    <w:p>
      <w:pPr>
        <w:keepNext w:val="0"/>
        <w:spacing w:after="50" w:line="252" w:lineRule="auto"/>
        <w:ind w:left="504" w:firstLine="0"/>
      </w:pPr>
      <w:r>
        <w:rPr>
          <w:rFonts w:ascii="Liberation Sans" w:hAnsi="Liberation Sans"/>
          <w:color w:val="1E2D38"/>
          <w:sz w:val="18"/>
        </w:rPr>
        <w:t>B. Document only the therapist's final decision so the record remains concise and avoids conflicting information.</w:t>
      </w:r>
    </w:p>
    <w:p>
      <w:pPr>
        <w:keepNext w:val="0"/>
        <w:spacing w:after="50" w:line="252" w:lineRule="auto"/>
        <w:ind w:left="504" w:firstLine="0"/>
      </w:pPr>
      <w:r>
        <w:rPr>
          <w:rFonts w:ascii="Liberation Sans" w:hAnsi="Liberation Sans"/>
          <w:color w:val="1E2D38"/>
          <w:sz w:val="18"/>
        </w:rPr>
        <w:t>C. State that no conclusion can be made and omit the scores, family reports, and access barriers from the record.</w:t>
      </w:r>
    </w:p>
    <w:p>
      <w:pPr>
        <w:keepNext w:val="0"/>
        <w:spacing w:after="100" w:line="252" w:lineRule="auto"/>
        <w:ind w:left="504" w:firstLine="0"/>
      </w:pPr>
      <w:r>
        <w:rPr>
          <w:rFonts w:ascii="Liberation Sans" w:hAnsi="Liberation Sans"/>
          <w:color w:val="1E2D38"/>
          <w:sz w:val="18"/>
        </w:rPr>
        <w:t>D. Document the indicators, timeframe, sources, discordant meanings, missingness, access context, measure limitations, safety and function findings, uncertainty, collaborative decision, rationale, and next review point.</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9. </w:t>
      </w:r>
      <w:r>
        <w:rPr>
          <w:rFonts w:ascii="Liberation Sans" w:hAnsi="Liberation Sans"/>
          <w:b/>
          <w:color w:val="1E2D38"/>
          <w:sz w:val="19"/>
        </w:rPr>
        <w:t>During an outcome review, a parent reports fewer arguments. The adolescent quietly discloses escalating self-harm, access to a large supply of medication, and doubt about being able to stay safe tonight. What should the therapist do FIRST?</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Conduct a direct current safety and stability assessment and arrange the appropriate immediate protective and level-of-care response before returning to routine outcome interpretation.</w:t>
              <w:br/>
              <w:t>B. Complete the planned family measure so the progress record remains comparable with earlier sessions.</w:t>
              <w:br/>
              <w:t>C. Ask the parent and adolescent to negotiate a communication goal before discussing emergency options.</w:t>
              <w:br/>
              <w:t>D. Terminate the therapy immediately because the adolescent may need a service outside routine outpatient care.</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10. </w:t>
      </w:r>
      <w:r>
        <w:rPr>
          <w:rFonts w:ascii="Liberation Sans" w:hAnsi="Liberation Sans"/>
          <w:b/>
          <w:color w:val="1E2D38"/>
          <w:sz w:val="19"/>
        </w:rPr>
        <w:t>A couple has completed an agreed communication intervention with good participation, but conflict and sleep disruption have worsened. One partner recently began using stimulants to work nights and now shows episodic agitation. What should the therapist do NEXT?</w:t>
      </w:r>
    </w:p>
    <w:p>
      <w:pPr>
        <w:keepNext w:val="0"/>
        <w:spacing w:after="50" w:line="252" w:lineRule="auto"/>
        <w:ind w:left="504" w:firstLine="0"/>
      </w:pPr>
      <w:r>
        <w:rPr>
          <w:rFonts w:ascii="Liberation Sans" w:hAnsi="Liberation Sans"/>
          <w:color w:val="1E2D38"/>
          <w:sz w:val="18"/>
        </w:rPr>
        <w:t>A. Add another communication technique because participation confirms that the original formulation remains correct.</w:t>
      </w:r>
    </w:p>
    <w:p>
      <w:pPr>
        <w:keepNext w:val="0"/>
        <w:spacing w:after="50" w:line="252" w:lineRule="auto"/>
        <w:ind w:left="504" w:firstLine="0"/>
      </w:pPr>
      <w:r>
        <w:rPr>
          <w:rFonts w:ascii="Liberation Sans" w:hAnsi="Liberation Sans"/>
          <w:color w:val="1E2D38"/>
          <w:sz w:val="18"/>
        </w:rPr>
        <w:t>B. Reassess safety, substance and health factors, symptoms across time, diagnosis, function, the reciprocal hypothesis, alliance, and treatment fit; coordinate or refer within consent and scope; then revise the plan for a stated reason.</w:t>
      </w:r>
    </w:p>
    <w:p>
      <w:pPr>
        <w:keepNext w:val="0"/>
        <w:spacing w:after="50" w:line="252" w:lineRule="auto"/>
        <w:ind w:left="504" w:firstLine="0"/>
      </w:pPr>
      <w:r>
        <w:rPr>
          <w:rFonts w:ascii="Liberation Sans" w:hAnsi="Liberation Sans"/>
          <w:color w:val="1E2D38"/>
          <w:sz w:val="18"/>
        </w:rPr>
        <w:t>C. Conclude that the couple is resistant because the intervention was completed without improvement.</w:t>
      </w:r>
    </w:p>
    <w:p>
      <w:pPr>
        <w:keepNext w:val="0"/>
        <w:spacing w:after="100" w:line="252" w:lineRule="auto"/>
        <w:ind w:left="504" w:firstLine="0"/>
      </w:pPr>
      <w:r>
        <w:rPr>
          <w:rFonts w:ascii="Liberation Sans" w:hAnsi="Liberation Sans"/>
          <w:color w:val="1E2D38"/>
          <w:sz w:val="18"/>
        </w:rPr>
        <w:t>D. Continue unchanged until the original intervention has been used for a predetermined number of sessions.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11. </w:t>
      </w:r>
      <w:r>
        <w:rPr>
          <w:rFonts w:ascii="Liberation Sans" w:hAnsi="Liberation Sans"/>
          <w:b/>
          <w:color w:val="1E2D38"/>
          <w:sz w:val="19"/>
        </w:rPr>
        <w:t>A family reports no meaningful change after a well-implemented first treatment phase, and no new safety concern is identified. Which action BEST reflects collaborative plan revision?</w:t>
      </w:r>
    </w:p>
    <w:p>
      <w:pPr>
        <w:keepNext w:val="0"/>
        <w:spacing w:after="50" w:line="252" w:lineRule="auto"/>
        <w:ind w:left="504" w:firstLine="0"/>
      </w:pPr>
      <w:r>
        <w:rPr>
          <w:rFonts w:ascii="Liberation Sans" w:hAnsi="Liberation Sans"/>
          <w:color w:val="1E2D38"/>
          <w:sz w:val="18"/>
        </w:rPr>
        <w:t>A. Select several new techniques before discussing the nonresponse so the family does not lose confidence.</w:t>
      </w:r>
    </w:p>
    <w:p>
      <w:pPr>
        <w:keepNext w:val="0"/>
        <w:spacing w:after="50" w:line="252" w:lineRule="auto"/>
        <w:ind w:left="504" w:firstLine="0"/>
      </w:pPr>
      <w:r>
        <w:rPr>
          <w:rFonts w:ascii="Liberation Sans" w:hAnsi="Liberation Sans"/>
          <w:color w:val="1E2D38"/>
          <w:sz w:val="18"/>
        </w:rPr>
        <w:t>B. Keep the original goal and method unchanged because changing course would make the first phase appear unsuccessful.</w:t>
      </w:r>
    </w:p>
    <w:p>
      <w:pPr>
        <w:keepNext w:val="0"/>
        <w:spacing w:after="50" w:line="252" w:lineRule="auto"/>
        <w:ind w:left="504" w:firstLine="0"/>
      </w:pPr>
      <w:r>
        <w:rPr>
          <w:rFonts w:ascii="Liberation Sans" w:hAnsi="Liberation Sans"/>
          <w:color w:val="1E2D38"/>
          <w:sz w:val="18"/>
        </w:rPr>
        <w:t>C. Review goals, evidence, alliance, access, fit, and the working hypothesis with the family; agree on a specific change in target, participants, modality, sequence, or method; and define the next response threshold.</w:t>
      </w:r>
    </w:p>
    <w:p>
      <w:pPr>
        <w:keepNext w:val="0"/>
        <w:spacing w:after="100" w:line="252" w:lineRule="auto"/>
        <w:ind w:left="504" w:firstLine="0"/>
      </w:pPr>
      <w:r>
        <w:rPr>
          <w:rFonts w:ascii="Liberation Sans" w:hAnsi="Liberation Sans"/>
          <w:color w:val="1E2D38"/>
          <w:sz w:val="18"/>
        </w:rPr>
        <w:t>D. Ask the family to choose any intervention it prefers and transfer all responsibility for the clinical rationale.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12. </w:t>
      </w:r>
      <w:r>
        <w:rPr>
          <w:rFonts w:ascii="Liberation Sans" w:hAnsi="Liberation Sans"/>
          <w:b/>
          <w:color w:val="1E2D38"/>
          <w:sz w:val="19"/>
        </w:rPr>
        <w:t>A client receiving weekly outpatient therapy has rapidly worsening disorganization, cannot reliably attend to basic needs, and requires repeated emergency contacts despite an implemented safety and support plan. Which response is MOST appropriate?</w:t>
      </w:r>
    </w:p>
    <w:p>
      <w:pPr>
        <w:keepNext w:val="0"/>
        <w:spacing w:after="50" w:line="252" w:lineRule="auto"/>
        <w:ind w:left="504" w:firstLine="0"/>
      </w:pPr>
      <w:r>
        <w:rPr>
          <w:rFonts w:ascii="Liberation Sans" w:hAnsi="Liberation Sans"/>
          <w:color w:val="1E2D38"/>
          <w:sz w:val="18"/>
        </w:rPr>
        <w:t>A. Increase homework so the client demonstrates readiness to remain in the current setting.</w:t>
      </w:r>
    </w:p>
    <w:p>
      <w:pPr>
        <w:keepNext w:val="0"/>
        <w:spacing w:after="50" w:line="252" w:lineRule="auto"/>
        <w:ind w:left="504" w:firstLine="0"/>
      </w:pPr>
      <w:r>
        <w:rPr>
          <w:rFonts w:ascii="Liberation Sans" w:hAnsi="Liberation Sans"/>
          <w:color w:val="1E2D38"/>
          <w:sz w:val="18"/>
        </w:rPr>
        <w:t>B. Maintain weekly outpatient care because changing intensity may disrupt the therapeutic alliance.</w:t>
      </w:r>
    </w:p>
    <w:p>
      <w:pPr>
        <w:keepNext w:val="0"/>
        <w:spacing w:after="50" w:line="252" w:lineRule="auto"/>
        <w:ind w:left="504" w:firstLine="0"/>
      </w:pPr>
      <w:r>
        <w:rPr>
          <w:rFonts w:ascii="Liberation Sans" w:hAnsi="Liberation Sans"/>
          <w:color w:val="1E2D38"/>
          <w:sz w:val="18"/>
        </w:rPr>
        <w:t>C. End treatment and instruct the client to locate a higher level of care independently.</w:t>
      </w:r>
    </w:p>
    <w:p>
      <w:pPr>
        <w:keepNext w:val="0"/>
        <w:spacing w:after="100" w:line="252" w:lineRule="auto"/>
        <w:ind w:left="504" w:firstLine="0"/>
      </w:pPr>
      <w:r>
        <w:rPr>
          <w:rFonts w:ascii="Liberation Sans" w:hAnsi="Liberation Sans"/>
          <w:color w:val="1E2D38"/>
          <w:sz w:val="18"/>
        </w:rPr>
        <w:t>D. Reassess acuity, function, safety, participation capacity, and alternatives; coordinate a timely step-up to the least restrictive appropriate level of care; and clarify interim roles and continuity.</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13. </w:t>
      </w:r>
      <w:r>
        <w:rPr>
          <w:rFonts w:ascii="Liberation Sans" w:hAnsi="Liberation Sans"/>
          <w:b/>
          <w:color w:val="1E2D38"/>
          <w:sz w:val="19"/>
        </w:rPr>
        <w:t>A therapist determines that a client needs specialized eating-disorder treatment beyond the therapist's competence. The client wants help connecting with a program but also wishes to limit what is shared. What is the BEST response?</w:t>
      </w:r>
    </w:p>
    <w:p>
      <w:pPr>
        <w:keepNext w:val="0"/>
        <w:spacing w:after="50" w:line="252" w:lineRule="auto"/>
        <w:ind w:left="504" w:firstLine="0"/>
      </w:pPr>
      <w:r>
        <w:rPr>
          <w:rFonts w:ascii="Liberation Sans" w:hAnsi="Liberation Sans"/>
          <w:color w:val="1E2D38"/>
          <w:sz w:val="18"/>
        </w:rPr>
        <w:t>A. Explain the competence limit and options, obtain informed permission for a defined information exchange, coordinate a warm referral, clarify any continuing MFT role, and confirm that the receiving service can respond.</w:t>
      </w:r>
    </w:p>
    <w:p>
      <w:pPr>
        <w:keepNext w:val="0"/>
        <w:spacing w:after="50" w:line="252" w:lineRule="auto"/>
        <w:ind w:left="504" w:firstLine="0"/>
      </w:pPr>
      <w:r>
        <w:rPr>
          <w:rFonts w:ascii="Liberation Sans" w:hAnsi="Liberation Sans"/>
          <w:color w:val="1E2D38"/>
          <w:sz w:val="18"/>
        </w:rPr>
        <w:t>B. Send the complete record to the nearest specialty program because clinical urgency eliminates the client's information preferences.</w:t>
      </w:r>
    </w:p>
    <w:p>
      <w:pPr>
        <w:keepNext w:val="0"/>
        <w:spacing w:after="50" w:line="252" w:lineRule="auto"/>
        <w:ind w:left="504" w:firstLine="0"/>
      </w:pPr>
      <w:r>
        <w:rPr>
          <w:rFonts w:ascii="Liberation Sans" w:hAnsi="Liberation Sans"/>
          <w:color w:val="1E2D38"/>
          <w:sz w:val="18"/>
        </w:rPr>
        <w:t>C. Continue treating the eating disorder independently until the client becomes comfortable with unrestricted disclosure.</w:t>
      </w:r>
    </w:p>
    <w:p>
      <w:pPr>
        <w:keepNext w:val="0"/>
        <w:spacing w:after="100" w:line="252" w:lineRule="auto"/>
        <w:ind w:left="504" w:firstLine="0"/>
      </w:pPr>
      <w:r>
        <w:rPr>
          <w:rFonts w:ascii="Liberation Sans" w:hAnsi="Liberation Sans"/>
          <w:color w:val="1E2D38"/>
          <w:sz w:val="18"/>
        </w:rPr>
        <w:t>D. Give the client a list of programs and close the case immediately so roles cannot overlap.</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14. </w:t>
      </w:r>
      <w:r>
        <w:rPr>
          <w:rFonts w:ascii="Liberation Sans" w:hAnsi="Liberation Sans"/>
          <w:b/>
          <w:color w:val="1E2D38"/>
          <w:sz w:val="19"/>
        </w:rPr>
        <w:t>A clinic is closing in two weeks. A client with active treatment needs agrees to transfer, but the receiving program cannot complete intake for six weeks and has not accepted clinical responsibility. What should the therapist do NEXT?</w:t>
      </w:r>
    </w:p>
    <w:p>
      <w:pPr>
        <w:keepNext w:val="0"/>
        <w:spacing w:after="50" w:line="252" w:lineRule="auto"/>
        <w:ind w:left="504" w:firstLine="0"/>
      </w:pPr>
      <w:r>
        <w:rPr>
          <w:rFonts w:ascii="Liberation Sans" w:hAnsi="Liberation Sans"/>
          <w:color w:val="1E2D38"/>
          <w:sz w:val="18"/>
        </w:rPr>
        <w:t>A. Close the case on the clinic's final day because the client agreed to the referral.</w:t>
      </w:r>
    </w:p>
    <w:p>
      <w:pPr>
        <w:keepNext w:val="0"/>
        <w:spacing w:after="50" w:line="252" w:lineRule="auto"/>
        <w:ind w:left="504" w:firstLine="0"/>
      </w:pPr>
      <w:r>
        <w:rPr>
          <w:rFonts w:ascii="Liberation Sans" w:hAnsi="Liberation Sans"/>
          <w:color w:val="1E2D38"/>
          <w:sz w:val="18"/>
        </w:rPr>
        <w:t>B. Reassess current risk and needs, clarify the gap with the client and both settings, pursue feasible alternatives, arrange reasonable interim care and crisis instructions, share only authorized necessary information, and confirm when responsibility transfers.</w:t>
      </w:r>
    </w:p>
    <w:p>
      <w:pPr>
        <w:keepNext w:val="0"/>
        <w:spacing w:after="50" w:line="252" w:lineRule="auto"/>
        <w:ind w:left="504" w:firstLine="0"/>
      </w:pPr>
      <w:r>
        <w:rPr>
          <w:rFonts w:ascii="Liberation Sans" w:hAnsi="Liberation Sans"/>
          <w:color w:val="1E2D38"/>
          <w:sz w:val="18"/>
        </w:rPr>
        <w:t>C. Promise indefinite personal availability outside the closing clinic until the new program completes intake.</w:t>
      </w:r>
    </w:p>
    <w:p>
      <w:pPr>
        <w:keepNext w:val="0"/>
        <w:spacing w:after="100" w:line="252" w:lineRule="auto"/>
        <w:ind w:left="504" w:firstLine="0"/>
      </w:pPr>
      <w:r>
        <w:rPr>
          <w:rFonts w:ascii="Liberation Sans" w:hAnsi="Liberation Sans"/>
          <w:color w:val="1E2D38"/>
          <w:sz w:val="18"/>
        </w:rPr>
        <w:t>D. Send the full chart without permission so the receiving program is required to accept the case sooner.</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15. </w:t>
      </w:r>
      <w:r>
        <w:rPr>
          <w:rFonts w:ascii="Liberation Sans" w:hAnsi="Liberation Sans"/>
          <w:b/>
          <w:color w:val="1E2D38"/>
          <w:sz w:val="19"/>
        </w:rPr>
        <w:t>After substantial improvement, a therapist believes treatment may be ready to end. One family member agrees, another reports an important goal remains only partly met, and there is no acute safety concern. What should the therapist do?</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Terminate because the therapist's judgment controls when sufficient progress has occurred.</w:t>
              <w:br/>
              <w:t>B. Continue indefinitely because any disagreement means termination criteria cannot be considered.</w:t>
              <w:br/>
              <w:t>C. Review the agreed criteria, progress evidence, each participant's meaning, remaining needs, burdens, preferences, and alternatives; then collaboratively decide whether to continue, revise, taper, transfer, or terminate.</w:t>
              <w:br/>
              <w:t>D. Use the average outcome score as the sole criterion so individual perspectives do not delay closure.</w:t>
              <w:br/>
              <w:t>Answer: ______    Confidence:  [ ] 1 Guess    [ ] 2 Low    [ ] 3 Moderate    [ ] 4 High</w:t>
            </w:r>
          </w:p>
        </w:tc>
      </w:tr>
    </w:tbl>
    <w:p>
      <w:pPr>
        <w:keepNext/>
        <w:pageBreakBefore/>
        <w:spacing w:before="720" w:after="80" w:line="259" w:lineRule="auto"/>
        <w:ind w:left="432" w:hanging="360"/>
      </w:pPr>
      <w:r>
        <w:rPr>
          <w:rFonts w:ascii="Liberation Sans" w:hAnsi="Liberation Sans"/>
          <w:b/>
          <w:color w:val="1E2D38"/>
          <w:sz w:val="19"/>
        </w:rPr>
        <w:t xml:space="preserve">16. </w:t>
      </w:r>
      <w:r>
        <w:rPr>
          <w:rFonts w:ascii="Liberation Sans" w:hAnsi="Liberation Sans"/>
          <w:b/>
          <w:color w:val="1E2D38"/>
          <w:sz w:val="19"/>
        </w:rPr>
        <w:t>A couple has met its goals and can independently interrupt a recurring escalation cycle. Which action BEST supports maintenance after termination?</w:t>
      </w:r>
    </w:p>
    <w:p>
      <w:pPr>
        <w:keepNext w:val="0"/>
        <w:spacing w:after="50" w:line="252" w:lineRule="auto"/>
        <w:ind w:left="504" w:firstLine="0"/>
      </w:pPr>
      <w:r>
        <w:rPr>
          <w:rFonts w:ascii="Liberation Sans" w:hAnsi="Liberation Sans"/>
          <w:color w:val="1E2D38"/>
          <w:sz w:val="18"/>
        </w:rPr>
        <w:t>A. Introduce a new intensive intervention so the couple does not lose momentum before ending.</w:t>
      </w:r>
    </w:p>
    <w:p>
      <w:pPr>
        <w:keepNext w:val="0"/>
        <w:spacing w:after="50" w:line="252" w:lineRule="auto"/>
        <w:ind w:left="504" w:firstLine="0"/>
      </w:pPr>
      <w:r>
        <w:rPr>
          <w:rFonts w:ascii="Liberation Sans" w:hAnsi="Liberation Sans"/>
          <w:color w:val="1E2D38"/>
          <w:sz w:val="18"/>
        </w:rPr>
        <w:t>B. Assure the couple that relapse is unlikely now that the outcome score has improved.</w:t>
      </w:r>
    </w:p>
    <w:p>
      <w:pPr>
        <w:keepNext w:val="0"/>
        <w:spacing w:after="50" w:line="252" w:lineRule="auto"/>
        <w:ind w:left="504" w:firstLine="0"/>
      </w:pPr>
      <w:r>
        <w:rPr>
          <w:rFonts w:ascii="Liberation Sans" w:hAnsi="Liberation Sans"/>
          <w:color w:val="1E2D38"/>
          <w:sz w:val="18"/>
        </w:rPr>
        <w:t>C. Require permanent monthly sessions because maintenance cannot be client directed.</w:t>
      </w:r>
    </w:p>
    <w:p>
      <w:pPr>
        <w:keepNext w:val="0"/>
        <w:spacing w:after="100" w:line="252" w:lineRule="auto"/>
        <w:ind w:left="504" w:firstLine="0"/>
      </w:pPr>
      <w:r>
        <w:rPr>
          <w:rFonts w:ascii="Liberation Sans" w:hAnsi="Liberation Sans"/>
          <w:color w:val="1E2D38"/>
          <w:sz w:val="18"/>
        </w:rPr>
        <w:t>D. Review gains and remaining vulnerabilities, identify early warning signs and specific responses, strengthen client-owned supports, and agree on proportionate follow-up and re-entry options.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17. </w:t>
      </w:r>
      <w:r>
        <w:rPr>
          <w:rFonts w:ascii="Liberation Sans" w:hAnsi="Liberation Sans"/>
          <w:b/>
          <w:color w:val="1E2D38"/>
          <w:sz w:val="19"/>
        </w:rPr>
        <w:t>Under agency policy, three missed appointments trigger administrative closure. A client with ongoing needs misses three sessions after a work-schedule change and leaves a message asking whether treatment can continue. What should the therapist do NEXT?</w:t>
      </w:r>
    </w:p>
    <w:p>
      <w:pPr>
        <w:keepNext w:val="0"/>
        <w:spacing w:after="50" w:line="252" w:lineRule="auto"/>
        <w:ind w:left="504" w:firstLine="0"/>
      </w:pPr>
      <w:r>
        <w:rPr>
          <w:rFonts w:ascii="Liberation Sans" w:hAnsi="Liberation Sans"/>
          <w:color w:val="1E2D38"/>
          <w:sz w:val="18"/>
        </w:rPr>
        <w:t>A. Respond proportionately, assess current needs and any safety concerns, clarify the client's wishes and access barrier, explain policy and feasible options, arrange continuation or a consented transition when possible, and document outreach and disposition.</w:t>
      </w:r>
    </w:p>
    <w:p>
      <w:pPr>
        <w:keepNext w:val="0"/>
        <w:spacing w:after="50" w:line="252" w:lineRule="auto"/>
        <w:ind w:left="504" w:firstLine="0"/>
      </w:pPr>
      <w:r>
        <w:rPr>
          <w:rFonts w:ascii="Liberation Sans" w:hAnsi="Liberation Sans"/>
          <w:color w:val="1E2D38"/>
          <w:sz w:val="18"/>
        </w:rPr>
        <w:t>B. Close the record automatically because attendance policy replaces the need for a clinical termination process.</w:t>
      </w:r>
    </w:p>
    <w:p>
      <w:pPr>
        <w:keepNext w:val="0"/>
        <w:spacing w:after="50" w:line="252" w:lineRule="auto"/>
        <w:ind w:left="504" w:firstLine="0"/>
      </w:pPr>
      <w:r>
        <w:rPr>
          <w:rFonts w:ascii="Liberation Sans" w:hAnsi="Liberation Sans"/>
          <w:color w:val="1E2D38"/>
          <w:sz w:val="18"/>
        </w:rPr>
        <w:t>C. Require the client to restart the entire intake process before the therapist discusses current risk or continuity.</w:t>
      </w:r>
    </w:p>
    <w:p>
      <w:pPr>
        <w:keepNext w:val="0"/>
        <w:spacing w:after="100" w:line="252" w:lineRule="auto"/>
        <w:ind w:left="504" w:firstLine="0"/>
      </w:pPr>
      <w:r>
        <w:rPr>
          <w:rFonts w:ascii="Liberation Sans" w:hAnsi="Liberation Sans"/>
          <w:color w:val="1E2D38"/>
          <w:sz w:val="18"/>
        </w:rPr>
        <w:t>D. Send an unrequested full record to another agency so the therapist can document that a transfer was attempted.</w:t>
      </w:r>
      <w:r>
        <w:br/>
      </w:r>
      <w:r>
        <w:rPr>
          <w:rFonts w:ascii="Liberation Sans" w:hAnsi="Liberation Sans"/>
          <w:color w:val="5A6872"/>
          <w:sz w:val="17"/>
        </w:rPr>
        <w:t>Answer: ______    Confidence:  [ ] 1 Guess    [ ] 2 Low    [ ] 3 Moderate    [ ] 4 High</w:t>
      </w:r>
    </w:p>
    <w:p>
      <w:pPr>
        <w:pStyle w:val="Heading1"/>
        <w:pageBreakBefore/>
        <w:spacing w:before="640"/>
      </w:pPr>
      <w:r>
        <w:t>Score Recording and Remediation</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RELEASE CONTROL:  </w:t>
            </w:r>
            <w:r>
              <w:rPr>
                <w:rFonts w:ascii="Liberation Sans" w:hAnsi="Liberation Sans"/>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jc w:val="center"/>
        <w:tblLayout w:type="fixed"/>
        <w:tblLook w:firstColumn="1" w:firstRow="1" w:lastColumn="0" w:lastRow="0" w:noHBand="0" w:noVBand="1" w:val="04A0"/>
        <w:tblInd w:w="0" w:type="dxa"/>
      </w:tblPr>
      <w:tblGrid>
        <w:gridCol w:w="2100"/>
        <w:gridCol w:w="3180"/>
        <w:gridCol w:w="2100"/>
        <w:gridCol w:w="3180"/>
      </w:tblGrid>
      <w:tr>
        <w:trPr>
          <w:tblHeader w:val="true"/>
          <w:cantSplit/>
        </w:trPr>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Percentage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 %</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Time used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 minutes</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Within 23 min?</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 ] Yes  [ ] No</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High-confidence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Low-confidence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Incorrect</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Unanswered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date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score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r>
    </w:tbl>
    <w:p>
      <w:pPr>
        <w:spacing w:after="40"/>
      </w:pPr>
    </w:p>
    <w:p>
      <w:pPr>
        <w:pStyle w:val="Heading2"/>
      </w:pPr>
      <w:r>
        <w:t>Item Review Log</w:t>
      </w:r>
    </w:p>
    <w:tbl>
      <w:tblPr>
        <w:tblW w:type="dxa" w:w="10560"/>
        <w:jc w:val="center"/>
        <w:tblLayout w:type="fixed"/>
        <w:tblLook w:firstColumn="1" w:firstRow="1" w:lastColumn="0" w:lastRow="0" w:noHBand="0" w:noVBand="1" w:val="04A0"/>
        <w:tblInd w:w="0" w:type="dxa"/>
      </w:tblPr>
      <w:tblGrid>
        <w:gridCol w:w="700"/>
        <w:gridCol w:w="1250"/>
        <w:gridCol w:w="1500"/>
        <w:gridCol w:w="2700"/>
        <w:gridCol w:w="4410"/>
      </w:tblGrid>
      <w:tr>
        <w:trPr>
          <w:tblHeader w:val="true"/>
          <w:cantSplit/>
        </w:trPr>
        <w:tc>
          <w:tcPr>
            <w:tcW w:type="dxa" w:w="700"/>
            <w:shd w:fill="12385B"/>
            <w:tcMar>
              <w:top w:w="90" w:type="dxa"/>
              <w:start w:w="120" w:type="dxa"/>
              <w:bottom w:w="90" w:type="dxa"/>
              <w:end w:w="120" w:type="dxa"/>
            </w:tcMar>
            <w:vAlign w:val="center"/>
          </w:tcPr>
          <w:p>
            <w:pPr>
              <w:spacing w:after="0"/>
            </w:pPr>
            <w:r/>
            <w:r>
              <w:rPr>
                <w:rFonts w:ascii="Liberation Sans" w:hAnsi="Liberation Sans"/>
                <w:b/>
                <w:color w:val="FFFFFF"/>
                <w:sz w:val="16"/>
              </w:rPr>
              <w:t>Item</w:t>
            </w:r>
          </w:p>
        </w:tc>
        <w:tc>
          <w:tcPr>
            <w:tcW w:type="dxa" w:w="1250"/>
            <w:shd w:fill="12385B"/>
            <w:tcMar>
              <w:top w:w="90" w:type="dxa"/>
              <w:start w:w="120" w:type="dxa"/>
              <w:bottom w:w="90" w:type="dxa"/>
              <w:end w:w="120" w:type="dxa"/>
            </w:tcMar>
            <w:vAlign w:val="center"/>
          </w:tcPr>
          <w:p>
            <w:pPr>
              <w:spacing w:after="0"/>
            </w:pPr>
            <w:r/>
            <w:r>
              <w:rPr>
                <w:rFonts w:ascii="Liberation Sans" w:hAnsi="Liberation Sans"/>
                <w:b/>
                <w:color w:val="FFFFFF"/>
                <w:sz w:val="16"/>
              </w:rPr>
              <w:t>Result</w:t>
            </w:r>
          </w:p>
        </w:tc>
        <w:tc>
          <w:tcPr>
            <w:tcW w:type="dxa" w:w="1500"/>
            <w:shd w:fill="12385B"/>
            <w:tcMar>
              <w:top w:w="90" w:type="dxa"/>
              <w:start w:w="120" w:type="dxa"/>
              <w:bottom w:w="90" w:type="dxa"/>
              <w:end w:w="120" w:type="dxa"/>
            </w:tcMar>
            <w:vAlign w:val="center"/>
          </w:tcPr>
          <w:p>
            <w:pPr>
              <w:spacing w:after="0"/>
            </w:pPr>
            <w:r/>
            <w:r>
              <w:rPr>
                <w:rFonts w:ascii="Liberation Sans" w:hAnsi="Liberation Sans"/>
                <w:b/>
                <w:color w:val="FFFFFF"/>
                <w:sz w:val="16"/>
              </w:rPr>
              <w:t>Confidence</w:t>
            </w:r>
          </w:p>
        </w:tc>
        <w:tc>
          <w:tcPr>
            <w:tcW w:type="dxa" w:w="2700"/>
            <w:shd w:fill="12385B"/>
            <w:tcMar>
              <w:top w:w="90" w:type="dxa"/>
              <w:start w:w="120" w:type="dxa"/>
              <w:bottom w:w="90" w:type="dxa"/>
              <w:end w:w="120" w:type="dxa"/>
            </w:tcMar>
            <w:vAlign w:val="center"/>
          </w:tcPr>
          <w:p>
            <w:pPr>
              <w:spacing w:after="0"/>
            </w:pPr>
            <w:r/>
            <w:r>
              <w:rPr>
                <w:rFonts w:ascii="Liberation Sans" w:hAnsi="Liberation Sans"/>
                <w:b/>
                <w:color w:val="FFFFFF"/>
                <w:sz w:val="16"/>
              </w:rPr>
              <w:t>Reasoning pattern</w:t>
            </w:r>
          </w:p>
        </w:tc>
        <w:tc>
          <w:tcPr>
            <w:tcW w:type="dxa" w:w="4410"/>
            <w:shd w:fill="12385B"/>
            <w:tcMar>
              <w:top w:w="90" w:type="dxa"/>
              <w:start w:w="120" w:type="dxa"/>
              <w:bottom w:w="90" w:type="dxa"/>
              <w:end w:w="120" w:type="dxa"/>
            </w:tcMar>
            <w:vAlign w:val="center"/>
          </w:tcPr>
          <w:p>
            <w:pPr>
              <w:spacing w:after="0"/>
            </w:pPr>
            <w:r/>
            <w:r>
              <w:rPr>
                <w:rFonts w:ascii="Liberation Sans" w:hAnsi="Liberation Sans"/>
                <w:b/>
                <w:color w:val="FFFFFF"/>
                <w:sz w:val="16"/>
              </w:rPr>
              <w:t>Transfer rule / next action</w:t>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8</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9</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10</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bl>
    <w:p>
      <w:pPr>
        <w:spacing w:after="40"/>
      </w:pPr>
    </w:p>
    <w:p>
      <w:pPr>
        <w:pStyle w:val="Heading2"/>
        <w:pageBreakBefore/>
        <w:spacing w:before="640"/>
      </w:pPr>
      <w:r>
        <w:t>Remediation and Readiness Plan</w:t>
      </w:r>
    </w:p>
    <w:p>
      <w:pPr>
        <w:spacing w:after="40"/>
      </w:pPr>
      <w:r>
        <w:rPr>
          <w:rFonts w:ascii="Liberation Sans" w:hAnsi="Liberation Sans"/>
          <w:b/>
          <w:color w:val="12385B"/>
          <w:sz w:val="18"/>
        </w:rPr>
        <w:t>Items missed or answered with confidence 1-2:</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Most frequent reasoning error:</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Workbook chapter or CTA tool to review:</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Specific repair rule I will apply:</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Practice action before retake:</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Evidence I am ready to retake:</w:t>
      </w:r>
    </w:p>
    <w:p>
      <w:pPr>
        <w:spacing w:after="120"/>
      </w:pPr>
      <w:r>
        <w:rPr>
          <w:rFonts w:ascii="Liberation Sans" w:hAnsi="Liberation Sans"/>
          <w:color w:val="5A6872"/>
          <w:sz w:val="18"/>
        </w:rPr>
        <w:t>______________________________________________________________________________________</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READINESS GATE:  </w:t>
            </w:r>
            <w:r>
              <w:rPr>
                <w:rFonts w:ascii="Liberation Sans" w:hAnsi="Liberation Sans"/>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jc w:val="center"/>
      </w:pPr>
      <w:r>
        <w:rPr>
          <w:rFonts w:ascii="Liberation Sans" w:hAnsi="Liberation Sans"/>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10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10 17-Question Candidate Bank</dc:title>
  <dc:subject>Original one-best-answer exam-preparation items; no CE credit</dc:subject>
  <dc:creator>Clinical Training and Supervision Academy</dc:creator>
  <cp:keywords>LMFT, AMFTRB, exam preparation, progress evaluation, research literacy, measurement-based care, plan revision, termination, continuity</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