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4297680" cy="2956076"/>
            <wp:docPr id="1" name="Picture 1" descr="Clinical Training and Supervision Academy horizontal logo"/>
            <wp:cNvGraphicFramePr>
              <a:graphicFrameLocks noChangeAspect="1"/>
            </wp:cNvGraphicFramePr>
            <a:graphic>
              <a:graphicData uri="http://schemas.openxmlformats.org/drawingml/2006/picture">
                <pic:pic>
                  <pic:nvPicPr>
                    <pic:cNvPr id="0" name="10-Primary-Horizontal-Logo.png"/>
                    <pic:cNvPicPr/>
                  </pic:nvPicPr>
                  <pic:blipFill>
                    <a:blip r:embed="rId12"/>
                    <a:stretch>
                      <a:fillRect/>
                    </a:stretch>
                  </pic:blipFill>
                  <pic:spPr>
                    <a:xfrm>
                      <a:off x="0" y="0"/>
                      <a:ext cx="4297680" cy="2956076"/>
                    </a:xfrm>
                    <a:prstGeom prst="rect"/>
                  </pic:spPr>
                </pic:pic>
              </a:graphicData>
            </a:graphic>
          </wp:inline>
        </w:drawing>
      </w:r>
    </w:p>
    <w:p>
      <w:pPr>
        <w:spacing w:before="280" w:after="40"/>
        <w:jc w:val="center"/>
      </w:pPr>
      <w:r>
        <w:rPr>
          <w:rFonts w:ascii="Liberation Sans" w:hAnsi="Liberation Sans"/>
          <w:b/>
          <w:color w:val="12385B"/>
          <w:sz w:val="36"/>
        </w:rPr>
        <w:t>CTA LMFT AMFTRB</w:t>
      </w:r>
    </w:p>
    <w:p>
      <w:pPr>
        <w:spacing w:after="240"/>
        <w:jc w:val="center"/>
      </w:pPr>
      <w:r>
        <w:rPr>
          <w:rFonts w:ascii="Liberation Sans" w:hAnsi="Liberation Sans"/>
          <w:b/>
          <w:color w:val="13A6A6"/>
          <w:sz w:val="22"/>
        </w:rPr>
        <w:t>NATIONAL EXAM PREPARATION PROGRAM</w:t>
      </w:r>
    </w:p>
    <w:p>
      <w:pPr>
        <w:pStyle w:val="Title"/>
        <w:jc w:val="center"/>
      </w:pPr>
      <w:r>
        <w:t>17-Question Candidate Bank</w:t>
      </w:r>
    </w:p>
    <w:p>
      <w:pPr>
        <w:pStyle w:val="Subtitle"/>
        <w:jc w:val="center"/>
      </w:pPr>
      <w:r>
        <w:t>CTA LMFT AMFTRB Workbook 11</w:t>
      </w:r>
    </w:p>
    <w:p>
      <w:pPr>
        <w:spacing w:after="160"/>
        <w:jc w:val="center"/>
      </w:pPr>
      <w:r>
        <w:rPr>
          <w:rFonts w:ascii="Liberation Sans" w:hAnsi="Liberation Sans"/>
          <w:b/>
          <w:color w:val="12385B"/>
          <w:sz w:val="28"/>
        </w:rPr>
        <w:t>Diversity, Social Justice, Community Systems, Groups,</w:t>
        <w:br/>
        <w:t>Referral, Collaboration, and Supervision</w:t>
      </w:r>
    </w:p>
    <w:p>
      <w:pPr>
        <w:spacing w:after="160"/>
        <w:jc w:val="center"/>
      </w:pPr>
      <w:r>
        <w:rPr>
          <w:rFonts w:ascii="Liberation Sans" w:hAnsi="Liberation Sans"/>
          <w:i/>
          <w:color w:val="5A6872"/>
          <w:sz w:val="21"/>
        </w:rPr>
        <w:t>Original one-best-answer practice items for a timed first attempt</w:t>
      </w:r>
    </w:p>
    <w:p>
      <w:pPr>
        <w:jc w:val="center"/>
      </w:pPr>
      <w:r>
        <w:rPr>
          <w:rFonts w:ascii="Liberation Sans" w:hAnsi="Liberation Sans"/>
          <w:color w:val="5A6872"/>
          <w:sz w:val="19"/>
        </w:rPr>
        <w:t>Version 1.0 - August 2026</w:t>
      </w:r>
    </w:p>
    <w:p>
      <w:pPr>
        <w:jc w:val="center"/>
      </w:pPr>
      <w:r>
        <w:rPr>
          <w:rFonts w:ascii="Liberation Sans" w:hAnsi="Liberation Sans"/>
          <w:b/>
          <w:color w:val="12385B"/>
          <w:sz w:val="20"/>
        </w:rPr>
        <w:t>Clinical Training &amp; Supervision Academy</w:t>
      </w:r>
    </w:p>
    <w:p>
      <w:pPr>
        <w:pStyle w:val="Heading1"/>
        <w:pageBreakBefore/>
        <w:spacing w:before="640"/>
      </w:pPr>
      <w:r>
        <w:t>Candidate Instructions</w:t>
      </w:r>
    </w:p>
    <w:p>
      <w:pPr>
        <w:pStyle w:val="ListBullet"/>
        <w:spacing w:after="64"/>
      </w:pPr>
      <w:r>
        <w:rPr>
          <w:rFonts w:ascii="Liberation Sans" w:hAnsi="Liberation Sans"/>
          <w:color w:val="1E2D38"/>
          <w:sz w:val="19"/>
        </w:rPr>
        <w:t>Complete all 17 items before consulting any separate answer key or rationale document.</w:t>
      </w:r>
    </w:p>
    <w:p>
      <w:pPr>
        <w:pStyle w:val="ListBullet"/>
        <w:spacing w:after="64"/>
      </w:pPr>
      <w:r>
        <w:rPr>
          <w:rFonts w:ascii="Liberation Sans" w:hAnsi="Liberation Sans"/>
          <w:color w:val="1E2D38"/>
          <w:sz w:val="19"/>
        </w:rPr>
        <w:t>Suggested first-attempt time: 23 minutes (approximately 80 seconds per item). Use one uninterrupted attempt when possible.</w:t>
      </w:r>
    </w:p>
    <w:p>
      <w:pPr>
        <w:pStyle w:val="ListBullet"/>
        <w:spacing w:after="64"/>
      </w:pPr>
      <w:r>
        <w:rPr>
          <w:rFonts w:ascii="Liberation Sans" w:hAnsi="Liberation Sans"/>
          <w:color w:val="1E2D38"/>
          <w:sz w:val="19"/>
        </w:rPr>
        <w:t>Choose one best answer for each item. Base the choice on the decision required at that moment, not on every action that might eventually be useful.</w:t>
      </w:r>
    </w:p>
    <w:p>
      <w:pPr>
        <w:pStyle w:val="ListBullet"/>
        <w:spacing w:after="64"/>
      </w:pPr>
      <w:r>
        <w:rPr>
          <w:rFonts w:ascii="Liberation Sans" w:hAnsi="Liberation Sans"/>
          <w:color w:val="1E2D38"/>
          <w:sz w:val="19"/>
        </w:rPr>
        <w:t>After each answer, record confidence from 1 (guess) to 4 (high). A correct low-confidence answer still deserves review.</w:t>
      </w:r>
    </w:p>
    <w:p>
      <w:pPr>
        <w:pStyle w:val="ListBullet"/>
        <w:spacing w:after="64"/>
      </w:pPr>
      <w:r>
        <w:rPr>
          <w:rFonts w:ascii="Liberation Sans" w:hAnsi="Liberation Sans"/>
          <w:color w:val="1E2D38"/>
          <w:sz w:val="19"/>
        </w:rPr>
        <w:t>Mark uncertain items and continue. Return to them only if time remains.</w:t>
      </w:r>
    </w:p>
    <w:p>
      <w:pPr>
        <w:pStyle w:val="ListBullet"/>
        <w:spacing w:after="64"/>
      </w:pPr>
      <w:r>
        <w:rPr>
          <w:rFonts w:ascii="Liberation Sans" w:hAnsi="Liberation Sans"/>
          <w:color w:val="1E2D38"/>
          <w:sz w:val="19"/>
        </w:rPr>
        <w:t>After scoring, use the recording and remediation pages to identify reasoning patterns and plan targeted review.</w:t>
      </w:r>
    </w:p>
    <w:tbl>
      <w:tblPr>
        <w:tblW w:type="dxa" w:w="10560"/>
        <w:jc w:val="center"/>
        <w:tblLayout w:type="fixed"/>
        <w:tblLook w:firstColumn="1" w:firstRow="1" w:lastColumn="0" w:lastRow="0" w:noHBand="0" w:noVBand="1" w:val="04A0"/>
        <w:tblInd w:w="0" w:type="dxa"/>
      </w:tblPr>
      <w:tblGrid>
        <w:gridCol w:w="10560"/>
      </w:tblGrid>
      <w:tr>
        <w:trPr>
          <w:tblHeader w:val="true"/>
          <w:cantSplit/>
        </w:trPr>
        <w:tc>
          <w:tcPr>
            <w:tcW w:type="dxa" w:w="10560"/>
            <w:shd w:fill="EAF1F7"/>
            <w:tcMar>
              <w:top w:w="125" w:type="dxa"/>
              <w:start w:w="180" w:type="dxa"/>
              <w:bottom w:w="125" w:type="dxa"/>
              <w:end w:w="180" w:type="dxa"/>
            </w:tcMar>
          </w:tcPr>
          <w:p>
            <w:pPr>
              <w:spacing w:after="0" w:line="252" w:lineRule="auto"/>
            </w:pPr>
            <w:r>
              <w:rPr>
                <w:rFonts w:ascii="Liberation Sans" w:hAnsi="Liberation Sans"/>
                <w:b/>
                <w:color w:val="12385B"/>
                <w:sz w:val="18"/>
              </w:rPr>
              <w:t xml:space="preserve">CLINICAL AND JURISDICTIONAL CURRENCY:  </w:t>
            </w:r>
            <w:r>
              <w:rPr>
                <w:rFonts w:ascii="Liberation Sans" w:hAnsi="Liberation Sans"/>
                <w:color w:val="1E2D38"/>
                <w:sz w:val="18"/>
              </w:rPr>
              <w:t>These items teach transferable systemic clinical reasoning. Consent, confidentiality, privacy, reporting, protection, records, telepractice, and professional requirements vary by jurisdiction and can change. Verify current law, board guidance, organizational policy, and the official candidate handbook.</w:t>
            </w:r>
          </w:p>
        </w:tc>
      </w:tr>
    </w:tbl>
    <w:p>
      <w:pPr>
        <w:spacing w:after="40"/>
      </w:pPr>
    </w:p>
    <w:tbl>
      <w:tblPr>
        <w:tblW w:type="dxa" w:w="10560"/>
        <w:jc w:val="center"/>
        <w:tblLayout w:type="fixed"/>
        <w:tblLook w:firstColumn="1" w:firstRow="1" w:lastColumn="0" w:lastRow="0" w:noHBand="0" w:noVBand="1" w:val="04A0"/>
        <w:tblInd w:w="0" w:type="dxa"/>
      </w:tblPr>
      <w:tblGrid>
        <w:gridCol w:w="10560"/>
      </w:tblGrid>
      <w:tr>
        <w:trPr>
          <w:tblHeader w:val="true"/>
          <w:cantSplit/>
        </w:trPr>
        <w:tc>
          <w:tcPr>
            <w:tcW w:type="dxa" w:w="10560"/>
            <w:shd w:fill="E7F4F4"/>
            <w:tcMar>
              <w:top w:w="125" w:type="dxa"/>
              <w:start w:w="180" w:type="dxa"/>
              <w:bottom w:w="125" w:type="dxa"/>
              <w:end w:w="180" w:type="dxa"/>
            </w:tcMar>
          </w:tcPr>
          <w:p>
            <w:pPr>
              <w:spacing w:after="0" w:line="252" w:lineRule="auto"/>
            </w:pPr>
            <w:r>
              <w:rPr>
                <w:rFonts w:ascii="Liberation Sans" w:hAnsi="Liberation Sans"/>
                <w:b/>
                <w:color w:val="12385B"/>
                <w:sz w:val="18"/>
              </w:rPr>
              <w:t xml:space="preserve">EXAM SECURITY:  </w:t>
            </w:r>
            <w:r>
              <w:rPr>
                <w:rFonts w:ascii="Liberation Sans" w:hAnsi="Liberation Sans"/>
                <w:color w:val="1E2D38"/>
                <w:sz w:val="18"/>
              </w:rPr>
              <w:t>All questions in this bank are original CTA practice items. They are not live, recalled, leaked, retired, proprietary, or memorized AMFTRB examination content. CTA is an independent educational resource and is not affiliated with or endorsed by AMFTRB, PTC, Prometric, AAMFT, or any licensing board.</w:t>
            </w:r>
          </w:p>
        </w:tc>
      </w:tr>
    </w:tbl>
    <w:p>
      <w:pPr>
        <w:spacing w:after="40"/>
      </w:pPr>
    </w:p>
    <w:tbl>
      <w:tblPr>
        <w:tblW w:type="dxa" w:w="10560"/>
        <w:jc w:val="center"/>
        <w:tblLayout w:type="fixed"/>
        <w:tblLook w:firstColumn="1" w:firstRow="1" w:lastColumn="0" w:lastRow="0" w:noHBand="0" w:noVBand="1" w:val="04A0"/>
        <w:tblInd w:w="0" w:type="dxa"/>
      </w:tblPr>
      <w:tblGrid>
        <w:gridCol w:w="10560"/>
      </w:tblGrid>
      <w:tr>
        <w:trPr>
          <w:tblHeader w:val="true"/>
          <w:cantSplit/>
        </w:trPr>
        <w:tc>
          <w:tcPr>
            <w:tcW w:type="dxa" w:w="10560"/>
            <w:shd w:fill="F2F4F7"/>
            <w:tcMar>
              <w:top w:w="125" w:type="dxa"/>
              <w:start w:w="180" w:type="dxa"/>
              <w:bottom w:w="125" w:type="dxa"/>
              <w:end w:w="180" w:type="dxa"/>
            </w:tcMar>
          </w:tcPr>
          <w:p>
            <w:pPr>
              <w:spacing w:after="0" w:line="252" w:lineRule="auto"/>
            </w:pPr>
            <w:r>
              <w:rPr>
                <w:rFonts w:ascii="Liberation Sans" w:hAnsi="Liberation Sans"/>
                <w:b/>
                <w:color w:val="12385B"/>
                <w:sz w:val="18"/>
              </w:rPr>
              <w:t xml:space="preserve">USE AND OUTCOME NOTICE:  </w:t>
            </w:r>
            <w:r>
              <w:rPr>
                <w:rFonts w:ascii="Liberation Sans" w:hAnsi="Liberation Sans"/>
                <w:color w:val="1E2D38"/>
                <w:sz w:val="18"/>
              </w:rPr>
              <w:t>This file is for the enrolled learner's personal exam preparation. Participation does not guarantee examination passage. This program provides no continuing education (CE) credit.</w:t>
            </w:r>
          </w:p>
        </w:tc>
      </w:tr>
    </w:tbl>
    <w:p>
      <w:pPr>
        <w:spacing w:after="40"/>
      </w:pPr>
    </w:p>
    <w:p>
      <w:pPr>
        <w:pStyle w:val="Heading1"/>
        <w:pageBreakBefore/>
        <w:spacing w:before="640"/>
      </w:pPr>
      <w:r>
        <w:t>Workbook 11 Candidate Bank</w:t>
      </w:r>
    </w:p>
    <w:p>
      <w:pPr>
        <w:spacing w:after="120"/>
      </w:pPr>
      <w:r>
        <w:rPr>
          <w:rFonts w:ascii="Liberation Sans" w:hAnsi="Liberation Sans"/>
          <w:i/>
          <w:color w:val="5A6872"/>
          <w:sz w:val="19"/>
        </w:rPr>
        <w:t>Select one best answer for each item. Do not open the controlled answer key until your first attempt is complete.</w:t>
      </w:r>
    </w:p>
    <w:p>
      <w:pPr>
        <w:keepNext/>
        <w:spacing w:before="140" w:after="80" w:line="259" w:lineRule="auto"/>
        <w:ind w:left="432" w:hanging="360"/>
      </w:pPr>
      <w:r>
        <w:rPr>
          <w:rFonts w:ascii="Liberation Sans" w:hAnsi="Liberation Sans"/>
          <w:b/>
          <w:color w:val="1E2D38"/>
          <w:sz w:val="19"/>
        </w:rPr>
        <w:t xml:space="preserve">1. </w:t>
      </w:r>
      <w:r>
        <w:rPr>
          <w:rFonts w:ascii="Liberation Sans" w:hAnsi="Liberation Sans"/>
          <w:b/>
          <w:color w:val="1E2D38"/>
          <w:sz w:val="19"/>
        </w:rPr>
        <w:t>Which practice BEST reflects cultural humility when identity or culture may shape a clinical decision?</w:t>
      </w:r>
    </w:p>
    <w:p>
      <w:pPr>
        <w:keepNext w:val="0"/>
        <w:spacing w:after="50" w:line="252" w:lineRule="auto"/>
        <w:ind w:left="504" w:firstLine="0"/>
      </w:pPr>
      <w:r>
        <w:rPr>
          <w:rFonts w:ascii="Liberation Sans" w:hAnsi="Liberation Sans"/>
          <w:color w:val="1E2D38"/>
          <w:sz w:val="18"/>
        </w:rPr>
        <w:t>A. Continually examine the therapist's assumptions and position, invite the client system's own meanings and strengths, test hypotheses collaboratively, and seek feedback about impact.</w:t>
      </w:r>
    </w:p>
    <w:p>
      <w:pPr>
        <w:keepNext w:val="0"/>
        <w:spacing w:after="50" w:line="252" w:lineRule="auto"/>
        <w:ind w:left="504" w:firstLine="0"/>
      </w:pPr>
      <w:r>
        <w:rPr>
          <w:rFonts w:ascii="Liberation Sans" w:hAnsi="Liberation Sans"/>
          <w:color w:val="1E2D38"/>
          <w:sz w:val="18"/>
        </w:rPr>
        <w:t>B. Learn the most common beliefs associated with each cultural group and use them to predict treatment preferences efficiently.</w:t>
      </w:r>
    </w:p>
    <w:p>
      <w:pPr>
        <w:keepNext w:val="0"/>
        <w:spacing w:after="50" w:line="252" w:lineRule="auto"/>
        <w:ind w:left="504" w:firstLine="0"/>
      </w:pPr>
      <w:r>
        <w:rPr>
          <w:rFonts w:ascii="Liberation Sans" w:hAnsi="Liberation Sans"/>
          <w:color w:val="1E2D38"/>
          <w:sz w:val="18"/>
        </w:rPr>
        <w:t>C. Avoid asking about identity unless clients introduce it, because uniform treatment is the most neutral approach.</w:t>
      </w:r>
    </w:p>
    <w:p>
      <w:pPr>
        <w:keepNext w:val="0"/>
        <w:spacing w:after="100" w:line="252" w:lineRule="auto"/>
        <w:ind w:left="504" w:firstLine="0"/>
      </w:pPr>
      <w:r>
        <w:rPr>
          <w:rFonts w:ascii="Liberation Sans" w:hAnsi="Liberation Sans"/>
          <w:color w:val="1E2D38"/>
          <w:sz w:val="18"/>
        </w:rPr>
        <w:t>D. Assume that matching the therapist and client on one identity removes the need to examine power or individual meaning.</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2. </w:t>
      </w:r>
      <w:r>
        <w:rPr>
          <w:rFonts w:ascii="Liberation Sans" w:hAnsi="Liberation Sans"/>
          <w:b/>
          <w:color w:val="1E2D38"/>
          <w:sz w:val="19"/>
        </w:rPr>
        <w:t>A court-referred parent gives brief answers and agrees with every recommendation. The therapist interprets the parent's silence as cultural deference and documents strong treatment buy-in. What should the therapist do NEXT?</w:t>
      </w:r>
    </w:p>
    <w:p>
      <w:pPr>
        <w:keepNext w:val="0"/>
        <w:spacing w:after="50" w:line="252" w:lineRule="auto"/>
        <w:ind w:left="504" w:firstLine="0"/>
      </w:pPr>
      <w:r>
        <w:rPr>
          <w:rFonts w:ascii="Liberation Sans" w:hAnsi="Liberation Sans"/>
          <w:color w:val="1E2D38"/>
          <w:sz w:val="18"/>
        </w:rPr>
        <w:t>A. Continue the plan because agreement in a mandated setting establishes informed participation.</w:t>
      </w:r>
    </w:p>
    <w:p>
      <w:pPr>
        <w:keepNext w:val="0"/>
        <w:spacing w:after="50" w:line="252" w:lineRule="auto"/>
        <w:ind w:left="504" w:firstLine="0"/>
      </w:pPr>
      <w:r>
        <w:rPr>
          <w:rFonts w:ascii="Liberation Sans" w:hAnsi="Liberation Sans"/>
          <w:color w:val="1E2D38"/>
          <w:sz w:val="18"/>
        </w:rPr>
        <w:t>B. Examine the assumption and referral power, clarify consequences and choices, ask how the parent understands the situation, and invite disagreement and goals.</w:t>
      </w:r>
    </w:p>
    <w:p>
      <w:pPr>
        <w:keepNext w:val="0"/>
        <w:spacing w:after="50" w:line="252" w:lineRule="auto"/>
        <w:ind w:left="504" w:firstLine="0"/>
      </w:pPr>
      <w:r>
        <w:rPr>
          <w:rFonts w:ascii="Liberation Sans" w:hAnsi="Liberation Sans"/>
          <w:color w:val="1E2D38"/>
          <w:sz w:val="18"/>
        </w:rPr>
        <w:t>C. Ask a relative from the same cultural community to explain what the parent is probably thinking.</w:t>
      </w:r>
    </w:p>
    <w:p>
      <w:pPr>
        <w:keepNext w:val="0"/>
        <w:spacing w:after="100" w:line="252" w:lineRule="auto"/>
        <w:ind w:left="504" w:firstLine="0"/>
      </w:pPr>
      <w:r>
        <w:rPr>
          <w:rFonts w:ascii="Liberation Sans" w:hAnsi="Liberation Sans"/>
          <w:color w:val="1E2D38"/>
          <w:sz w:val="18"/>
        </w:rPr>
        <w:t>D. Exclude cultural and power factors from the formulation until the parent openly objects to treatment.</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3. </w:t>
      </w:r>
      <w:r>
        <w:rPr>
          <w:rFonts w:ascii="Liberation Sans" w:hAnsi="Liberation Sans"/>
          <w:b/>
          <w:color w:val="1E2D38"/>
          <w:sz w:val="19"/>
        </w:rPr>
        <w:t>During family therapy, a transgender adult says that repeated use of the wrong name by clinic staff has made the clinic feel unsafe. The therapist replies, “They did not mean anything by it.” What is the therapist's BEST next response?</w:t>
      </w:r>
    </w:p>
    <w:p>
      <w:pPr>
        <w:keepNext w:val="0"/>
        <w:spacing w:after="50" w:line="252" w:lineRule="auto"/>
        <w:ind w:left="504" w:firstLine="0"/>
      </w:pPr>
      <w:r>
        <w:rPr>
          <w:rFonts w:ascii="Liberation Sans" w:hAnsi="Liberation Sans"/>
          <w:color w:val="1E2D38"/>
          <w:sz w:val="18"/>
        </w:rPr>
        <w:t>A. Explain the staff members' intentions more fully so the client can reinterpret the experience.</w:t>
      </w:r>
    </w:p>
    <w:p>
      <w:pPr>
        <w:keepNext w:val="0"/>
        <w:spacing w:after="50" w:line="252" w:lineRule="auto"/>
        <w:ind w:left="504" w:firstLine="0"/>
      </w:pPr>
      <w:r>
        <w:rPr>
          <w:rFonts w:ascii="Liberation Sans" w:hAnsi="Liberation Sans"/>
          <w:color w:val="1E2D38"/>
          <w:sz w:val="18"/>
        </w:rPr>
        <w:t>B. Move to the family's original communication goal because clinic procedures are outside the therapist's role.</w:t>
      </w:r>
    </w:p>
    <w:p>
      <w:pPr>
        <w:keepNext w:val="0"/>
        <w:spacing w:after="50" w:line="252" w:lineRule="auto"/>
        <w:ind w:left="504" w:firstLine="0"/>
      </w:pPr>
      <w:r>
        <w:rPr>
          <w:rFonts w:ascii="Liberation Sans" w:hAnsi="Liberation Sans"/>
          <w:color w:val="1E2D38"/>
          <w:sz w:val="18"/>
        </w:rPr>
        <w:t>C. Acknowledge the dismissive response and harm, assess safety and participation, invite the client's desired repair, and take accountable action within role.</w:t>
      </w:r>
    </w:p>
    <w:p>
      <w:pPr>
        <w:keepNext w:val="0"/>
        <w:spacing w:after="100" w:line="252" w:lineRule="auto"/>
        <w:ind w:left="504" w:firstLine="0"/>
      </w:pPr>
      <w:r>
        <w:rPr>
          <w:rFonts w:ascii="Liberation Sans" w:hAnsi="Liberation Sans"/>
          <w:color w:val="1E2D38"/>
          <w:sz w:val="18"/>
        </w:rPr>
        <w:t>D. Promise that no identity-related error will ever occur again before asking what response the client wants.</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4. </w:t>
      </w:r>
      <w:r>
        <w:rPr>
          <w:rFonts w:ascii="Liberation Sans" w:hAnsi="Liberation Sans"/>
          <w:b/>
          <w:color w:val="1E2D38"/>
          <w:sz w:val="19"/>
        </w:rPr>
        <w:t>A Deaf client and hearing partner request couple therapy. The partner offers to interpret, but the client reports that automated captions omit important content and wants direct access to the discussion. Which response is BEST?</w:t>
      </w:r>
    </w:p>
    <w:p>
      <w:pPr>
        <w:keepNext w:val="0"/>
        <w:spacing w:after="50" w:line="252" w:lineRule="auto"/>
        <w:ind w:left="504" w:firstLine="0"/>
      </w:pPr>
      <w:r>
        <w:rPr>
          <w:rFonts w:ascii="Liberation Sans" w:hAnsi="Liberation Sans"/>
          <w:color w:val="1E2D38"/>
          <w:sz w:val="18"/>
        </w:rPr>
        <w:t>A. Accept the partner as interpreter after obtaining a general confidentiality agreement because the partner already knows the relationship history.</w:t>
      </w:r>
    </w:p>
    <w:p>
      <w:pPr>
        <w:keepNext w:val="0"/>
        <w:spacing w:after="50" w:line="252" w:lineRule="auto"/>
        <w:ind w:left="504" w:firstLine="0"/>
      </w:pPr>
      <w:r>
        <w:rPr>
          <w:rFonts w:ascii="Liberation Sans" w:hAnsi="Liberation Sans"/>
          <w:color w:val="1E2D38"/>
          <w:sz w:val="18"/>
        </w:rPr>
        <w:t>B. Use automated captions for routine content, ask the partner to interpret complex portions, and check meaning with the client afterward.</w:t>
      </w:r>
    </w:p>
    <w:p>
      <w:pPr>
        <w:keepNext w:val="0"/>
        <w:spacing w:after="50" w:line="252" w:lineRule="auto"/>
        <w:ind w:left="504" w:firstLine="0"/>
      </w:pPr>
      <w:r>
        <w:rPr>
          <w:rFonts w:ascii="Liberation Sans" w:hAnsi="Liberation Sans"/>
          <w:color w:val="1E2D38"/>
          <w:sz w:val="18"/>
        </w:rPr>
        <w:t>C. Proceed using written summaries after each session because asynchronous access protects privacy and avoids a third person in treatment.</w:t>
      </w:r>
    </w:p>
    <w:p>
      <w:pPr>
        <w:keepNext w:val="0"/>
        <w:spacing w:after="100" w:line="252" w:lineRule="auto"/>
        <w:ind w:left="504" w:firstLine="0"/>
      </w:pPr>
      <w:r>
        <w:rPr>
          <w:rFonts w:ascii="Liberation Sans" w:hAnsi="Liberation Sans"/>
          <w:color w:val="1E2D38"/>
          <w:sz w:val="18"/>
        </w:rPr>
        <w:t>D. Ask the client about preferred access, arrange qualified support consistent with current requirements, explain roles and privacy, and verify equal participation.</w:t>
      </w:r>
      <w:r>
        <w:br/>
      </w:r>
      <w:r>
        <w:rPr>
          <w:rFonts w:ascii="Liberation Sans" w:hAnsi="Liberation Sans"/>
          <w:color w:val="5A6872"/>
          <w:sz w:val="17"/>
        </w:rPr>
        <w:t>Answer: ______    Confidence:  [ ] 1 Guess    [ ] 2 Low    [ ] 3 Moderate    [ ] 4 High</w:t>
      </w:r>
    </w:p>
    <w:p>
      <w:pPr>
        <w:keepNext/>
        <w:pageBreakBefore/>
        <w:spacing w:before="720" w:after="80" w:line="259" w:lineRule="auto"/>
        <w:ind w:left="432" w:hanging="360"/>
      </w:pPr>
      <w:r>
        <w:rPr>
          <w:rFonts w:ascii="Liberation Sans" w:hAnsi="Liberation Sans"/>
          <w:b/>
          <w:color w:val="1E2D38"/>
          <w:sz w:val="19"/>
        </w:rPr>
        <w:t xml:space="preserve">5. </w:t>
      </w:r>
      <w:r>
        <w:rPr>
          <w:rFonts w:ascii="Liberation Sans" w:hAnsi="Liberation Sans"/>
          <w:b/>
          <w:color w:val="1E2D38"/>
          <w:sz w:val="19"/>
        </w:rPr>
        <w:t>A family repeatedly arrives late because a caregiver's shift ends when the last reliable bus leaves, and evening child care is unavailable. What should the therapist do FIRST?</w:t>
      </w:r>
    </w:p>
    <w:p>
      <w:pPr>
        <w:keepNext w:val="0"/>
        <w:spacing w:after="50" w:line="252" w:lineRule="auto"/>
        <w:ind w:left="504" w:firstLine="0"/>
      </w:pPr>
      <w:r>
        <w:rPr>
          <w:rFonts w:ascii="Liberation Sans" w:hAnsi="Liberation Sans"/>
          <w:color w:val="1E2D38"/>
          <w:sz w:val="18"/>
        </w:rPr>
        <w:t>A. Ask how scheduling, transportation, caregiving, cost, and format affect participation, then collaborate on feasible supports before interpreting low motivation.</w:t>
      </w:r>
    </w:p>
    <w:p>
      <w:pPr>
        <w:keepNext w:val="0"/>
        <w:spacing w:after="50" w:line="252" w:lineRule="auto"/>
        <w:ind w:left="504" w:firstLine="0"/>
      </w:pPr>
      <w:r>
        <w:rPr>
          <w:rFonts w:ascii="Liberation Sans" w:hAnsi="Liberation Sans"/>
          <w:color w:val="1E2D38"/>
          <w:sz w:val="18"/>
        </w:rPr>
        <w:t>B. Apply the attendance consequence now and offer accommodations only after the family demonstrates improved motivation.</w:t>
      </w:r>
    </w:p>
    <w:p>
      <w:pPr>
        <w:keepNext w:val="0"/>
        <w:spacing w:after="50" w:line="252" w:lineRule="auto"/>
        <w:ind w:left="504" w:firstLine="0"/>
      </w:pPr>
      <w:r>
        <w:rPr>
          <w:rFonts w:ascii="Liberation Sans" w:hAnsi="Liberation Sans"/>
          <w:color w:val="1E2D38"/>
          <w:sz w:val="18"/>
        </w:rPr>
        <w:t>C. Focus treatment on the caregiver's time-management skills because external conditions cannot be changed in therapy.</w:t>
      </w:r>
    </w:p>
    <w:p>
      <w:pPr>
        <w:keepNext w:val="0"/>
        <w:spacing w:after="100" w:line="252" w:lineRule="auto"/>
        <w:ind w:left="504" w:firstLine="0"/>
      </w:pPr>
      <w:r>
        <w:rPr>
          <w:rFonts w:ascii="Liberation Sans" w:hAnsi="Liberation Sans"/>
          <w:color w:val="1E2D38"/>
          <w:sz w:val="18"/>
        </w:rPr>
        <w:t>D. Require another family member to provide transportation and child care as a condition of continued treatment.</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6. </w:t>
      </w:r>
      <w:r>
        <w:rPr>
          <w:rFonts w:ascii="Liberation Sans" w:hAnsi="Liberation Sans"/>
          <w:b/>
          <w:color w:val="1E2D38"/>
          <w:sz w:val="19"/>
        </w:rPr>
        <w:t>A rural family's treatment progress is disrupted by seasonal work, long travel to medical care, and inconsistent internet. The family identifies a trusted community health worker and a school liaison as possible supports. Which plan BEST uses systemic reasoning?</w:t>
      </w:r>
    </w:p>
    <w:p>
      <w:pPr>
        <w:keepNext w:val="0"/>
        <w:spacing w:after="50" w:line="252" w:lineRule="auto"/>
        <w:ind w:left="504" w:firstLine="0"/>
      </w:pPr>
      <w:r>
        <w:rPr>
          <w:rFonts w:ascii="Liberation Sans" w:hAnsi="Liberation Sans"/>
          <w:color w:val="1E2D38"/>
          <w:sz w:val="18"/>
        </w:rPr>
        <w:t>A. Ask the family to choose psychotherapy or community assistance because using both would blur treatment boundaries.</w:t>
      </w:r>
    </w:p>
    <w:p>
      <w:pPr>
        <w:keepNext w:val="0"/>
        <w:spacing w:after="50" w:line="252" w:lineRule="auto"/>
        <w:ind w:left="504" w:firstLine="0"/>
      </w:pPr>
      <w:r>
        <w:rPr>
          <w:rFonts w:ascii="Liberation Sans" w:hAnsi="Liberation Sans"/>
          <w:color w:val="1E2D38"/>
          <w:sz w:val="18"/>
        </w:rPr>
        <w:t>B. Map the interacting systems, barriers, strengths, and family priorities; clarify the therapist's role; coordinate selected supports with permission; and review benefit, burden, and unintended effects.</w:t>
      </w:r>
    </w:p>
    <w:p>
      <w:pPr>
        <w:keepNext w:val="0"/>
        <w:spacing w:after="50" w:line="252" w:lineRule="auto"/>
        <w:ind w:left="504" w:firstLine="0"/>
      </w:pPr>
      <w:r>
        <w:rPr>
          <w:rFonts w:ascii="Liberation Sans" w:hAnsi="Liberation Sans"/>
          <w:color w:val="1E2D38"/>
          <w:sz w:val="18"/>
        </w:rPr>
        <w:t>C. Contact every local organization so the therapist can create a comprehensive plan before involving the family.</w:t>
      </w:r>
    </w:p>
    <w:p>
      <w:pPr>
        <w:keepNext w:val="0"/>
        <w:spacing w:after="100" w:line="252" w:lineRule="auto"/>
        <w:ind w:left="504" w:firstLine="0"/>
      </w:pPr>
      <w:r>
        <w:rPr>
          <w:rFonts w:ascii="Liberation Sans" w:hAnsi="Liberation Sans"/>
          <w:color w:val="1E2D38"/>
          <w:sz w:val="18"/>
        </w:rPr>
        <w:t>D. Treat the travel and connectivity problems as background variables and continue the original office-based plan unchanged.</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7. </w:t>
      </w:r>
      <w:r>
        <w:rPr>
          <w:rFonts w:ascii="Liberation Sans" w:hAnsi="Liberation Sans"/>
          <w:b/>
          <w:color w:val="1E2D38"/>
          <w:sz w:val="19"/>
        </w:rPr>
        <w:t>An adolescent receives family therapy, school supports, and specialty medical care. Each setting has begun changing goals independently, the caregivers are unsure who is responsible for urgent concerns, and no shared information plan exists. What should the family therapist do NEXT?</w:t>
      </w:r>
    </w:p>
    <w:p>
      <w:pPr>
        <w:keepNext w:val="0"/>
        <w:spacing w:after="50" w:line="252" w:lineRule="auto"/>
        <w:ind w:left="504" w:firstLine="0"/>
      </w:pPr>
      <w:r>
        <w:rPr>
          <w:rFonts w:ascii="Liberation Sans" w:hAnsi="Liberation Sans"/>
          <w:color w:val="1E2D38"/>
          <w:sz w:val="18"/>
        </w:rPr>
        <w:t>A. Send each provider the complete record and ask the first responder to assume responsibility for urgent concerns.</w:t>
      </w:r>
    </w:p>
    <w:p>
      <w:pPr>
        <w:keepNext w:val="0"/>
        <w:spacing w:after="50" w:line="252" w:lineRule="auto"/>
        <w:ind w:left="504" w:firstLine="0"/>
      </w:pPr>
      <w:r>
        <w:rPr>
          <w:rFonts w:ascii="Liberation Sans" w:hAnsi="Liberation Sans"/>
          <w:color w:val="1E2D38"/>
          <w:sz w:val="18"/>
        </w:rPr>
        <w:t>B. Take responsibility for all services because the family therapist has the broadest view of the adolescent's relational context.</w:t>
      </w:r>
    </w:p>
    <w:p>
      <w:pPr>
        <w:keepNext w:val="0"/>
        <w:spacing w:after="50" w:line="252" w:lineRule="auto"/>
        <w:ind w:left="504" w:firstLine="0"/>
      </w:pPr>
      <w:r>
        <w:rPr>
          <w:rFonts w:ascii="Liberation Sans" w:hAnsi="Liberation Sans"/>
          <w:color w:val="1E2D38"/>
          <w:sz w:val="18"/>
        </w:rPr>
        <w:t>C. Recenter family goals and safety, obtain permission, clarify roles and urgent-response responsibility, limit information, and establish a documented feedback loop.</w:t>
      </w:r>
    </w:p>
    <w:p>
      <w:pPr>
        <w:keepNext w:val="0"/>
        <w:spacing w:after="100" w:line="252" w:lineRule="auto"/>
        <w:ind w:left="504" w:firstLine="0"/>
      </w:pPr>
      <w:r>
        <w:rPr>
          <w:rFonts w:ascii="Liberation Sans" w:hAnsi="Liberation Sans"/>
          <w:color w:val="1E2D38"/>
          <w:sz w:val="18"/>
        </w:rPr>
        <w:t>D. Suspend family therapy and direct the caregivers to ask the other settings to create the shared plan first.</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8. </w:t>
      </w:r>
      <w:r>
        <w:rPr>
          <w:rFonts w:ascii="Liberation Sans" w:hAnsi="Liberation Sans"/>
          <w:b/>
          <w:color w:val="1E2D38"/>
          <w:sz w:val="19"/>
        </w:rPr>
        <w:t>Before enrolling a prospective member in a therapy group, which set of factors is MOST important to screen?</w:t>
      </w:r>
    </w:p>
    <w:p>
      <w:pPr>
        <w:keepNext w:val="0"/>
        <w:spacing w:after="50" w:line="252" w:lineRule="auto"/>
        <w:ind w:left="504" w:firstLine="0"/>
      </w:pPr>
      <w:r>
        <w:rPr>
          <w:rFonts w:ascii="Liberation Sans" w:hAnsi="Liberation Sans"/>
          <w:color w:val="1E2D38"/>
          <w:sz w:val="18"/>
        </w:rPr>
        <w:t>A. Whether the person shares the demographic characteristics of most current members and will agree with the group leader.</w:t>
      </w:r>
    </w:p>
    <w:p>
      <w:pPr>
        <w:keepNext w:val="0"/>
        <w:spacing w:after="50" w:line="252" w:lineRule="auto"/>
        <w:ind w:left="504" w:firstLine="0"/>
      </w:pPr>
      <w:r>
        <w:rPr>
          <w:rFonts w:ascii="Liberation Sans" w:hAnsi="Liberation Sans"/>
          <w:color w:val="1E2D38"/>
          <w:sz w:val="18"/>
        </w:rPr>
        <w:t>B. Whether the referral source prefers group treatment and the person can attend the first meeting.</w:t>
      </w:r>
    </w:p>
    <w:p>
      <w:pPr>
        <w:keepNext w:val="0"/>
        <w:spacing w:after="50" w:line="252" w:lineRule="auto"/>
        <w:ind w:left="504" w:firstLine="0"/>
      </w:pPr>
      <w:r>
        <w:rPr>
          <w:rFonts w:ascii="Liberation Sans" w:hAnsi="Liberation Sans"/>
          <w:color w:val="1E2D38"/>
          <w:sz w:val="18"/>
        </w:rPr>
        <w:t>C. Whether the person promises never to discuss any group content outside the sessions.</w:t>
      </w:r>
    </w:p>
    <w:p>
      <w:pPr>
        <w:keepNext w:val="0"/>
        <w:spacing w:after="100" w:line="252" w:lineRule="auto"/>
        <w:ind w:left="504" w:firstLine="0"/>
      </w:pPr>
      <w:r>
        <w:rPr>
          <w:rFonts w:ascii="Liberation Sans" w:hAnsi="Liberation Sans"/>
          <w:color w:val="1E2D38"/>
          <w:sz w:val="18"/>
        </w:rPr>
        <w:t>D. The group's purpose; the person's goals, voluntariness, readiness, fit, access, and safety; consent and confidentiality limits; composition; and available alternatives.</w:t>
      </w:r>
      <w:r>
        <w:br/>
      </w:r>
      <w:r>
        <w:rPr>
          <w:rFonts w:ascii="Liberation Sans" w:hAnsi="Liberation Sans"/>
          <w:color w:val="5A6872"/>
          <w:sz w:val="17"/>
        </w:rPr>
        <w:t>Answer: ______    Confidence:  [ ] 1 Guess    [ ] 2 Low    [ ] 3 Moderate    [ ] 4 High</w:t>
      </w:r>
    </w:p>
    <w:p>
      <w:pPr>
        <w:keepNext/>
        <w:pageBreakBefore/>
        <w:spacing w:before="720" w:after="80" w:line="259" w:lineRule="auto"/>
        <w:ind w:left="432" w:hanging="360"/>
      </w:pPr>
      <w:r>
        <w:rPr>
          <w:rFonts w:ascii="Liberation Sans" w:hAnsi="Liberation Sans"/>
          <w:b/>
          <w:color w:val="1E2D38"/>
          <w:sz w:val="19"/>
        </w:rPr>
        <w:t xml:space="preserve">9. </w:t>
      </w:r>
      <w:r>
        <w:rPr>
          <w:rFonts w:ascii="Liberation Sans" w:hAnsi="Liberation Sans"/>
          <w:b/>
          <w:color w:val="1E2D38"/>
          <w:sz w:val="19"/>
        </w:rPr>
        <w:t>A remote therapy group is required by a diversion program. Before the first meeting, participants are told only that attendance will be reported. The platform can record sessions, and several participants believe the leader can guarantee that members will keep all disclosures private. What should the leader do?</w:t>
      </w:r>
    </w:p>
    <w:tbl>
      <w:tblPr>
        <w:tblW w:type="dxa" w:w="9800"/>
        <w:jc w:val="left"/>
        <w:tblLayout w:type="fixed"/>
        <w:tblLook w:firstColumn="1" w:firstRow="1" w:lastColumn="0" w:lastRow="0" w:noHBand="0" w:noVBand="1" w:val="04A0"/>
        <w:tblBorders>
          <w:top w:val="nil"/>
          <w:left w:val="nil"/>
          <w:bottom w:val="nil"/>
          <w:right w:val="nil"/>
          <w:insideH w:val="nil"/>
          <w:insideV w:val="nil"/>
        </w:tblBorders>
        <w:tblInd w:w="0" w:type="dxa"/>
      </w:tblPr>
      <w:tblGrid>
        <w:gridCol w:w="9800"/>
      </w:tblGrid>
      <w:tr>
        <w:trPr>
          <w:tblHeader w:val="true"/>
          <w:cantSplit/>
        </w:trPr>
        <w:tc>
          <w:tcPr>
            <w:tcW w:type="dxa" w:w="9800"/>
            <w:tcMar>
              <w:top w:w="15" w:type="dxa"/>
              <w:start w:w="0" w:type="dxa"/>
              <w:bottom w:w="15" w:type="dxa"/>
              <w:end w:w="0" w:type="dxa"/>
            </w:tcMar>
          </w:tcPr>
          <w:p>
            <w:pPr>
              <w:spacing w:after="100" w:line="278" w:lineRule="auto"/>
              <w:ind w:left="504"/>
            </w:pPr>
            <w:r>
              <w:rPr>
                <w:rFonts w:ascii="Liberation Sans" w:hAnsi="Liberation Sans"/>
                <w:color w:val="1E2D38"/>
                <w:sz w:val="18"/>
              </w:rPr>
              <w:t>A. Before proceeding, explain purpose, mandated status, choices and consequences, member-to-member privacy limits, technology and recording, records and permitted disclosures, safety procedures, and alternatives; verify current requirements and understanding.</w:t>
              <w:br/>
              <w:t>B. Begin the group after describing the attendance report, then explain other confidentiality and recording terms only if a participant asks.</w:t>
              <w:br/>
              <w:t>C. Obtain a written group promise of secrecy and describe confidentiality as guaranteed unless a participant later withdraws that promise.</w:t>
              <w:br/>
              <w:t>D. Report attendance and all clinically relevant session content because mandated participation gives the diversion program continuing access to treatment information.</w:t>
              <w:br/>
              <w:t>Answer: ______    Confidence:  [ ] 1 Guess    [ ] 2 Low    [ ] 3 Moderate    [ ] 4 High</w:t>
            </w:r>
          </w:p>
        </w:tc>
      </w:tr>
    </w:tbl>
    <w:p>
      <w:pPr>
        <w:keepNext/>
        <w:spacing w:before="140" w:after="80" w:line="259" w:lineRule="auto"/>
        <w:ind w:left="432" w:hanging="360"/>
      </w:pPr>
      <w:r>
        <w:rPr>
          <w:rFonts w:ascii="Liberation Sans" w:hAnsi="Liberation Sans"/>
          <w:b/>
          <w:color w:val="1E2D38"/>
          <w:sz w:val="19"/>
        </w:rPr>
        <w:t xml:space="preserve">10. </w:t>
      </w:r>
      <w:r>
        <w:rPr>
          <w:rFonts w:ascii="Liberation Sans" w:hAnsi="Liberation Sans"/>
          <w:b/>
          <w:color w:val="1E2D38"/>
          <w:sz w:val="19"/>
        </w:rPr>
        <w:t>In a therapy group, one member repeatedly mocks another member's accent. Other members laugh, and the targeted member stops speaking. The leader worries that addressing the incident will interrupt cohesion. What should the leader do NEXT?</w:t>
      </w:r>
    </w:p>
    <w:p>
      <w:pPr>
        <w:keepNext w:val="0"/>
        <w:spacing w:after="50" w:line="252" w:lineRule="auto"/>
        <w:ind w:left="504" w:firstLine="0"/>
      </w:pPr>
      <w:r>
        <w:rPr>
          <w:rFonts w:ascii="Liberation Sans" w:hAnsi="Liberation Sans"/>
          <w:color w:val="1E2D38"/>
          <w:sz w:val="18"/>
        </w:rPr>
        <w:t>A. Wait, then assess privately next week so immediate discussion does not increase shame or reduce group cohesion.</w:t>
      </w:r>
    </w:p>
    <w:p>
      <w:pPr>
        <w:keepNext w:val="0"/>
        <w:spacing w:after="50" w:line="252" w:lineRule="auto"/>
        <w:ind w:left="504" w:firstLine="0"/>
      </w:pPr>
      <w:r>
        <w:rPr>
          <w:rFonts w:ascii="Liberation Sans" w:hAnsi="Liberation Sans"/>
          <w:color w:val="1E2D38"/>
          <w:sz w:val="18"/>
        </w:rPr>
        <w:t>B. Interrupt the harm, assess impact and safety, address power and group process, reinforce accountable norms, and monitor repair and fit.</w:t>
      </w:r>
    </w:p>
    <w:p>
      <w:pPr>
        <w:keepNext w:val="0"/>
        <w:spacing w:after="50" w:line="252" w:lineRule="auto"/>
        <w:ind w:left="504" w:firstLine="0"/>
      </w:pPr>
      <w:r>
        <w:rPr>
          <w:rFonts w:ascii="Liberation Sans" w:hAnsi="Liberation Sans"/>
          <w:color w:val="1E2D38"/>
          <w:sz w:val="18"/>
        </w:rPr>
        <w:t>C. Meet only with the targeted member afterward because discussing power in the group could embarrass the other members.</w:t>
      </w:r>
    </w:p>
    <w:p>
      <w:pPr>
        <w:keepNext w:val="0"/>
        <w:spacing w:after="100" w:line="252" w:lineRule="auto"/>
        <w:ind w:left="504" w:firstLine="0"/>
      </w:pPr>
      <w:r>
        <w:rPr>
          <w:rFonts w:ascii="Liberation Sans" w:hAnsi="Liberation Sans"/>
          <w:color w:val="1E2D38"/>
          <w:sz w:val="18"/>
        </w:rPr>
        <w:t>D. Remove the targeted member temporarily to prevent further harm while the remaining group processes the incident without that member.</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11. </w:t>
      </w:r>
      <w:r>
        <w:rPr>
          <w:rFonts w:ascii="Liberation Sans" w:hAnsi="Liberation Sans"/>
          <w:b/>
          <w:color w:val="1E2D38"/>
          <w:sz w:val="19"/>
        </w:rPr>
        <w:t>A therapist is evaluating whether an ongoing group remains effective. Which information is MOST useful?</w:t>
      </w:r>
    </w:p>
    <w:p>
      <w:pPr>
        <w:keepNext w:val="0"/>
        <w:spacing w:after="50" w:line="252" w:lineRule="auto"/>
        <w:ind w:left="504" w:firstLine="0"/>
      </w:pPr>
      <w:r>
        <w:rPr>
          <w:rFonts w:ascii="Liberation Sans" w:hAnsi="Liberation Sans"/>
          <w:color w:val="1E2D38"/>
          <w:sz w:val="18"/>
        </w:rPr>
        <w:t>A. Attendance and completion totals, because observable participation provides the most consistent indicator of benefit across members.</w:t>
      </w:r>
    </w:p>
    <w:p>
      <w:pPr>
        <w:keepNext w:val="0"/>
        <w:spacing w:after="50" w:line="252" w:lineRule="auto"/>
        <w:ind w:left="504" w:firstLine="0"/>
      </w:pPr>
      <w:r>
        <w:rPr>
          <w:rFonts w:ascii="Liberation Sans" w:hAnsi="Liberation Sans"/>
          <w:color w:val="1E2D38"/>
          <w:sz w:val="18"/>
        </w:rPr>
        <w:t>B. The leader's ratings of cohesion and conflict, because differing member perspectives would make the evaluation unreliable.</w:t>
      </w:r>
    </w:p>
    <w:p>
      <w:pPr>
        <w:keepNext w:val="0"/>
        <w:spacing w:after="50" w:line="252" w:lineRule="auto"/>
        <w:ind w:left="504" w:firstLine="0"/>
      </w:pPr>
      <w:r>
        <w:rPr>
          <w:rFonts w:ascii="Liberation Sans" w:hAnsi="Liberation Sans"/>
          <w:color w:val="1E2D38"/>
          <w:sz w:val="18"/>
        </w:rPr>
        <w:t>C. Member-defined outcomes, participation and access, alliance and cohesion, power and exclusion, safety, adverse effects, and continuing fit.</w:t>
      </w:r>
    </w:p>
    <w:p>
      <w:pPr>
        <w:keepNext w:val="0"/>
        <w:spacing w:after="100" w:line="252" w:lineRule="auto"/>
        <w:ind w:left="504" w:firstLine="0"/>
      </w:pPr>
      <w:r>
        <w:rPr>
          <w:rFonts w:ascii="Liberation Sans" w:hAnsi="Liberation Sans"/>
          <w:color w:val="1E2D38"/>
          <w:sz w:val="18"/>
        </w:rPr>
        <w:t>D. The average symptom score and referral-source satisfaction, because standardized results should outweigh process concerns.</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12. </w:t>
      </w:r>
      <w:r>
        <w:rPr>
          <w:rFonts w:ascii="Liberation Sans" w:hAnsi="Liberation Sans"/>
          <w:b/>
          <w:color w:val="1E2D38"/>
          <w:sz w:val="19"/>
        </w:rPr>
        <w:t>A therapist identifies signs that a client may need specialized eating-disorder care beyond the therapist's competence. The preferred program has a three-week intake delay, and the client wants the therapist involved but limits what may be shared. What should the therapist do NEXT?</w:t>
      </w:r>
    </w:p>
    <w:p>
      <w:pPr>
        <w:keepNext w:val="0"/>
        <w:spacing w:after="50" w:line="252" w:lineRule="auto"/>
        <w:ind w:left="504" w:firstLine="0"/>
      </w:pPr>
      <w:r>
        <w:rPr>
          <w:rFonts w:ascii="Liberation Sans" w:hAnsi="Liberation Sans"/>
          <w:color w:val="1E2D38"/>
          <w:sz w:val="18"/>
        </w:rPr>
        <w:t>A. Continue treating the specialty condition independently until the preferred program is ready so the client experiences no change in care.</w:t>
      </w:r>
    </w:p>
    <w:p>
      <w:pPr>
        <w:keepNext w:val="0"/>
        <w:spacing w:after="50" w:line="252" w:lineRule="auto"/>
        <w:ind w:left="504" w:firstLine="0"/>
      </w:pPr>
      <w:r>
        <w:rPr>
          <w:rFonts w:ascii="Liberation Sans" w:hAnsi="Liberation Sans"/>
          <w:color w:val="1E2D38"/>
          <w:sz w:val="18"/>
        </w:rPr>
        <w:t>B. Send the complete record immediately because a specialty referral overrides the client's information limits.</w:t>
      </w:r>
    </w:p>
    <w:p>
      <w:pPr>
        <w:keepNext w:val="0"/>
        <w:spacing w:after="50" w:line="252" w:lineRule="auto"/>
        <w:ind w:left="504" w:firstLine="0"/>
      </w:pPr>
      <w:r>
        <w:rPr>
          <w:rFonts w:ascii="Liberation Sans" w:hAnsi="Liberation Sans"/>
          <w:color w:val="1E2D38"/>
          <w:sz w:val="18"/>
        </w:rPr>
        <w:t>C. Give the client the program's telephone number and close the case because identifying an appropriate resource completes the referral.</w:t>
      </w:r>
    </w:p>
    <w:p>
      <w:pPr>
        <w:keepNext w:val="0"/>
        <w:spacing w:after="100" w:line="252" w:lineRule="auto"/>
        <w:ind w:left="504" w:firstLine="0"/>
      </w:pPr>
      <w:r>
        <w:rPr>
          <w:rFonts w:ascii="Liberation Sans" w:hAnsi="Liberation Sans"/>
          <w:color w:val="1E2D38"/>
          <w:sz w:val="18"/>
        </w:rPr>
        <w:t>D. Clarify need and urgency, review fitting alternatives, obtain permission for a defined exchange, coordinate interim responsibility, and confirm connection and acceptance.</w:t>
      </w:r>
      <w:r>
        <w:br/>
      </w:r>
      <w:r>
        <w:rPr>
          <w:rFonts w:ascii="Liberation Sans" w:hAnsi="Liberation Sans"/>
          <w:color w:val="5A6872"/>
          <w:sz w:val="17"/>
        </w:rPr>
        <w:t>Answer: ______    Confidence:  [ ] 1 Guess    [ ] 2 Low    [ ] 3 Moderate    [ ] 4 High</w:t>
      </w:r>
    </w:p>
    <w:p>
      <w:pPr>
        <w:keepNext/>
        <w:pageBreakBefore/>
        <w:spacing w:before="720" w:after="80" w:line="259" w:lineRule="auto"/>
        <w:ind w:left="432" w:hanging="360"/>
      </w:pPr>
      <w:r>
        <w:rPr>
          <w:rFonts w:ascii="Liberation Sans" w:hAnsi="Liberation Sans"/>
          <w:b/>
          <w:color w:val="1E2D38"/>
          <w:sz w:val="19"/>
        </w:rPr>
        <w:t xml:space="preserve">13. </w:t>
      </w:r>
      <w:r>
        <w:rPr>
          <w:rFonts w:ascii="Liberation Sans" w:hAnsi="Liberation Sans"/>
          <w:b/>
          <w:color w:val="1E2D38"/>
          <w:sz w:val="19"/>
        </w:rPr>
        <w:t>A hospital team plans discharge for an adult client. The physician prioritizes medication adherence, a social worker emphasizes housing, and the family therapist recommends relational support. Team members have begun making commitments to the family without clarifying who can deliver them. What is the BEST next step?</w:t>
      </w:r>
    </w:p>
    <w:p>
      <w:pPr>
        <w:keepNext w:val="0"/>
        <w:spacing w:after="50" w:line="252" w:lineRule="auto"/>
        <w:ind w:left="504" w:firstLine="0"/>
      </w:pPr>
      <w:r>
        <w:rPr>
          <w:rFonts w:ascii="Liberation Sans" w:hAnsi="Liberation Sans"/>
          <w:color w:val="1E2D38"/>
          <w:sz w:val="18"/>
        </w:rPr>
        <w:t>A. Involve the client and authorized participants, clarify goals, safety, roles, authority, and feasible responsibilities, resolve conflicting commitments, limit information, and document the coordinated plan.</w:t>
      </w:r>
    </w:p>
    <w:p>
      <w:pPr>
        <w:keepNext w:val="0"/>
        <w:spacing w:after="50" w:line="252" w:lineRule="auto"/>
        <w:ind w:left="504" w:firstLine="0"/>
      </w:pPr>
      <w:r>
        <w:rPr>
          <w:rFonts w:ascii="Liberation Sans" w:hAnsi="Liberation Sans"/>
          <w:color w:val="1E2D38"/>
          <w:sz w:val="18"/>
        </w:rPr>
        <w:t>B. Defer to the physician and ask the other disciplines to adapt their discharge tasks to the medical plan and timetable.</w:t>
      </w:r>
    </w:p>
    <w:p>
      <w:pPr>
        <w:keepNext w:val="0"/>
        <w:spacing w:after="50" w:line="252" w:lineRule="auto"/>
        <w:ind w:left="504" w:firstLine="0"/>
      </w:pPr>
      <w:r>
        <w:rPr>
          <w:rFonts w:ascii="Liberation Sans" w:hAnsi="Liberation Sans"/>
          <w:color w:val="1E2D38"/>
          <w:sz w:val="18"/>
        </w:rPr>
        <w:t>C. Present the family therapist's formulation as the unifying plan, then assign each discipline a relationally consistent responsibility.</w:t>
      </w:r>
    </w:p>
    <w:p>
      <w:pPr>
        <w:keepNext w:val="0"/>
        <w:spacing w:after="100" w:line="252" w:lineRule="auto"/>
        <w:ind w:left="504" w:firstLine="0"/>
      </w:pPr>
      <w:r>
        <w:rPr>
          <w:rFonts w:ascii="Liberation Sans" w:hAnsi="Liberation Sans"/>
          <w:color w:val="1E2D38"/>
          <w:sz w:val="18"/>
        </w:rPr>
        <w:t>D. Withdraw from the team and provide the family a separate therapy plan so professional disagreement does not delay discharge.</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14. </w:t>
      </w:r>
      <w:r>
        <w:rPr>
          <w:rFonts w:ascii="Liberation Sans" w:hAnsi="Liberation Sans"/>
          <w:b/>
          <w:color w:val="1E2D38"/>
          <w:sz w:val="19"/>
        </w:rPr>
        <w:t>Which consultation practice is MOST appropriate when an MFT needs expert input but remains responsible for the client's treatment?</w:t>
      </w:r>
    </w:p>
    <w:p>
      <w:pPr>
        <w:keepNext w:val="0"/>
        <w:spacing w:after="50" w:line="252" w:lineRule="auto"/>
        <w:ind w:left="504" w:firstLine="0"/>
      </w:pPr>
      <w:r>
        <w:rPr>
          <w:rFonts w:ascii="Liberation Sans" w:hAnsi="Liberation Sans"/>
          <w:color w:val="1E2D38"/>
          <w:sz w:val="18"/>
        </w:rPr>
        <w:t>A. Share the complete record whenever the consultant has more expertise, because consultation transfers responsibility for the decision.</w:t>
      </w:r>
    </w:p>
    <w:p>
      <w:pPr>
        <w:keepNext w:val="0"/>
        <w:spacing w:after="50" w:line="252" w:lineRule="auto"/>
        <w:ind w:left="504" w:firstLine="0"/>
      </w:pPr>
      <w:r>
        <w:rPr>
          <w:rFonts w:ascii="Liberation Sans" w:hAnsi="Liberation Sans"/>
          <w:color w:val="1E2D38"/>
          <w:sz w:val="18"/>
        </w:rPr>
        <w:t>B. Define the question and roles, use de-identified or minimum-necessary information as appropriate, obtain required permission, assess competence and conflicts, integrate the advice, and document the decision.</w:t>
      </w:r>
    </w:p>
    <w:p>
      <w:pPr>
        <w:keepNext w:val="0"/>
        <w:spacing w:after="50" w:line="252" w:lineRule="auto"/>
        <w:ind w:left="504" w:firstLine="0"/>
      </w:pPr>
      <w:r>
        <w:rPr>
          <w:rFonts w:ascii="Liberation Sans" w:hAnsi="Liberation Sans"/>
          <w:color w:val="1E2D38"/>
          <w:sz w:val="18"/>
        </w:rPr>
        <w:t>C. Withhold every detail that could connect to the client, even when the consultant cannot understand the decision question without it.</w:t>
      </w:r>
    </w:p>
    <w:p>
      <w:pPr>
        <w:keepNext w:val="0"/>
        <w:spacing w:after="100" w:line="252" w:lineRule="auto"/>
        <w:ind w:left="504" w:firstLine="0"/>
      </w:pPr>
      <w:r>
        <w:rPr>
          <w:rFonts w:ascii="Liberation Sans" w:hAnsi="Liberation Sans"/>
          <w:color w:val="1E2D38"/>
          <w:sz w:val="18"/>
        </w:rPr>
        <w:t>D. Treat the consultant's recommendation as controlling even when it conflicts with the client's goals or the therapist's setting obligations.</w:t>
      </w:r>
      <w:r>
        <w:br/>
      </w:r>
      <w:r>
        <w:rPr>
          <w:rFonts w:ascii="Liberation Sans" w:hAnsi="Liberation Sans"/>
          <w:color w:val="5A6872"/>
          <w:sz w:val="17"/>
        </w:rPr>
        <w:t>Answer: ______    Confidence:  [ ] 1 Guess    [ ] 2 Low    [ ] 3 Moderate    [ ] 4 High</w:t>
      </w:r>
    </w:p>
    <w:p>
      <w:pPr>
        <w:keepNext/>
        <w:pageBreakBefore/>
        <w:spacing w:before="720" w:after="80" w:line="259" w:lineRule="auto"/>
        <w:ind w:left="432" w:hanging="360"/>
      </w:pPr>
      <w:r>
        <w:rPr>
          <w:rFonts w:ascii="Liberation Sans" w:hAnsi="Liberation Sans"/>
          <w:b/>
          <w:color w:val="1E2D38"/>
          <w:sz w:val="19"/>
        </w:rPr>
        <w:t xml:space="preserve">15. </w:t>
      </w:r>
      <w:r>
        <w:rPr>
          <w:rFonts w:ascii="Liberation Sans" w:hAnsi="Liberation Sans"/>
          <w:b/>
          <w:color w:val="1E2D38"/>
          <w:sz w:val="19"/>
        </w:rPr>
        <w:t>In supervision, an associate reports that a client made a specific threat toward a former partner and may have access to a weapon. The associate has not assessed intent, means, timing, or the former partner's current exposure. What should the supervisor do FIRST?</w:t>
      </w:r>
    </w:p>
    <w:tbl>
      <w:tblPr>
        <w:tblW w:type="dxa" w:w="9800"/>
        <w:jc w:val="left"/>
        <w:tblLayout w:type="fixed"/>
        <w:tblLook w:firstColumn="1" w:firstRow="1" w:lastColumn="0" w:lastRow="0" w:noHBand="0" w:noVBand="1" w:val="04A0"/>
        <w:tblBorders>
          <w:top w:val="nil"/>
          <w:left w:val="nil"/>
          <w:bottom w:val="nil"/>
          <w:right w:val="nil"/>
          <w:insideH w:val="nil"/>
          <w:insideV w:val="nil"/>
        </w:tblBorders>
        <w:tblInd w:w="0" w:type="dxa"/>
      </w:tblPr>
      <w:tblGrid>
        <w:gridCol w:w="9800"/>
      </w:tblGrid>
      <w:tr>
        <w:trPr>
          <w:tblHeader w:val="true"/>
          <w:cantSplit/>
        </w:trPr>
        <w:tc>
          <w:tcPr>
            <w:tcW w:type="dxa" w:w="9800"/>
            <w:tcMar>
              <w:top w:w="15" w:type="dxa"/>
              <w:start w:w="0" w:type="dxa"/>
              <w:bottom w:w="15" w:type="dxa"/>
              <w:end w:w="0" w:type="dxa"/>
            </w:tcMar>
          </w:tcPr>
          <w:p>
            <w:pPr>
              <w:spacing w:after="100" w:line="278" w:lineRule="auto"/>
              <w:ind w:left="504"/>
            </w:pPr>
            <w:r>
              <w:rPr>
                <w:rFonts w:ascii="Liberation Sans" w:hAnsi="Liberation Sans"/>
                <w:color w:val="1E2D38"/>
                <w:sz w:val="18"/>
              </w:rPr>
              <w:t>A. Schedule a role-play for the next supervision meeting so the associate can practice risk questions.</w:t>
              <w:br/>
              <w:t>B. Ask the associate to document the report and continue treatment independently until more evidence appears.</w:t>
              <w:br/>
              <w:t>C. Direct an immediate, behaviorally specific risk assessment and protective response under current law and policy, while increasing oversight and clarifying responsibility.</w:t>
              <w:br/>
              <w:t>D. Transfer the case automatically and notify the receiving clinician that the current danger still requires assessment.</w:t>
              <w:br/>
              <w:t>Answer: ______    Confidence:  [ ] 1 Guess    [ ] 2 Low    [ ] 3 Moderate    [ ] 4 High</w:t>
            </w:r>
          </w:p>
        </w:tc>
      </w:tr>
    </w:tbl>
    <w:p>
      <w:pPr>
        <w:keepNext/>
        <w:spacing w:before="140" w:after="80" w:line="259" w:lineRule="auto"/>
        <w:ind w:left="432" w:hanging="360"/>
      </w:pPr>
      <w:r>
        <w:rPr>
          <w:rFonts w:ascii="Liberation Sans" w:hAnsi="Liberation Sans"/>
          <w:b/>
          <w:color w:val="1E2D38"/>
          <w:sz w:val="19"/>
        </w:rPr>
        <w:t xml:space="preserve">16. </w:t>
      </w:r>
      <w:r>
        <w:rPr>
          <w:rFonts w:ascii="Liberation Sans" w:hAnsi="Liberation Sans"/>
          <w:b/>
          <w:color w:val="1E2D38"/>
          <w:sz w:val="19"/>
        </w:rPr>
        <w:t>A newly hired associate is asked to conduct an unfamiliar high-complexity family assessment. Which delegation plan is BEST?</w:t>
      </w:r>
    </w:p>
    <w:p>
      <w:pPr>
        <w:keepNext w:val="0"/>
        <w:spacing w:after="50" w:line="252" w:lineRule="auto"/>
        <w:ind w:left="504" w:firstLine="0"/>
      </w:pPr>
      <w:r>
        <w:rPr>
          <w:rFonts w:ascii="Liberation Sans" w:hAnsi="Liberation Sans"/>
          <w:color w:val="1E2D38"/>
          <w:sz w:val="18"/>
        </w:rPr>
        <w:t>A. Assign the assessment independently because completing difficult cases is the fastest way to establish competence.</w:t>
      </w:r>
    </w:p>
    <w:p>
      <w:pPr>
        <w:keepNext w:val="0"/>
        <w:spacing w:after="50" w:line="252" w:lineRule="auto"/>
        <w:ind w:left="504" w:firstLine="0"/>
      </w:pPr>
      <w:r>
        <w:rPr>
          <w:rFonts w:ascii="Liberation Sans" w:hAnsi="Liberation Sans"/>
          <w:color w:val="1E2D38"/>
          <w:sz w:val="18"/>
        </w:rPr>
        <w:t>B. Delegate the assessment if the associate signs a statement accepting full responsibility for any errors.</w:t>
      </w:r>
    </w:p>
    <w:p>
      <w:pPr>
        <w:keepNext w:val="0"/>
        <w:spacing w:after="50" w:line="252" w:lineRule="auto"/>
        <w:ind w:left="504" w:firstLine="0"/>
      </w:pPr>
      <w:r>
        <w:rPr>
          <w:rFonts w:ascii="Liberation Sans" w:hAnsi="Liberation Sans"/>
          <w:color w:val="1E2D38"/>
          <w:sz w:val="18"/>
        </w:rPr>
        <w:t>C. Ask an experienced colleague to be available only after the assessment is finished so the associate's autonomy is preserved.</w:t>
      </w:r>
    </w:p>
    <w:p>
      <w:pPr>
        <w:keepNext w:val="0"/>
        <w:spacing w:after="100" w:line="252" w:lineRule="auto"/>
        <w:ind w:left="504" w:firstLine="0"/>
      </w:pPr>
      <w:r>
        <w:rPr>
          <w:rFonts w:ascii="Liberation Sans" w:hAnsi="Liberation Sans"/>
          <w:color w:val="1E2D38"/>
          <w:sz w:val="18"/>
        </w:rPr>
        <w:t>D. Confirm authority and demonstrated competence, define the task and limits, provide instruction and consultation, set observation and escalation points, and retain supervisory responsibility.</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17. </w:t>
      </w:r>
      <w:r>
        <w:rPr>
          <w:rFonts w:ascii="Liberation Sans" w:hAnsi="Liberation Sans"/>
          <w:b/>
          <w:color w:val="1E2D38"/>
          <w:sz w:val="19"/>
        </w:rPr>
        <w:t>A supervisee repeatedly describes an Indigenous family as “unmotivated” despite evidence that clinic policies conflict with the family's transportation, caregiving, and community obligations. After prior feedback, the supervisee continues the same documentation and discharge recommendations. What should the supervisor do NEXT?</w:t>
      </w:r>
    </w:p>
    <w:p>
      <w:pPr>
        <w:keepNext w:val="0"/>
        <w:spacing w:after="50" w:line="252" w:lineRule="auto"/>
        <w:ind w:left="504" w:firstLine="0"/>
      </w:pPr>
      <w:r>
        <w:rPr>
          <w:rFonts w:ascii="Liberation Sans" w:hAnsi="Liberation Sans"/>
          <w:color w:val="1E2D38"/>
          <w:sz w:val="18"/>
        </w:rPr>
        <w:t>A. Protect clients, review observable work and context, give behaviorally specific feedback, set documented remediation and monitoring criteria, provide supports, and escalate gatekeeping if needed.</w:t>
      </w:r>
    </w:p>
    <w:p>
      <w:pPr>
        <w:keepNext w:val="0"/>
        <w:spacing w:after="50" w:line="252" w:lineRule="auto"/>
        <w:ind w:left="504" w:firstLine="0"/>
      </w:pPr>
      <w:r>
        <w:rPr>
          <w:rFonts w:ascii="Liberation Sans" w:hAnsi="Liberation Sans"/>
          <w:color w:val="1E2D38"/>
          <w:sz w:val="18"/>
        </w:rPr>
        <w:t>B. Avoid further discussion of bias and focus on general documentation style because evaluative power may make the supervisee defensive.</w:t>
      </w:r>
    </w:p>
    <w:p>
      <w:pPr>
        <w:keepNext w:val="0"/>
        <w:spacing w:after="50" w:line="252" w:lineRule="auto"/>
        <w:ind w:left="504" w:firstLine="0"/>
      </w:pPr>
      <w:r>
        <w:rPr>
          <w:rFonts w:ascii="Liberation Sans" w:hAnsi="Liberation Sans"/>
          <w:color w:val="1E2D38"/>
          <w:sz w:val="18"/>
        </w:rPr>
        <w:t>C. Rewrite the notes privately and advise the supervisee to use neutral wording while continuing the same cases without added oversight.</w:t>
      </w:r>
    </w:p>
    <w:p>
      <w:pPr>
        <w:keepNext w:val="0"/>
        <w:spacing w:after="100" w:line="252" w:lineRule="auto"/>
        <w:ind w:left="504" w:firstLine="0"/>
      </w:pPr>
      <w:r>
        <w:rPr>
          <w:rFonts w:ascii="Liberation Sans" w:hAnsi="Liberation Sans"/>
          <w:color w:val="1E2D38"/>
          <w:sz w:val="18"/>
        </w:rPr>
        <w:t>D. End supervision and report incompetence immediately without following current authority, due process, remediation, documentation, or client-continuity responsibilities.</w:t>
      </w:r>
      <w:r>
        <w:br/>
      </w:r>
      <w:r>
        <w:rPr>
          <w:rFonts w:ascii="Liberation Sans" w:hAnsi="Liberation Sans"/>
          <w:color w:val="5A6872"/>
          <w:sz w:val="17"/>
        </w:rPr>
        <w:t>Answer: ______    Confidence:  [ ] 1 Guess    [ ] 2 Low    [ ] 3 Moderate    [ ] 4 High</w:t>
      </w:r>
    </w:p>
    <w:p>
      <w:pPr>
        <w:pStyle w:val="Heading1"/>
        <w:pageBreakBefore/>
        <w:spacing w:before="640"/>
      </w:pPr>
      <w:r>
        <w:t>Score Recording and Remediation</w:t>
      </w:r>
    </w:p>
    <w:tbl>
      <w:tblPr>
        <w:tblW w:type="dxa" w:w="10560"/>
        <w:jc w:val="center"/>
        <w:tblLayout w:type="fixed"/>
        <w:tblLook w:firstColumn="1" w:firstRow="1" w:lastColumn="0" w:lastRow="0" w:noHBand="0" w:noVBand="1" w:val="04A0"/>
        <w:tblInd w:w="0" w:type="dxa"/>
      </w:tblPr>
      <w:tblGrid>
        <w:gridCol w:w="10560"/>
      </w:tblGrid>
      <w:tr>
        <w:trPr>
          <w:tblHeader w:val="true"/>
          <w:cantSplit/>
        </w:trPr>
        <w:tc>
          <w:tcPr>
            <w:tcW w:type="dxa" w:w="10560"/>
            <w:shd w:fill="EAF1F7"/>
            <w:tcMar>
              <w:top w:w="125" w:type="dxa"/>
              <w:start w:w="180" w:type="dxa"/>
              <w:bottom w:w="125" w:type="dxa"/>
              <w:end w:w="180" w:type="dxa"/>
            </w:tcMar>
          </w:tcPr>
          <w:p>
            <w:pPr>
              <w:spacing w:after="0" w:line="252" w:lineRule="auto"/>
            </w:pPr>
            <w:r>
              <w:rPr>
                <w:rFonts w:ascii="Liberation Sans" w:hAnsi="Liberation Sans"/>
                <w:b/>
                <w:color w:val="12385B"/>
                <w:sz w:val="18"/>
              </w:rPr>
              <w:t xml:space="preserve">RELEASE CONTROL:  </w:t>
            </w:r>
            <w:r>
              <w:rPr>
                <w:rFonts w:ascii="Liberation Sans" w:hAnsi="Liberation Sans"/>
                <w:color w:val="1E2D38"/>
                <w:sz w:val="18"/>
              </w:rPr>
              <w:t>Record your first attempt before opening the separately controlled answer key and detailed rationales.</w:t>
            </w:r>
          </w:p>
        </w:tc>
      </w:tr>
    </w:tbl>
    <w:p>
      <w:pPr>
        <w:spacing w:after="40"/>
      </w:pPr>
    </w:p>
    <w:p>
      <w:pPr>
        <w:pStyle w:val="Heading2"/>
      </w:pPr>
      <w:r>
        <w:t>First-Attempt Record</w:t>
      </w:r>
    </w:p>
    <w:tbl>
      <w:tblPr>
        <w:tblW w:type="dxa" w:w="10560"/>
        <w:jc w:val="center"/>
        <w:tblLayout w:type="fixed"/>
        <w:tblLook w:firstColumn="1" w:firstRow="1" w:lastColumn="0" w:lastRow="0" w:noHBand="0" w:noVBand="1" w:val="04A0"/>
        <w:tblInd w:w="0" w:type="dxa"/>
      </w:tblPr>
      <w:tblGrid>
        <w:gridCol w:w="2100"/>
        <w:gridCol w:w="3180"/>
        <w:gridCol w:w="2100"/>
        <w:gridCol w:w="3180"/>
      </w:tblGrid>
      <w:tr>
        <w:trPr>
          <w:tblHeader w:val="true"/>
          <w:cantSplit/>
        </w:trPr>
        <w:tc>
          <w:tcPr>
            <w:tcW w:type="dxa" w:w="2100"/>
            <w:shd w:fill="12385B"/>
            <w:tcMar>
              <w:top w:w="90" w:type="dxa"/>
              <w:start w:w="120" w:type="dxa"/>
              <w:bottom w:w="90" w:type="dxa"/>
              <w:end w:w="120" w:type="dxa"/>
            </w:tcMar>
            <w:vAlign w:val="center"/>
          </w:tcPr>
          <w:p>
            <w:pPr>
              <w:spacing w:after="0"/>
            </w:pPr>
            <w:r/>
            <w:r>
              <w:rPr>
                <w:rFonts w:ascii="Liberation Sans" w:hAnsi="Liberation Sans"/>
                <w:b/>
                <w:color w:val="FFFFFF"/>
                <w:sz w:val="16"/>
              </w:rPr>
              <w:t>Measure</w:t>
            </w:r>
          </w:p>
        </w:tc>
        <w:tc>
          <w:tcPr>
            <w:tcW w:type="dxa" w:w="3180"/>
            <w:shd w:fill="12385B"/>
            <w:tcMar>
              <w:top w:w="90" w:type="dxa"/>
              <w:start w:w="120" w:type="dxa"/>
              <w:bottom w:w="90" w:type="dxa"/>
              <w:end w:w="120" w:type="dxa"/>
            </w:tcMar>
            <w:vAlign w:val="center"/>
          </w:tcPr>
          <w:p>
            <w:pPr>
              <w:spacing w:after="0"/>
            </w:pPr>
            <w:r/>
            <w:r>
              <w:rPr>
                <w:rFonts w:ascii="Liberation Sans" w:hAnsi="Liberation Sans"/>
                <w:b/>
                <w:color w:val="FFFFFF"/>
                <w:sz w:val="16"/>
              </w:rPr>
              <w:t>Entry</w:t>
            </w:r>
          </w:p>
        </w:tc>
        <w:tc>
          <w:tcPr>
            <w:tcW w:type="dxa" w:w="2100"/>
            <w:shd w:fill="12385B"/>
            <w:tcMar>
              <w:top w:w="90" w:type="dxa"/>
              <w:start w:w="120" w:type="dxa"/>
              <w:bottom w:w="90" w:type="dxa"/>
              <w:end w:w="120" w:type="dxa"/>
            </w:tcMar>
            <w:vAlign w:val="center"/>
          </w:tcPr>
          <w:p>
            <w:pPr>
              <w:spacing w:after="0"/>
            </w:pPr>
            <w:r/>
            <w:r>
              <w:rPr>
                <w:rFonts w:ascii="Liberation Sans" w:hAnsi="Liberation Sans"/>
                <w:b/>
                <w:color w:val="FFFFFF"/>
                <w:sz w:val="16"/>
              </w:rPr>
              <w:t>Measure</w:t>
            </w:r>
          </w:p>
        </w:tc>
        <w:tc>
          <w:tcPr>
            <w:tcW w:type="dxa" w:w="3180"/>
            <w:shd w:fill="12385B"/>
            <w:tcMar>
              <w:top w:w="90" w:type="dxa"/>
              <w:start w:w="120" w:type="dxa"/>
              <w:bottom w:w="90" w:type="dxa"/>
              <w:end w:w="120" w:type="dxa"/>
            </w:tcMar>
            <w:vAlign w:val="center"/>
          </w:tcPr>
          <w:p>
            <w:pPr>
              <w:spacing w:after="0"/>
            </w:pPr>
            <w:r/>
            <w:r>
              <w:rPr>
                <w:rFonts w:ascii="Liberation Sans" w:hAnsi="Liberation Sans"/>
                <w:b/>
                <w:color w:val="FFFFFF"/>
                <w:sz w:val="16"/>
              </w:rPr>
              <w:t>Entry</w:t>
            </w:r>
          </w:p>
        </w:tc>
      </w:tr>
      <w:tr>
        <w:trPr>
          <w:cantSplit/>
        </w:trPr>
        <w:tc>
          <w:tcPr>
            <w:tcW w:type="dxa" w:w="2100"/>
            <w:tcMar>
              <w:top w:w="85" w:type="dxa"/>
              <w:start w:w="120" w:type="dxa"/>
              <w:bottom w:w="85" w:type="dxa"/>
              <w:end w:w="120" w:type="dxa"/>
            </w:tcMar>
            <w:vAlign w:val="center"/>
          </w:tcPr>
          <w:p>
            <w:pPr>
              <w:spacing w:after="0" w:line="240" w:lineRule="auto"/>
            </w:pPr>
            <w:r/>
            <w:r>
              <w:rPr>
                <w:rFonts w:ascii="Liberation Sans" w:hAnsi="Liberation Sans"/>
                <w:color w:val="1E2D38"/>
                <w:sz w:val="16"/>
              </w:rPr>
              <w:t>Correct</w:t>
            </w:r>
          </w:p>
        </w:tc>
        <w:tc>
          <w:tcPr>
            <w:tcW w:type="dxa" w:w="3180"/>
            <w:tcMar>
              <w:top w:w="85" w:type="dxa"/>
              <w:start w:w="120" w:type="dxa"/>
              <w:bottom w:w="85" w:type="dxa"/>
              <w:end w:w="120" w:type="dxa"/>
            </w:tcMar>
            <w:vAlign w:val="center"/>
          </w:tcPr>
          <w:p>
            <w:pPr>
              <w:spacing w:after="0" w:line="240" w:lineRule="auto"/>
            </w:pPr>
            <w:r/>
            <w:r>
              <w:rPr>
                <w:rFonts w:ascii="Liberation Sans" w:hAnsi="Liberation Sans"/>
                <w:color w:val="1E2D38"/>
                <w:sz w:val="16"/>
              </w:rPr>
              <w:t>____ / 17</w:t>
            </w:r>
          </w:p>
        </w:tc>
        <w:tc>
          <w:tcPr>
            <w:tcW w:type="dxa" w:w="2100"/>
            <w:tcMar>
              <w:top w:w="85" w:type="dxa"/>
              <w:start w:w="120" w:type="dxa"/>
              <w:bottom w:w="85" w:type="dxa"/>
              <w:end w:w="120" w:type="dxa"/>
            </w:tcMar>
            <w:vAlign w:val="center"/>
          </w:tcPr>
          <w:p>
            <w:pPr>
              <w:spacing w:after="0" w:line="240" w:lineRule="auto"/>
            </w:pPr>
            <w:r/>
            <w:r>
              <w:rPr>
                <w:rFonts w:ascii="Liberation Sans" w:hAnsi="Liberation Sans"/>
                <w:color w:val="1E2D38"/>
                <w:sz w:val="16"/>
              </w:rPr>
              <w:t>Percentage</w:t>
            </w:r>
          </w:p>
        </w:tc>
        <w:tc>
          <w:tcPr>
            <w:tcW w:type="dxa" w:w="3180"/>
            <w:tcMar>
              <w:top w:w="85" w:type="dxa"/>
              <w:start w:w="120" w:type="dxa"/>
              <w:bottom w:w="85" w:type="dxa"/>
              <w:end w:w="120" w:type="dxa"/>
            </w:tcMar>
            <w:vAlign w:val="center"/>
          </w:tcPr>
          <w:p>
            <w:pPr>
              <w:spacing w:after="0" w:line="240" w:lineRule="auto"/>
            </w:pPr>
            <w:r/>
            <w:r>
              <w:rPr>
                <w:rFonts w:ascii="Liberation Sans" w:hAnsi="Liberation Sans"/>
                <w:color w:val="1E2D38"/>
                <w:sz w:val="16"/>
              </w:rPr>
              <w:t>________ %</w:t>
            </w:r>
          </w:p>
        </w:tc>
      </w:tr>
      <w:tr>
        <w:trPr>
          <w:cantSplit/>
        </w:trPr>
        <w:tc>
          <w:tcPr>
            <w:tcW w:type="dxa" w:w="21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Time used</w:t>
            </w:r>
          </w:p>
        </w:tc>
        <w:tc>
          <w:tcPr>
            <w:tcW w:type="dxa" w:w="318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________ minutes</w:t>
            </w:r>
          </w:p>
        </w:tc>
        <w:tc>
          <w:tcPr>
            <w:tcW w:type="dxa" w:w="21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Within 23 min?</w:t>
            </w:r>
          </w:p>
        </w:tc>
        <w:tc>
          <w:tcPr>
            <w:tcW w:type="dxa" w:w="318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 ] Yes  [ ] No</w:t>
            </w:r>
          </w:p>
        </w:tc>
      </w:tr>
      <w:tr>
        <w:trPr>
          <w:cantSplit/>
        </w:trPr>
        <w:tc>
          <w:tcPr>
            <w:tcW w:type="dxa" w:w="2100"/>
            <w:tcMar>
              <w:top w:w="85" w:type="dxa"/>
              <w:start w:w="120" w:type="dxa"/>
              <w:bottom w:w="85" w:type="dxa"/>
              <w:end w:w="120" w:type="dxa"/>
            </w:tcMar>
            <w:vAlign w:val="center"/>
          </w:tcPr>
          <w:p>
            <w:pPr>
              <w:spacing w:after="0" w:line="240" w:lineRule="auto"/>
            </w:pPr>
            <w:r/>
            <w:r>
              <w:rPr>
                <w:rFonts w:ascii="Liberation Sans" w:hAnsi="Liberation Sans"/>
                <w:color w:val="1E2D38"/>
                <w:sz w:val="16"/>
              </w:rPr>
              <w:t>High-confidence correct</w:t>
            </w:r>
          </w:p>
        </w:tc>
        <w:tc>
          <w:tcPr>
            <w:tcW w:type="dxa" w:w="3180"/>
            <w:tcMar>
              <w:top w:w="85" w:type="dxa"/>
              <w:start w:w="120" w:type="dxa"/>
              <w:bottom w:w="85" w:type="dxa"/>
              <w:end w:w="120" w:type="dxa"/>
            </w:tcMar>
            <w:vAlign w:val="center"/>
          </w:tcPr>
          <w:p>
            <w:pPr>
              <w:spacing w:after="0" w:line="240" w:lineRule="auto"/>
            </w:pPr>
            <w:r/>
            <w:r>
              <w:rPr>
                <w:rFonts w:ascii="Liberation Sans" w:hAnsi="Liberation Sans"/>
                <w:color w:val="1E2D38"/>
                <w:sz w:val="16"/>
              </w:rPr>
              <w:t>________</w:t>
            </w:r>
          </w:p>
        </w:tc>
        <w:tc>
          <w:tcPr>
            <w:tcW w:type="dxa" w:w="2100"/>
            <w:tcMar>
              <w:top w:w="85" w:type="dxa"/>
              <w:start w:w="120" w:type="dxa"/>
              <w:bottom w:w="85" w:type="dxa"/>
              <w:end w:w="120" w:type="dxa"/>
            </w:tcMar>
            <w:vAlign w:val="center"/>
          </w:tcPr>
          <w:p>
            <w:pPr>
              <w:spacing w:after="0" w:line="240" w:lineRule="auto"/>
            </w:pPr>
            <w:r/>
            <w:r>
              <w:rPr>
                <w:rFonts w:ascii="Liberation Sans" w:hAnsi="Liberation Sans"/>
                <w:color w:val="1E2D38"/>
                <w:sz w:val="16"/>
              </w:rPr>
              <w:t>Low-confidence correct</w:t>
            </w:r>
          </w:p>
        </w:tc>
        <w:tc>
          <w:tcPr>
            <w:tcW w:type="dxa" w:w="3180"/>
            <w:tcMar>
              <w:top w:w="85" w:type="dxa"/>
              <w:start w:w="120" w:type="dxa"/>
              <w:bottom w:w="85" w:type="dxa"/>
              <w:end w:w="120" w:type="dxa"/>
            </w:tcMar>
            <w:vAlign w:val="center"/>
          </w:tcPr>
          <w:p>
            <w:pPr>
              <w:spacing w:after="0" w:line="240" w:lineRule="auto"/>
            </w:pPr>
            <w:r/>
            <w:r>
              <w:rPr>
                <w:rFonts w:ascii="Liberation Sans" w:hAnsi="Liberation Sans"/>
                <w:color w:val="1E2D38"/>
                <w:sz w:val="16"/>
              </w:rPr>
              <w:t>________</w:t>
            </w:r>
          </w:p>
        </w:tc>
      </w:tr>
      <w:tr>
        <w:trPr>
          <w:cantSplit/>
        </w:trPr>
        <w:tc>
          <w:tcPr>
            <w:tcW w:type="dxa" w:w="21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Incorrect</w:t>
            </w:r>
          </w:p>
        </w:tc>
        <w:tc>
          <w:tcPr>
            <w:tcW w:type="dxa" w:w="318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________</w:t>
            </w:r>
          </w:p>
        </w:tc>
        <w:tc>
          <w:tcPr>
            <w:tcW w:type="dxa" w:w="21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Unanswered</w:t>
            </w:r>
          </w:p>
        </w:tc>
        <w:tc>
          <w:tcPr>
            <w:tcW w:type="dxa" w:w="318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________</w:t>
            </w:r>
          </w:p>
        </w:tc>
      </w:tr>
      <w:tr>
        <w:trPr>
          <w:cantSplit/>
        </w:trPr>
        <w:tc>
          <w:tcPr>
            <w:tcW w:type="dxa" w:w="2100"/>
            <w:tcMar>
              <w:top w:w="85" w:type="dxa"/>
              <w:start w:w="120" w:type="dxa"/>
              <w:bottom w:w="85" w:type="dxa"/>
              <w:end w:w="120" w:type="dxa"/>
            </w:tcMar>
            <w:vAlign w:val="center"/>
          </w:tcPr>
          <w:p>
            <w:pPr>
              <w:spacing w:after="0" w:line="240" w:lineRule="auto"/>
            </w:pPr>
            <w:r/>
            <w:r>
              <w:rPr>
                <w:rFonts w:ascii="Liberation Sans" w:hAnsi="Liberation Sans"/>
                <w:color w:val="1E2D38"/>
                <w:sz w:val="16"/>
              </w:rPr>
              <w:t>Retake date</w:t>
            </w:r>
          </w:p>
        </w:tc>
        <w:tc>
          <w:tcPr>
            <w:tcW w:type="dxa" w:w="3180"/>
            <w:tcMar>
              <w:top w:w="85" w:type="dxa"/>
              <w:start w:w="120" w:type="dxa"/>
              <w:bottom w:w="85" w:type="dxa"/>
              <w:end w:w="120" w:type="dxa"/>
            </w:tcMar>
            <w:vAlign w:val="center"/>
          </w:tcPr>
          <w:p>
            <w:pPr>
              <w:spacing w:after="0" w:line="240" w:lineRule="auto"/>
            </w:pPr>
            <w:r/>
            <w:r>
              <w:rPr>
                <w:rFonts w:ascii="Liberation Sans" w:hAnsi="Liberation Sans"/>
                <w:color w:val="1E2D38"/>
                <w:sz w:val="16"/>
              </w:rPr>
              <w:t>________________</w:t>
            </w:r>
          </w:p>
        </w:tc>
        <w:tc>
          <w:tcPr>
            <w:tcW w:type="dxa" w:w="2100"/>
            <w:tcMar>
              <w:top w:w="85" w:type="dxa"/>
              <w:start w:w="120" w:type="dxa"/>
              <w:bottom w:w="85" w:type="dxa"/>
              <w:end w:w="120" w:type="dxa"/>
            </w:tcMar>
            <w:vAlign w:val="center"/>
          </w:tcPr>
          <w:p>
            <w:pPr>
              <w:spacing w:after="0" w:line="240" w:lineRule="auto"/>
            </w:pPr>
            <w:r/>
            <w:r>
              <w:rPr>
                <w:rFonts w:ascii="Liberation Sans" w:hAnsi="Liberation Sans"/>
                <w:color w:val="1E2D38"/>
                <w:sz w:val="16"/>
              </w:rPr>
              <w:t>Retake score</w:t>
            </w:r>
          </w:p>
        </w:tc>
        <w:tc>
          <w:tcPr>
            <w:tcW w:type="dxa" w:w="3180"/>
            <w:tcMar>
              <w:top w:w="85" w:type="dxa"/>
              <w:start w:w="120" w:type="dxa"/>
              <w:bottom w:w="85" w:type="dxa"/>
              <w:end w:w="120" w:type="dxa"/>
            </w:tcMar>
            <w:vAlign w:val="center"/>
          </w:tcPr>
          <w:p>
            <w:pPr>
              <w:spacing w:after="0" w:line="240" w:lineRule="auto"/>
            </w:pPr>
            <w:r/>
            <w:r>
              <w:rPr>
                <w:rFonts w:ascii="Liberation Sans" w:hAnsi="Liberation Sans"/>
                <w:color w:val="1E2D38"/>
                <w:sz w:val="16"/>
              </w:rPr>
              <w:t>____ / 17</w:t>
            </w:r>
          </w:p>
        </w:tc>
      </w:tr>
    </w:tbl>
    <w:p>
      <w:pPr>
        <w:spacing w:after="40"/>
      </w:pPr>
    </w:p>
    <w:p>
      <w:pPr>
        <w:pStyle w:val="Heading2"/>
      </w:pPr>
      <w:r>
        <w:t>Item Review Log</w:t>
      </w:r>
    </w:p>
    <w:tbl>
      <w:tblPr>
        <w:tblW w:type="dxa" w:w="10560"/>
        <w:jc w:val="center"/>
        <w:tblLayout w:type="fixed"/>
        <w:tblLook w:firstColumn="1" w:firstRow="1" w:lastColumn="0" w:lastRow="0" w:noHBand="0" w:noVBand="1" w:val="04A0"/>
        <w:tblInd w:w="0" w:type="dxa"/>
      </w:tblPr>
      <w:tblGrid>
        <w:gridCol w:w="700"/>
        <w:gridCol w:w="1250"/>
        <w:gridCol w:w="1500"/>
        <w:gridCol w:w="2700"/>
        <w:gridCol w:w="4410"/>
      </w:tblGrid>
      <w:tr>
        <w:trPr>
          <w:tblHeader w:val="true"/>
          <w:cantSplit/>
        </w:trPr>
        <w:tc>
          <w:tcPr>
            <w:tcW w:type="dxa" w:w="700"/>
            <w:shd w:fill="12385B"/>
            <w:tcMar>
              <w:top w:w="90" w:type="dxa"/>
              <w:start w:w="120" w:type="dxa"/>
              <w:bottom w:w="90" w:type="dxa"/>
              <w:end w:w="120" w:type="dxa"/>
            </w:tcMar>
            <w:vAlign w:val="center"/>
          </w:tcPr>
          <w:p>
            <w:pPr>
              <w:spacing w:after="0"/>
            </w:pPr>
            <w:r/>
            <w:r>
              <w:rPr>
                <w:rFonts w:ascii="Liberation Sans" w:hAnsi="Liberation Sans"/>
                <w:b/>
                <w:color w:val="FFFFFF"/>
                <w:sz w:val="16"/>
              </w:rPr>
              <w:t>Item</w:t>
            </w:r>
          </w:p>
        </w:tc>
        <w:tc>
          <w:tcPr>
            <w:tcW w:type="dxa" w:w="1250"/>
            <w:shd w:fill="12385B"/>
            <w:tcMar>
              <w:top w:w="90" w:type="dxa"/>
              <w:start w:w="120" w:type="dxa"/>
              <w:bottom w:w="90" w:type="dxa"/>
              <w:end w:w="120" w:type="dxa"/>
            </w:tcMar>
            <w:vAlign w:val="center"/>
          </w:tcPr>
          <w:p>
            <w:pPr>
              <w:spacing w:after="0"/>
            </w:pPr>
            <w:r/>
            <w:r>
              <w:rPr>
                <w:rFonts w:ascii="Liberation Sans" w:hAnsi="Liberation Sans"/>
                <w:b/>
                <w:color w:val="FFFFFF"/>
                <w:sz w:val="16"/>
              </w:rPr>
              <w:t>Result</w:t>
            </w:r>
          </w:p>
        </w:tc>
        <w:tc>
          <w:tcPr>
            <w:tcW w:type="dxa" w:w="1500"/>
            <w:shd w:fill="12385B"/>
            <w:tcMar>
              <w:top w:w="90" w:type="dxa"/>
              <w:start w:w="120" w:type="dxa"/>
              <w:bottom w:w="90" w:type="dxa"/>
              <w:end w:w="120" w:type="dxa"/>
            </w:tcMar>
            <w:vAlign w:val="center"/>
          </w:tcPr>
          <w:p>
            <w:pPr>
              <w:spacing w:after="0"/>
            </w:pPr>
            <w:r/>
            <w:r>
              <w:rPr>
                <w:rFonts w:ascii="Liberation Sans" w:hAnsi="Liberation Sans"/>
                <w:b/>
                <w:color w:val="FFFFFF"/>
                <w:sz w:val="16"/>
              </w:rPr>
              <w:t>Confidence</w:t>
            </w:r>
          </w:p>
        </w:tc>
        <w:tc>
          <w:tcPr>
            <w:tcW w:type="dxa" w:w="2700"/>
            <w:shd w:fill="12385B"/>
            <w:tcMar>
              <w:top w:w="90" w:type="dxa"/>
              <w:start w:w="120" w:type="dxa"/>
              <w:bottom w:w="90" w:type="dxa"/>
              <w:end w:w="120" w:type="dxa"/>
            </w:tcMar>
            <w:vAlign w:val="center"/>
          </w:tcPr>
          <w:p>
            <w:pPr>
              <w:spacing w:after="0"/>
            </w:pPr>
            <w:r/>
            <w:r>
              <w:rPr>
                <w:rFonts w:ascii="Liberation Sans" w:hAnsi="Liberation Sans"/>
                <w:b/>
                <w:color w:val="FFFFFF"/>
                <w:sz w:val="16"/>
              </w:rPr>
              <w:t>Reasoning pattern</w:t>
            </w:r>
          </w:p>
        </w:tc>
        <w:tc>
          <w:tcPr>
            <w:tcW w:type="dxa" w:w="4410"/>
            <w:shd w:fill="12385B"/>
            <w:tcMar>
              <w:top w:w="90" w:type="dxa"/>
              <w:start w:w="120" w:type="dxa"/>
              <w:bottom w:w="90" w:type="dxa"/>
              <w:end w:w="120" w:type="dxa"/>
            </w:tcMar>
            <w:vAlign w:val="center"/>
          </w:tcPr>
          <w:p>
            <w:pPr>
              <w:spacing w:after="0"/>
            </w:pPr>
            <w:r/>
            <w:r>
              <w:rPr>
                <w:rFonts w:ascii="Liberation Sans" w:hAnsi="Liberation Sans"/>
                <w:b/>
                <w:color w:val="FFFFFF"/>
                <w:sz w:val="16"/>
              </w:rPr>
              <w:t>Transfer rule / next action</w:t>
            </w:r>
          </w:p>
        </w:tc>
      </w:tr>
      <w:tr>
        <w:trPr>
          <w:cantSplit/>
        </w:trPr>
        <w:tc>
          <w:tcPr>
            <w:tcW w:type="dxa" w:w="700"/>
            <w:tcMar>
              <w:top w:w="35" w:type="dxa"/>
              <w:start w:w="120" w:type="dxa"/>
              <w:bottom w:w="35" w:type="dxa"/>
              <w:end w:w="120" w:type="dxa"/>
            </w:tcMar>
            <w:vAlign w:val="center"/>
          </w:tcPr>
          <w:p>
            <w:pPr>
              <w:spacing w:after="0" w:line="240" w:lineRule="auto"/>
            </w:pPr>
            <w:r/>
            <w:r>
              <w:rPr>
                <w:rFonts w:ascii="Liberation Sans" w:hAnsi="Liberation Sans"/>
                <w:color w:val="1E2D38"/>
                <w:sz w:val="15"/>
              </w:rPr>
              <w:t>1</w:t>
            </w:r>
          </w:p>
        </w:tc>
        <w:tc>
          <w:tcPr>
            <w:tcW w:type="dxa" w:w="125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t>2</w:t>
            </w:r>
          </w:p>
        </w:tc>
        <w:tc>
          <w:tcPr>
            <w:tcW w:type="dxa" w:w="125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tcPr>
          <w:p>
            <w:pPr>
              <w:spacing w:after="0" w:line="240" w:lineRule="auto"/>
            </w:pPr>
            <w:r/>
            <w:r>
              <w:rPr>
                <w:rFonts w:ascii="Liberation Sans" w:hAnsi="Liberation Sans"/>
                <w:color w:val="1E2D38"/>
                <w:sz w:val="15"/>
              </w:rPr>
              <w:t>3</w:t>
            </w:r>
          </w:p>
        </w:tc>
        <w:tc>
          <w:tcPr>
            <w:tcW w:type="dxa" w:w="125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t>4</w:t>
            </w:r>
          </w:p>
        </w:tc>
        <w:tc>
          <w:tcPr>
            <w:tcW w:type="dxa" w:w="125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tcPr>
          <w:p>
            <w:pPr>
              <w:spacing w:after="0" w:line="240" w:lineRule="auto"/>
            </w:pPr>
            <w:r/>
            <w:r>
              <w:rPr>
                <w:rFonts w:ascii="Liberation Sans" w:hAnsi="Liberation Sans"/>
                <w:color w:val="1E2D38"/>
                <w:sz w:val="15"/>
              </w:rPr>
              <w:t>5</w:t>
            </w:r>
          </w:p>
        </w:tc>
        <w:tc>
          <w:tcPr>
            <w:tcW w:type="dxa" w:w="125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t>6</w:t>
            </w:r>
          </w:p>
        </w:tc>
        <w:tc>
          <w:tcPr>
            <w:tcW w:type="dxa" w:w="125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tcPr>
          <w:p>
            <w:pPr>
              <w:spacing w:after="0" w:line="240" w:lineRule="auto"/>
            </w:pPr>
            <w:r/>
            <w:r>
              <w:rPr>
                <w:rFonts w:ascii="Liberation Sans" w:hAnsi="Liberation Sans"/>
                <w:color w:val="1E2D38"/>
                <w:sz w:val="15"/>
              </w:rPr>
              <w:t>7</w:t>
            </w:r>
          </w:p>
        </w:tc>
        <w:tc>
          <w:tcPr>
            <w:tcW w:type="dxa" w:w="125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t>8</w:t>
            </w:r>
          </w:p>
        </w:tc>
        <w:tc>
          <w:tcPr>
            <w:tcW w:type="dxa" w:w="125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tcPr>
          <w:p>
            <w:pPr>
              <w:spacing w:after="0" w:line="240" w:lineRule="auto"/>
            </w:pPr>
            <w:r/>
            <w:r>
              <w:rPr>
                <w:rFonts w:ascii="Liberation Sans" w:hAnsi="Liberation Sans"/>
                <w:color w:val="1E2D38"/>
                <w:sz w:val="15"/>
              </w:rPr>
              <w:t>9</w:t>
            </w:r>
          </w:p>
        </w:tc>
        <w:tc>
          <w:tcPr>
            <w:tcW w:type="dxa" w:w="125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t>10</w:t>
            </w:r>
          </w:p>
        </w:tc>
        <w:tc>
          <w:tcPr>
            <w:tcW w:type="dxa" w:w="125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tcPr>
          <w:p>
            <w:pPr>
              <w:spacing w:after="0" w:line="240" w:lineRule="auto"/>
            </w:pPr>
            <w:r/>
            <w:r>
              <w:rPr>
                <w:rFonts w:ascii="Liberation Sans" w:hAnsi="Liberation Sans"/>
                <w:color w:val="1E2D38"/>
                <w:sz w:val="15"/>
              </w:rPr>
              <w:t>11</w:t>
            </w:r>
          </w:p>
        </w:tc>
        <w:tc>
          <w:tcPr>
            <w:tcW w:type="dxa" w:w="125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t>12</w:t>
            </w:r>
          </w:p>
        </w:tc>
        <w:tc>
          <w:tcPr>
            <w:tcW w:type="dxa" w:w="125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tcPr>
          <w:p>
            <w:pPr>
              <w:spacing w:after="0" w:line="240" w:lineRule="auto"/>
            </w:pPr>
            <w:r/>
            <w:r>
              <w:rPr>
                <w:rFonts w:ascii="Liberation Sans" w:hAnsi="Liberation Sans"/>
                <w:color w:val="1E2D38"/>
                <w:sz w:val="15"/>
              </w:rPr>
              <w:t>13</w:t>
            </w:r>
          </w:p>
        </w:tc>
        <w:tc>
          <w:tcPr>
            <w:tcW w:type="dxa" w:w="125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t>14</w:t>
            </w:r>
          </w:p>
        </w:tc>
        <w:tc>
          <w:tcPr>
            <w:tcW w:type="dxa" w:w="125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tcPr>
          <w:p>
            <w:pPr>
              <w:spacing w:after="0" w:line="240" w:lineRule="auto"/>
            </w:pPr>
            <w:r/>
            <w:r>
              <w:rPr>
                <w:rFonts w:ascii="Liberation Sans" w:hAnsi="Liberation Sans"/>
                <w:color w:val="1E2D38"/>
                <w:sz w:val="15"/>
              </w:rPr>
              <w:t>15</w:t>
            </w:r>
          </w:p>
        </w:tc>
        <w:tc>
          <w:tcPr>
            <w:tcW w:type="dxa" w:w="125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t>16</w:t>
            </w:r>
          </w:p>
        </w:tc>
        <w:tc>
          <w:tcPr>
            <w:tcW w:type="dxa" w:w="125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tcPr>
          <w:p>
            <w:pPr>
              <w:spacing w:after="0" w:line="240" w:lineRule="auto"/>
            </w:pPr>
            <w:r/>
            <w:r>
              <w:rPr>
                <w:rFonts w:ascii="Liberation Sans" w:hAnsi="Liberation Sans"/>
                <w:color w:val="1E2D38"/>
                <w:sz w:val="15"/>
              </w:rPr>
              <w:t>17</w:t>
            </w:r>
          </w:p>
        </w:tc>
        <w:tc>
          <w:tcPr>
            <w:tcW w:type="dxa" w:w="125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r>
    </w:tbl>
    <w:p>
      <w:pPr>
        <w:spacing w:after="40"/>
      </w:pPr>
    </w:p>
    <w:p>
      <w:pPr>
        <w:pStyle w:val="Heading2"/>
        <w:pageBreakBefore/>
        <w:spacing w:before="640"/>
      </w:pPr>
      <w:r>
        <w:t>Remediation and Readiness Plan</w:t>
      </w:r>
    </w:p>
    <w:p>
      <w:pPr>
        <w:spacing w:after="40"/>
      </w:pPr>
      <w:r>
        <w:rPr>
          <w:rFonts w:ascii="Liberation Sans" w:hAnsi="Liberation Sans"/>
          <w:b/>
          <w:color w:val="12385B"/>
          <w:sz w:val="18"/>
        </w:rPr>
        <w:t>Items missed or answered with confidence 1-2:</w:t>
      </w:r>
    </w:p>
    <w:p>
      <w:pPr>
        <w:spacing w:after="120"/>
      </w:pPr>
      <w:r>
        <w:rPr>
          <w:rFonts w:ascii="Liberation Sans" w:hAnsi="Liberation Sans"/>
          <w:color w:val="5A6872"/>
          <w:sz w:val="18"/>
        </w:rPr>
        <w:t>______________________________________________________________________________________</w:t>
      </w:r>
    </w:p>
    <w:p>
      <w:pPr>
        <w:spacing w:after="40"/>
      </w:pPr>
      <w:r>
        <w:rPr>
          <w:rFonts w:ascii="Liberation Sans" w:hAnsi="Liberation Sans"/>
          <w:b/>
          <w:color w:val="12385B"/>
          <w:sz w:val="18"/>
        </w:rPr>
        <w:t>Most frequent reasoning error:</w:t>
      </w:r>
    </w:p>
    <w:p>
      <w:pPr>
        <w:spacing w:after="120"/>
      </w:pPr>
      <w:r>
        <w:rPr>
          <w:rFonts w:ascii="Liberation Sans" w:hAnsi="Liberation Sans"/>
          <w:color w:val="5A6872"/>
          <w:sz w:val="18"/>
        </w:rPr>
        <w:t>______________________________________________________________________________________</w:t>
      </w:r>
    </w:p>
    <w:p>
      <w:pPr>
        <w:spacing w:after="40"/>
      </w:pPr>
      <w:r>
        <w:rPr>
          <w:rFonts w:ascii="Liberation Sans" w:hAnsi="Liberation Sans"/>
          <w:b/>
          <w:color w:val="12385B"/>
          <w:sz w:val="18"/>
        </w:rPr>
        <w:t>Workbook chapter or CTA tool to review:</w:t>
      </w:r>
    </w:p>
    <w:p>
      <w:pPr>
        <w:spacing w:after="120"/>
      </w:pPr>
      <w:r>
        <w:rPr>
          <w:rFonts w:ascii="Liberation Sans" w:hAnsi="Liberation Sans"/>
          <w:color w:val="5A6872"/>
          <w:sz w:val="18"/>
        </w:rPr>
        <w:t>______________________________________________________________________________________</w:t>
      </w:r>
    </w:p>
    <w:p>
      <w:pPr>
        <w:spacing w:after="40"/>
      </w:pPr>
      <w:r>
        <w:rPr>
          <w:rFonts w:ascii="Liberation Sans" w:hAnsi="Liberation Sans"/>
          <w:b/>
          <w:color w:val="12385B"/>
          <w:sz w:val="18"/>
        </w:rPr>
        <w:t>Specific repair rule I will apply:</w:t>
      </w:r>
    </w:p>
    <w:p>
      <w:pPr>
        <w:spacing w:after="120"/>
      </w:pPr>
      <w:r>
        <w:rPr>
          <w:rFonts w:ascii="Liberation Sans" w:hAnsi="Liberation Sans"/>
          <w:color w:val="5A6872"/>
          <w:sz w:val="18"/>
        </w:rPr>
        <w:t>______________________________________________________________________________________</w:t>
      </w:r>
    </w:p>
    <w:p>
      <w:pPr>
        <w:spacing w:after="40"/>
      </w:pPr>
      <w:r>
        <w:rPr>
          <w:rFonts w:ascii="Liberation Sans" w:hAnsi="Liberation Sans"/>
          <w:b/>
          <w:color w:val="12385B"/>
          <w:sz w:val="18"/>
        </w:rPr>
        <w:t>Practice action before retake:</w:t>
      </w:r>
    </w:p>
    <w:p>
      <w:pPr>
        <w:spacing w:after="120"/>
      </w:pPr>
      <w:r>
        <w:rPr>
          <w:rFonts w:ascii="Liberation Sans" w:hAnsi="Liberation Sans"/>
          <w:color w:val="5A6872"/>
          <w:sz w:val="18"/>
        </w:rPr>
        <w:t>______________________________________________________________________________________</w:t>
      </w:r>
    </w:p>
    <w:p>
      <w:pPr>
        <w:spacing w:after="40"/>
      </w:pPr>
      <w:r>
        <w:rPr>
          <w:rFonts w:ascii="Liberation Sans" w:hAnsi="Liberation Sans"/>
          <w:b/>
          <w:color w:val="12385B"/>
          <w:sz w:val="18"/>
        </w:rPr>
        <w:t>Evidence I am ready to retake:</w:t>
      </w:r>
    </w:p>
    <w:p>
      <w:pPr>
        <w:spacing w:after="120"/>
      </w:pPr>
      <w:r>
        <w:rPr>
          <w:rFonts w:ascii="Liberation Sans" w:hAnsi="Liberation Sans"/>
          <w:color w:val="5A6872"/>
          <w:sz w:val="18"/>
        </w:rPr>
        <w:t>______________________________________________________________________________________</w:t>
      </w:r>
    </w:p>
    <w:tbl>
      <w:tblPr>
        <w:tblW w:type="dxa" w:w="10560"/>
        <w:jc w:val="center"/>
        <w:tblLayout w:type="fixed"/>
        <w:tblLook w:firstColumn="1" w:firstRow="1" w:lastColumn="0" w:lastRow="0" w:noHBand="0" w:noVBand="1" w:val="04A0"/>
        <w:tblInd w:w="0" w:type="dxa"/>
      </w:tblPr>
      <w:tblGrid>
        <w:gridCol w:w="10560"/>
      </w:tblGrid>
      <w:tr>
        <w:trPr>
          <w:tblHeader w:val="true"/>
          <w:cantSplit/>
        </w:trPr>
        <w:tc>
          <w:tcPr>
            <w:tcW w:type="dxa" w:w="10560"/>
            <w:shd w:fill="E7F4F4"/>
            <w:tcMar>
              <w:top w:w="125" w:type="dxa"/>
              <w:start w:w="180" w:type="dxa"/>
              <w:bottom w:w="125" w:type="dxa"/>
              <w:end w:w="180" w:type="dxa"/>
            </w:tcMar>
          </w:tcPr>
          <w:p>
            <w:pPr>
              <w:spacing w:after="0" w:line="252" w:lineRule="auto"/>
            </w:pPr>
            <w:r>
              <w:rPr>
                <w:rFonts w:ascii="Liberation Sans" w:hAnsi="Liberation Sans"/>
                <w:b/>
                <w:color w:val="12385B"/>
                <w:sz w:val="18"/>
              </w:rPr>
              <w:t xml:space="preserve">READINESS GATE:  </w:t>
            </w:r>
            <w:r>
              <w:rPr>
                <w:rFonts w:ascii="Liberation Sans" w:hAnsi="Liberation Sans"/>
                <w:color w:val="1E2D38"/>
                <w:sz w:val="18"/>
              </w:rPr>
              <w:t>Do not rely on score alone. Review every incorrect response and every correct response marked with confidence 1 or 2. Retake after you can state the decision point, explain why the best option comes first, and identify the reasoning error in competing options.</w:t>
            </w:r>
          </w:p>
        </w:tc>
      </w:tr>
    </w:tbl>
    <w:p>
      <w:pPr>
        <w:spacing w:after="40"/>
      </w:pPr>
    </w:p>
    <w:p>
      <w:pPr>
        <w:jc w:val="center"/>
      </w:pPr>
      <w:r>
        <w:rPr>
          <w:rFonts w:ascii="Liberation Sans" w:hAnsi="Liberation Sans"/>
          <w:i/>
          <w:color w:val="5A6872"/>
          <w:sz w:val="17"/>
        </w:rPr>
        <w:t>Exam preparation only | No CE credit | Consult current official and jurisdictional sources</w:t>
      </w:r>
    </w:p>
    <w:sectPr w:rsidR="00FC693F" w:rsidRPr="0006063C" w:rsidSect="00034616">
      <w:headerReference w:type="default" r:id="rId9"/>
      <w:headerReference w:type="even" r:id="rId10"/>
      <w:footerReference w:type="default" r:id="rId11"/>
      <w:pgSz w:w="12240" w:h="15840"/>
      <w:pgMar w:top="1037" w:right="835" w:bottom="749" w:left="835" w:header="259"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A6872"/>
        <w:sz w:val="15"/>
      </w:rPr>
      <w:t xml:space="preserve">Exam preparation only | No CE credit | Workbook 11 Candidate Bank v1.0 | Page </w:t>
    </w:r>
    <w:r>
      <w:rPr>
        <w:rFonts w:ascii="Liberation Sans" w:hAnsi="Liberation Sans"/>
        <w:color w:val="5A6872"/>
        <w:sz w:val="15"/>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color w:val="1E2D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Liberation Sans" w:hAnsi="Liberation Sans"/>
      <w:b/>
      <w:bCs/>
      <w:color w:val="12385B"/>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13A6A6"/>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1238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238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Liberation Sans" w:hAnsi="Liberation Sans"/>
      <w:b w:val="0"/>
      <w:i/>
      <w:iCs/>
      <w:color w:val="13A6A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4" w:line="259" w:lineRule="auto"/>
      <w:contextualSpacing/>
    </w:pPr>
    <w:rPr>
      <w:rFonts w:ascii="Liberation Sans" w:hAnsi="Liberation Sans"/>
      <w:color w:val="1E2D38"/>
      <w:sz w:val="19"/>
    </w:rPr>
  </w:style>
  <w:style w:type="paragraph" w:styleId="ListBullet2">
    <w:name w:val="List Bullet 2"/>
    <w:basedOn w:val="Normal"/>
    <w:uiPriority w:val="99"/>
    <w:unhideWhenUsed/>
    <w:rsid w:val="00326F90"/>
    <w:pPr>
      <w:numPr>
        <w:numId w:val="2"/>
      </w:numPr>
      <w:spacing w:after="64" w:line="259" w:lineRule="auto"/>
      <w:contextualSpacing/>
    </w:pPr>
    <w:rPr>
      <w:rFonts w:ascii="Liberation Sans" w:hAnsi="Liberation Sans"/>
      <w:color w:val="1E2D38"/>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4" w:line="259" w:lineRule="auto"/>
      <w:contextualSpacing/>
    </w:pPr>
    <w:rPr>
      <w:rFonts w:ascii="Liberation Sans" w:hAnsi="Liberation Sans"/>
      <w:color w:val="1E2D38"/>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Workbook 11 17-Question Candidate Bank</dc:title>
  <dc:subject>Original one-best-answer exam-preparation items; no CE credit</dc:subject>
  <dc:creator>Clinical Training and Supervision Academy</dc:creator>
  <cp:keywords>LMFT, AMFTRB, exam preparation, diversity, cultural humility, social justice, community systems, groups, referral, collaboration, supervision</cp:keywords>
  <dc:description>Learner candidate bank. Answers and rationales are maintained in a separate controlled file.</dc:description>
  <cp:lastModifiedBy/>
  <cp:revision>1</cp:revision>
  <dcterms:created xsi:type="dcterms:W3CDTF">2013-12-23T23:15:00Z</dcterms:created>
  <dcterms:modified xsi:type="dcterms:W3CDTF">2013-12-23T23:15:00Z</dcterms:modified>
  <cp:category/>
</cp:coreProperties>
</file>