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297680" cy="2956076"/>
            <wp:docPr id="1" name="Picture 1" descr="Clinical Training and Supervision Academy horizontal logo"/>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97680" cy="2956076"/>
                    </a:xfrm>
                    <a:prstGeom prst="rect"/>
                  </pic:spPr>
                </pic:pic>
              </a:graphicData>
            </a:graphic>
          </wp:inline>
        </w:drawing>
      </w:r>
    </w:p>
    <w:p>
      <w:pPr>
        <w:keepNext w:val="0"/>
        <w:spacing w:before="280" w:after="40" w:line="252" w:lineRule="auto"/>
        <w:jc w:val="center"/>
      </w:pPr>
      <w:r>
        <w:rPr>
          <w:rFonts w:ascii="Liberation Sans" w:hAnsi="Liberation Sans"/>
          <w:b/>
          <w:i w:val="0"/>
          <w:color w:val="12385B"/>
          <w:sz w:val="36"/>
        </w:rPr>
        <w:t>CTA LMFT AMFTRB</w:t>
      </w:r>
    </w:p>
    <w:p>
      <w:pPr>
        <w:keepNext w:val="0"/>
        <w:spacing w:before="0" w:after="240" w:line="252" w:lineRule="auto"/>
        <w:jc w:val="center"/>
      </w:pPr>
      <w:r>
        <w:rPr>
          <w:rFonts w:ascii="Liberation Sans" w:hAnsi="Liberation Sans"/>
          <w:b/>
          <w:i w:val="0"/>
          <w:color w:val="13A6A6"/>
          <w:sz w:val="22"/>
        </w:rPr>
        <w:t>NATIONAL EXAM PREPARATION PROGRAM</w:t>
      </w:r>
    </w:p>
    <w:p>
      <w:pPr>
        <w:pStyle w:val="Title"/>
        <w:jc w:val="center"/>
      </w:pPr>
      <w:r>
        <w:t>17-Question Candidate Bank</w:t>
      </w:r>
    </w:p>
    <w:p>
      <w:pPr>
        <w:pStyle w:val="Subtitle"/>
        <w:jc w:val="center"/>
      </w:pPr>
      <w:r>
        <w:t>CTA LMFT AMFTRB Workbook 12</w:t>
      </w:r>
    </w:p>
    <w:p>
      <w:pPr>
        <w:keepNext w:val="0"/>
        <w:spacing w:before="0" w:after="160" w:line="252" w:lineRule="auto"/>
        <w:jc w:val="center"/>
      </w:pPr>
      <w:r>
        <w:rPr>
          <w:rFonts w:ascii="Liberation Sans" w:hAnsi="Liberation Sans"/>
          <w:b/>
          <w:i w:val="0"/>
          <w:color w:val="12385B"/>
          <w:sz w:val="28"/>
        </w:rPr>
        <w:t>Ethics, Law, Business Practice, Documentation, Technology,</w:t>
        <w:br/>
        <w:t>Teletherapy, and AI</w:t>
      </w:r>
    </w:p>
    <w:p>
      <w:pPr>
        <w:keepNext w:val="0"/>
        <w:spacing w:before="0" w:after="160" w:line="252" w:lineRule="auto"/>
        <w:jc w:val="center"/>
      </w:pPr>
      <w:r>
        <w:rPr>
          <w:rFonts w:ascii="Liberation Sans" w:hAnsi="Liberation Sans"/>
          <w:b w:val="0"/>
          <w:i/>
          <w:color w:val="5A6872"/>
          <w:sz w:val="21"/>
        </w:rPr>
        <w:t>Original one-best-answer practice items for a timed first attempt</w:t>
      </w:r>
    </w:p>
    <w:p>
      <w:pPr>
        <w:keepNext w:val="0"/>
        <w:spacing w:before="0" w:after="40" w:line="252" w:lineRule="auto"/>
        <w:jc w:val="center"/>
      </w:pPr>
      <w:r>
        <w:rPr>
          <w:rFonts w:ascii="Liberation Sans" w:hAnsi="Liberation Sans"/>
          <w:b w:val="0"/>
          <w:i w:val="0"/>
          <w:color w:val="5A6872"/>
          <w:sz w:val="19"/>
        </w:rPr>
        <w:t>Version 1.0 - August 2026</w:t>
      </w:r>
    </w:p>
    <w:p>
      <w:pPr>
        <w:keepNext w:val="0"/>
        <w:spacing w:before="0" w:after="80" w:line="252" w:lineRule="auto"/>
        <w:jc w:val="center"/>
      </w:pPr>
      <w:r>
        <w:rPr>
          <w:rFonts w:ascii="Liberation Sans" w:hAnsi="Liberation Sans"/>
          <w:b/>
          <w:i w:val="0"/>
          <w:color w:val="12385B"/>
          <w:sz w:val="20"/>
        </w:rPr>
        <w:t>Clinical Training &amp; Supervision Academy</w:t>
      </w:r>
    </w:p>
    <w:p>
      <w:pPr>
        <w:pStyle w:val="Heading1"/>
        <w:pageBreakBefore/>
        <w:spacing w:before="640"/>
      </w:pPr>
      <w:r>
        <w:t>Candidate Instructions</w:t>
      </w:r>
    </w:p>
    <w:p>
      <w:pPr>
        <w:pStyle w:val="ListBullet"/>
        <w:spacing w:after="64" w:line="252" w:lineRule="auto"/>
      </w:pPr>
      <w:r>
        <w:rPr>
          <w:rFonts w:ascii="Liberation Sans" w:hAnsi="Liberation Sans"/>
          <w:b w:val="0"/>
          <w:i w:val="0"/>
          <w:color w:val="1E2D38"/>
          <w:sz w:val="19"/>
        </w:rPr>
        <w:t>Complete all 17 items before consulting any separate answer key or rationale document.</w:t>
      </w:r>
    </w:p>
    <w:p>
      <w:pPr>
        <w:pStyle w:val="ListBullet"/>
        <w:spacing w:after="64" w:line="252" w:lineRule="auto"/>
      </w:pPr>
      <w:r>
        <w:rPr>
          <w:rFonts w:ascii="Liberation Sans" w:hAnsi="Liberation Sans"/>
          <w:b w:val="0"/>
          <w:i w:val="0"/>
          <w:color w:val="1E2D38"/>
          <w:sz w:val="19"/>
        </w:rPr>
        <w:t>Suggested first-attempt time: 23 minutes (approximately 80 seconds per item). Use one uninterrupted attempt when possible.</w:t>
      </w:r>
    </w:p>
    <w:p>
      <w:pPr>
        <w:pStyle w:val="ListBullet"/>
        <w:spacing w:after="64" w:line="252" w:lineRule="auto"/>
      </w:pPr>
      <w:r>
        <w:rPr>
          <w:rFonts w:ascii="Liberation Sans" w:hAnsi="Liberation Sans"/>
          <w:b w:val="0"/>
          <w:i w:val="0"/>
          <w:color w:val="1E2D38"/>
          <w:sz w:val="19"/>
        </w:rPr>
        <w:t>Choose one best answer for each item. Base the choice on the decision required at that moment, not on every action that might eventually be useful.</w:t>
      </w:r>
    </w:p>
    <w:p>
      <w:pPr>
        <w:pStyle w:val="ListBullet"/>
        <w:spacing w:after="64" w:line="252" w:lineRule="auto"/>
      </w:pPr>
      <w:r>
        <w:rPr>
          <w:rFonts w:ascii="Liberation Sans" w:hAnsi="Liberation Sans"/>
          <w:b w:val="0"/>
          <w:i w:val="0"/>
          <w:color w:val="1E2D38"/>
          <w:sz w:val="19"/>
        </w:rPr>
        <w:t>After each answer, record confidence from 1 (guess) to 4 (high). A correct low-confidence answer still deserves review.</w:t>
      </w:r>
    </w:p>
    <w:p>
      <w:pPr>
        <w:pStyle w:val="ListBullet"/>
        <w:spacing w:after="64" w:line="252" w:lineRule="auto"/>
      </w:pPr>
      <w:r>
        <w:rPr>
          <w:rFonts w:ascii="Liberation Sans" w:hAnsi="Liberation Sans"/>
          <w:b w:val="0"/>
          <w:i w:val="0"/>
          <w:color w:val="1E2D38"/>
          <w:sz w:val="19"/>
        </w:rPr>
        <w:t>Mark uncertain items and continue. Return to them only if time remains.</w:t>
      </w:r>
    </w:p>
    <w:p>
      <w:pPr>
        <w:pStyle w:val="ListBullet"/>
        <w:spacing w:after="64" w:line="252" w:lineRule="auto"/>
      </w:pPr>
      <w:r>
        <w:rPr>
          <w:rFonts w:ascii="Liberation Sans" w:hAnsi="Liberation Sans"/>
          <w:b w:val="0"/>
          <w:i w:val="0"/>
          <w:color w:val="1E2D38"/>
          <w:sz w:val="19"/>
        </w:rPr>
        <w:t>After scoring, use the recording and remediation pages to identify reasoning patterns and plan targeted review.</w:t>
      </w:r>
    </w:p>
    <w:tbl>
      <w:tblPr>
        <w:tblW w:type="dxa" w:w="105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CLINICAL, LEGAL, AND TECHNOLOGY CURRENCY:  </w:t>
            </w:r>
            <w:r>
              <w:rPr>
                <w:rFonts w:ascii="Liberation Sans" w:hAnsi="Liberation Sans"/>
                <w:b w:val="0"/>
                <w:i w:val="0"/>
                <w:color w:val="1E2D38"/>
                <w:sz w:val="18"/>
              </w:rPr>
              <w:t>These items teach transferable systemic reasoning. Consent, confidentiality, privilege, records, billing, teletherapy, privacy, security, recording, AI, and professional duties vary by jurisdiction and can change. Verify current law, board guidance, organizational and payer requirements, effective ethics, technology conditions, and the official candidate handbook.</w:t>
            </w:r>
          </w:p>
        </w:tc>
      </w:tr>
    </w:tbl>
    <w:p>
      <w:pPr>
        <w:spacing w:after="40"/>
      </w:pPr>
    </w:p>
    <w:tbl>
      <w:tblPr>
        <w:tblW w:type="dxa" w:w="105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EXAM SECURITY:  </w:t>
            </w:r>
            <w:r>
              <w:rPr>
                <w:rFonts w:ascii="Liberation Sans" w:hAnsi="Liberation Sans"/>
                <w:b w:val="0"/>
                <w:i w:val="0"/>
                <w:color w:val="1E2D38"/>
                <w:sz w:val="18"/>
              </w:rPr>
              <w:t>All questions in this bank are original CTA practice items. They are not live, recalled, leaked, retired, proprietary, or memorized AMFTRB examination content. CTA is an independent educational resource and is not affiliated with or endorsed by AMFTRB, PTC, Prometric, AAMFT, HHS/OCR, FTC, NIST, any technology vendor, or any licensing board.</w:t>
            </w:r>
          </w:p>
        </w:tc>
      </w:tr>
    </w:tbl>
    <w:p>
      <w:pPr>
        <w:spacing w:after="40"/>
      </w:pPr>
    </w:p>
    <w:tbl>
      <w:tblPr>
        <w:tblW w:type="dxa" w:w="105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125" w:type="dxa"/>
              <w:start w:w="180" w:type="dxa"/>
              <w:bottom w:w="125" w:type="dxa"/>
              <w:end w:w="180" w:type="dxa"/>
            </w:tcMar>
            <w:vAlign w:val="center"/>
            <w:shd w:fill="F2F4F7"/>
          </w:tcPr>
          <w:p>
            <w:pPr>
              <w:spacing w:after="0" w:line="252" w:lineRule="auto"/>
            </w:pPr>
            <w:r/>
            <w:r>
              <w:rPr>
                <w:rFonts w:ascii="Liberation Sans" w:hAnsi="Liberation Sans"/>
                <w:b/>
                <w:i w:val="0"/>
                <w:color w:val="12385B"/>
                <w:sz w:val="18"/>
              </w:rPr>
              <w:t xml:space="preserve">USE AND OUTCOME NOTICE:  </w:t>
            </w:r>
            <w:r>
              <w:rPr>
                <w:rFonts w:ascii="Liberation Sans" w:hAnsi="Liberation Sans"/>
                <w:b w:val="0"/>
                <w:i w:val="0"/>
                <w:color w:val="1E2D38"/>
                <w:sz w:val="18"/>
              </w:rPr>
              <w:t>This file is for the enrolled learner's personal exam preparation. Participation does not guarantee examination passage. This program provides no continuing education (CE) credit.</w:t>
            </w:r>
          </w:p>
        </w:tc>
      </w:tr>
    </w:tbl>
    <w:p>
      <w:pPr>
        <w:spacing w:after="40"/>
      </w:pPr>
    </w:p>
    <w:p>
      <w:pPr>
        <w:pStyle w:val="Heading1"/>
        <w:pageBreakBefore/>
        <w:spacing w:before="640"/>
      </w:pPr>
      <w:r>
        <w:t>Workbook 12 Candidate Bank</w:t>
      </w:r>
    </w:p>
    <w:p>
      <w:pPr>
        <w:keepNext w:val="0"/>
        <w:spacing w:before="0" w:after="200" w:line="252" w:lineRule="auto"/>
        <w:jc w:val="left"/>
      </w:pPr>
      <w:r>
        <w:rPr>
          <w:rFonts w:ascii="Liberation Sans" w:hAnsi="Liberation Sans"/>
          <w:b w:val="0"/>
          <w:i w:val="0"/>
          <w:color w:val="1E2D38"/>
          <w:sz w:val="19"/>
        </w:rPr>
        <w:t>Select one best answer for each item. Do not open the controlled answer key until your first attempt is complete.</w:t>
      </w:r>
    </w:p>
    <w:p>
      <w:pPr>
        <w:keepNext/>
        <w:spacing w:before="0" w:after="80" w:line="252" w:lineRule="auto"/>
      </w:pPr>
      <w:r>
        <w:rPr>
          <w:rFonts w:ascii="Liberation Sans" w:hAnsi="Liberation Sans"/>
          <w:b/>
          <w:i w:val="0"/>
          <w:color w:val="12385B"/>
          <w:sz w:val="19"/>
        </w:rPr>
        <w:t xml:space="preserve">1. </w:t>
      </w:r>
      <w:r>
        <w:rPr>
          <w:rFonts w:ascii="Liberation Sans" w:hAnsi="Liberation Sans"/>
          <w:b/>
          <w:i w:val="0"/>
          <w:color w:val="1E2D38"/>
          <w:sz w:val="19"/>
        </w:rPr>
        <w:t>When an MFT encounters an unfamiliar ethical or legal practice question, which action BEST begins a defensible decision process?</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Clarify the client system, safety, role, and jurisdiction; distinguish law, regulation, ethics, policy, and contracts; evaluate options; and document the rationale.</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Follow the employer's written policy because organizational rules automatically control whenever professional standards are uncertain.</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Choose the most restrictive possible response because maximum caution is safest even before identifying the client, authority, or likely consequences.</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Rely on what most therapists report doing online, because professional consensus is equivalent to current governing authority.</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2. </w:t>
      </w:r>
      <w:r>
        <w:rPr>
          <w:rFonts w:ascii="Liberation Sans" w:hAnsi="Liberation Sans"/>
          <w:b/>
          <w:i w:val="0"/>
          <w:color w:val="1E2D38"/>
          <w:sz w:val="19"/>
        </w:rPr>
        <w:t>A clinic directs therapists to send full session notes to an outside case manager whenever that person requests them. An MFT believes the instruction may conflict with client rights and current disclosure law. What should the MFT do NEXT?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Send the notes now and challenge the policy later, because a written clinic instruction is presumed valid and delay could be viewed as insubordination.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Clarify the client and request, verify current disclosure authority and ethical duties, communicate the conflict, consult, choose the least-disclosing lawful response, and document it.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Refuse every request from the case manager, because ethical standards always override statutes, contracts, and valid authorizations.</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Delete sensitive portions of the notes before sending them so the clinic cannot disclose information the therapist considers private.</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3. </w:t>
      </w:r>
      <w:r>
        <w:rPr>
          <w:rFonts w:ascii="Liberation Sans" w:hAnsi="Liberation Sans"/>
          <w:b/>
          <w:i w:val="0"/>
          <w:color w:val="1E2D38"/>
          <w:sz w:val="19"/>
        </w:rPr>
        <w:t>An employer funds family therapy for an employee, spouse, and adolescent. The intake form names only the employee, while the employer asks for progress updates. What should the therapist clarify BEFORE providing services or information?</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That the employee owns every treatment decision because the employer identified that person as the benefit recipient and the family joined through that benefit.</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That the employer may receive progress information automatically because it pays for the sessions and therefore functions as the primary client.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The client and treatment unit, roles and authority, voluntariness, goals, confidentiality and information rules, third-party expectations, and ongoing consent.</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Only the adolescent's willingness to attend, because adult participants and third-party payers do not affect informed consent.</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4. </w:t>
      </w:r>
      <w:r>
        <w:rPr>
          <w:rFonts w:ascii="Liberation Sans" w:hAnsi="Liberation Sans"/>
          <w:b/>
          <w:i w:val="0"/>
          <w:color w:val="1E2D38"/>
          <w:sz w:val="19"/>
        </w:rPr>
        <w:t>During conjoint therapy, one partner signs a written authorization asking the therapist to update that partner's sibling about the couple's progress. The other partner has not authorized disclosure. What is the BEST response?</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Provide a general progress summary because one member signed a written authorization and the sibling is seeking only supportive, nonclinical information.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Tell the sibling only what the authorizing partner disclosed individually, because information can always be separated by speaker.</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Ask the sibling to promise confidentiality, then disclose the minimum information needed to support the couple.</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Clarify the treatment-unit agreement, verify law and ethics, obtain every required written authorization, and limit disclosure to the stated purpose.</w:t>
      </w:r>
    </w:p>
    <w:p>
      <w:pPr>
        <w:keepLines/>
        <w:spacing w:before="20" w:after="140"/>
      </w:pPr>
      <w:r>
        <w:rPr>
          <w:rFonts w:ascii="Liberation Sans" w:hAnsi="Liberation Sans"/>
          <w:b/>
          <w:i w:val="0"/>
          <w:color w:val="5A6872"/>
          <w:sz w:val="17"/>
        </w:rPr>
        <w:t>Answer: ______    Confidence:  [ ] 1 Guess   [ ] 2 Low   [ ] 3 Moderate   [ ] 4 High</w:t>
      </w:r>
    </w:p>
    <w:p>
      <w:pPr>
        <w:keepNext/>
        <w:pageBreakBefore/>
        <w:spacing w:before="560" w:after="80" w:line="252" w:lineRule="auto"/>
      </w:pPr>
      <w:r>
        <w:rPr>
          <w:rFonts w:ascii="Liberation Sans" w:hAnsi="Liberation Sans"/>
          <w:b/>
          <w:i w:val="0"/>
          <w:color w:val="12385B"/>
          <w:sz w:val="19"/>
        </w:rPr>
        <w:t xml:space="preserve">5. </w:t>
      </w:r>
      <w:r>
        <w:rPr>
          <w:rFonts w:ascii="Liberation Sans" w:hAnsi="Liberation Sans"/>
          <w:b/>
          <w:i w:val="0"/>
          <w:color w:val="1E2D38"/>
          <w:sz w:val="19"/>
        </w:rPr>
        <w:t>Which statement BEST distinguishes confidentiality from privilege?</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Confidentiality governs protecting information; privilege is a jurisdiction-dependent legal rule about resisting compelled disclosure in proceedings.</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Confidentiality applies only to written records, whereas privilege applies to spoken communications and may be asserted only by the therapist.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Privilege belongs to the therapist, who may waive it whenever disclosure appears clinically helpful.</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Receiving a subpoena automatically ends confidentiality and privilege and permits release of the requested record in every jurisdiction.</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6. </w:t>
      </w:r>
      <w:r>
        <w:rPr>
          <w:rFonts w:ascii="Liberation Sans" w:hAnsi="Liberation Sans"/>
          <w:b/>
          <w:i w:val="0"/>
          <w:color w:val="1E2D38"/>
          <w:sz w:val="19"/>
        </w:rPr>
        <w:t>A divorced parent asks a group practice for a minor's complete family-therapy chart. The chart includes information from the other parent and an adult half-sibling, and the treating therapist has left the practice. What should the records custodian do NEXT?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Release the entire chart because a parent always has unrestricted access to every family participant's information.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Verify identity and authority, identify the client and record types, review privilege and access rules, protect third-party information, use the governing process, and document.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Deny the request permanently because records created by a departed therapist cannot be released by the practice without that clinician's approval.</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all available family participants to vote on access and follow the majority preference because the record concerns a shared treatment episode.</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7. </w:t>
      </w:r>
      <w:r>
        <w:rPr>
          <w:rFonts w:ascii="Liberation Sans" w:hAnsi="Liberation Sans"/>
          <w:b/>
          <w:i w:val="0"/>
          <w:color w:val="1E2D38"/>
          <w:sz w:val="19"/>
        </w:rPr>
        <w:t>A therapist discovers that a progress note incorrectly identifies one family member as having expressed suicidal intent. The inaccurate statement was also included in a care-coordination summary. What is the BEST corrective action?</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Delete the original note after saving an offline copy, then replace it silently so the active record contains only accurate information.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Leave the note unchanged and add a private reminder because changing a signed entry could undermine the reliability of the chart.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Verify the source and actual risk, preserve the audit trail, correct transparently, address affected communications and possible harm, and document follow-through.</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the misidentified family member to sign a statement accepting the error and waiving objections before the therapist changes anything.</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8. </w:t>
      </w:r>
      <w:r>
        <w:rPr>
          <w:rFonts w:ascii="Liberation Sans" w:hAnsi="Liberation Sans"/>
          <w:b/>
          <w:i w:val="0"/>
          <w:color w:val="1E2D38"/>
          <w:sz w:val="19"/>
        </w:rPr>
        <w:t>Which billing practice BEST protects financial and professional integrity?</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Select the code that produces the most reimbursement when several codes sound related to the client's concerns.</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Change the clinical record after a denial so it matches the service the payer prefers to cover.</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Withhold fee and cancellation terms until the first claim is processed because the payer determines the client's responsibility.</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Represent the service provided, use accurate documentation and current payer rules, disclose financial terms, and correct material claim errors.</w:t>
      </w:r>
    </w:p>
    <w:p>
      <w:pPr>
        <w:keepLines/>
        <w:spacing w:before="20" w:after="140"/>
      </w:pPr>
      <w:r>
        <w:rPr>
          <w:rFonts w:ascii="Liberation Sans" w:hAnsi="Liberation Sans"/>
          <w:b/>
          <w:i w:val="0"/>
          <w:color w:val="5A6872"/>
          <w:sz w:val="17"/>
        </w:rPr>
        <w:t>Answer: ______    Confidence:  [ ] 1 Guess   [ ] 2 Low   [ ] 3 Moderate   [ ] 4 High</w:t>
      </w:r>
    </w:p>
    <w:p>
      <w:pPr>
        <w:keepNext/>
        <w:pageBreakBefore/>
        <w:spacing w:before="560" w:after="80" w:line="252" w:lineRule="auto"/>
      </w:pPr>
      <w:r>
        <w:rPr>
          <w:rFonts w:ascii="Liberation Sans" w:hAnsi="Liberation Sans"/>
          <w:b/>
          <w:i w:val="0"/>
          <w:color w:val="12385B"/>
          <w:sz w:val="19"/>
        </w:rPr>
        <w:t xml:space="preserve">9. </w:t>
      </w:r>
      <w:r>
        <w:rPr>
          <w:rFonts w:ascii="Liberation Sans" w:hAnsi="Liberation Sans"/>
          <w:b/>
          <w:i w:val="0"/>
          <w:color w:val="1E2D38"/>
          <w:sz w:val="19"/>
        </w:rPr>
        <w:t>An MFT treating a couple is asked by one partner's attorney to write a custody recommendation. The attorney offers an additional fee, and the therapist has no forensic-evaluation training. What should the therapist do?</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Clarify the therapeutic role and request, assess conflicts and client impact, decline an opinion beyond role and competence, protect information, consult, and identify an independent resource.</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Accept the assignment because knowledge gained in couple therapy makes the treating therapist the most informed evaluator.</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Write the recommendation only for the paying partner, label it a limited clinical opinion, and omit the other partner's information to preserve neutrality.</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Terminate the couple immediately, allow a brief cooling-off period, and then issue the recommendation as a former therapist rather than a treating clinician.</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10. </w:t>
      </w:r>
      <w:r>
        <w:rPr>
          <w:rFonts w:ascii="Liberation Sans" w:hAnsi="Liberation Sans"/>
          <w:b/>
          <w:i w:val="0"/>
          <w:color w:val="1E2D38"/>
          <w:sz w:val="19"/>
        </w:rPr>
        <w:t>A former client posts a public endorsement, and the therapist's marketing vendor adds it to a website that also calls the therapist a “board-certified trauma expert,” a credential the therapist does not hold. What is the BEST action?</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Keep both statements because the endorsement was volunteered and the vendor, not the therapist, wrote the credential claim; add the client's posting date for transparency.</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Correct the unsupported credential, avoid using the endorsement in a way that creates confidentiality or influence concerns, review vendor controls, and monitor public claims.</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Retain the credential claim but add a disclaimer that professional titles are used for marketing purposes only.</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the former client to post more clinical detail so readers can judge whether the endorsement is credible.</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11. </w:t>
      </w:r>
      <w:r>
        <w:rPr>
          <w:rFonts w:ascii="Liberation Sans" w:hAnsi="Liberation Sans"/>
          <w:b/>
          <w:i w:val="0"/>
          <w:color w:val="1E2D38"/>
          <w:sz w:val="19"/>
        </w:rPr>
        <w:t>A client joins a routine teletherapy session and says only that they are “near the state border” while visiting relatives. The therapist does not know the client's exact location. What should the therapist do FIRST?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Proceed because the client's permanent home address controls teletherapy authority whenever the visit away from home is temporary.</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Ask whether the client feels emotionally safe, document the answer, and defer the exact location question until the routine session is complete.</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Confirm both current locations, verify authority and relevant requirements, and explain available continuity options before routine treatment.</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Require the client to return to the permanent address before rescheduling so the therapist does not need to review jurisdictional rules.</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12. </w:t>
      </w:r>
      <w:r>
        <w:rPr>
          <w:rFonts w:ascii="Liberation Sans" w:hAnsi="Liberation Sans"/>
          <w:b/>
          <w:i w:val="0"/>
          <w:color w:val="1E2D38"/>
          <w:sz w:val="19"/>
        </w:rPr>
        <w:t>During teletherapy, an adolescent connects from a parked car, reports that an intoxicated caregiver threatened violence at home, and says the connection may fail. The therapist has not confirmed the adolescent's location or a safe way to communicate. What should the therapist do FIRST?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Continue the planned family intervention so the adolescent does not feel that technology changed the session.</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Send a portal message instructing the caregiver to calm down, then wait for the next scheduled appointment.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End the call and contact every listed emergency number, because direct assessment is unnecessary when violence is mentioned.</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Confirm location and safe contact; assess danger and protection duties; identify local resources; act proportionately; and document continuity.</w:t>
      </w:r>
    </w:p>
    <w:p>
      <w:pPr>
        <w:keepLines/>
        <w:spacing w:before="20" w:after="140"/>
      </w:pPr>
      <w:r>
        <w:rPr>
          <w:rFonts w:ascii="Liberation Sans" w:hAnsi="Liberation Sans"/>
          <w:b/>
          <w:i w:val="0"/>
          <w:color w:val="5A6872"/>
          <w:sz w:val="17"/>
        </w:rPr>
        <w:t>Answer: ______    Confidence:  [ ] 1 Guess   [ ] 2 Low   [ ] 3 Moderate   [ ] 4 High</w:t>
      </w:r>
    </w:p>
    <w:p>
      <w:pPr>
        <w:keepNext/>
        <w:pageBreakBefore/>
        <w:spacing w:before="560" w:after="80" w:line="252" w:lineRule="auto"/>
      </w:pPr>
      <w:r>
        <w:rPr>
          <w:rFonts w:ascii="Liberation Sans" w:hAnsi="Liberation Sans"/>
          <w:b/>
          <w:i w:val="0"/>
          <w:color w:val="12385B"/>
          <w:sz w:val="19"/>
        </w:rPr>
        <w:t xml:space="preserve">13. </w:t>
      </w:r>
      <w:r>
        <w:rPr>
          <w:rFonts w:ascii="Liberation Sans" w:hAnsi="Liberation Sans"/>
          <w:b/>
          <w:i w:val="0"/>
          <w:color w:val="1E2D38"/>
          <w:sz w:val="19"/>
        </w:rPr>
        <w:t>Which review BEST supports selection of a client-messaging platform?</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Map data flow and access, applicable contracts and safeguards, subcontractors, retention, client controls, incident duties, and integration with records and risk management.</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Choose the platform with the largest behavioral-health customer base because broad adoption establishes legal fitness, vendor accountability, and clinical reliability.</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Use any platform that encrypts messages in transit because one technical safeguard resolves all privacy, retention, and vendor concerns.</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clients to accept all platform risks so the therapist and organization no longer need to evaluate the service.</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14. </w:t>
      </w:r>
      <w:r>
        <w:rPr>
          <w:rFonts w:ascii="Liberation Sans" w:hAnsi="Liberation Sans"/>
          <w:b/>
          <w:i w:val="0"/>
          <w:color w:val="1E2D38"/>
          <w:sz w:val="19"/>
        </w:rPr>
        <w:t>A current client comments on the therapist's public personal social-media post. The therapist replies, “I am proud of the progress you have made,” and the exchange is visible to others. What is the BEST next response?</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Leave the exchange online because the client initiated contact and therefore waived confidentiality for that post and the therapist's limited reply.</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Stop public acknowledgment, reduce exposure when feasible, address the impact with the client privately, document as needed, and strengthen boundaries and settings.</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Post a second reply stating that the therapist cannot confirm whether the person is a client and reminding all followers not to discuss care publicly.</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Block the client without discussion and terminate treatment because any online interaction creates an unavoidable multiple relationship.</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15. </w:t>
      </w:r>
      <w:r>
        <w:rPr>
          <w:rFonts w:ascii="Liberation Sans" w:hAnsi="Liberation Sans"/>
          <w:b/>
          <w:i w:val="0"/>
          <w:color w:val="1E2D38"/>
          <w:sz w:val="19"/>
        </w:rPr>
        <w:t>A group practice enables an AI transcription service during a couple session. The only notice is a general website privacy statement; one partner objects, and the vendor may retain data for product improvement. What should the therapist do NEXT?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Continue because the practice selected the service and a general privacy statement covers later technology changes made for documentation efficiency.</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Record only the objecting partner's statements manually while allowing the service to capture the other partner and the therapist.</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Pause the service, clarify recording and data flow, verify consent requirements for affected participants, assess vendor terms, offer alternatives, minimize data, and document.</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Ask the vendor to decide whether the objection is legally sufficient because it controls the transcript and its product-improvement uses.</w:t>
      </w:r>
    </w:p>
    <w:p>
      <w:pPr>
        <w:keepLines/>
        <w:spacing w:before="20" w:after="140"/>
      </w:pPr>
      <w:r>
        <w:rPr>
          <w:rFonts w:ascii="Liberation Sans" w:hAnsi="Liberation Sans"/>
          <w:b/>
          <w:i w:val="0"/>
          <w:color w:val="5A6872"/>
          <w:sz w:val="17"/>
        </w:rPr>
        <w:t>Answer: ______    Confidence:  [ ] 1 Guess   [ ] 2 Low   [ ] 3 Moderate   [ ] 4 High</w:t>
      </w:r>
    </w:p>
    <w:p>
      <w:pPr>
        <w:keepNext/>
        <w:pageBreakBefore/>
        <w:spacing w:before="560" w:after="80" w:line="252" w:lineRule="auto"/>
      </w:pPr>
      <w:r>
        <w:rPr>
          <w:rFonts w:ascii="Liberation Sans" w:hAnsi="Liberation Sans"/>
          <w:b/>
          <w:i w:val="0"/>
          <w:color w:val="12385B"/>
          <w:sz w:val="19"/>
        </w:rPr>
        <w:t xml:space="preserve">16. </w:t>
      </w:r>
      <w:r>
        <w:rPr>
          <w:rFonts w:ascii="Liberation Sans" w:hAnsi="Liberation Sans"/>
          <w:b/>
          <w:i w:val="0"/>
          <w:color w:val="1E2D38"/>
          <w:sz w:val="19"/>
        </w:rPr>
        <w:t>An AI-assisted assessment flags a multilingual couple as “low engagement” largely because their written responses in English are brief. What is the BEST use of this output?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Treat the score as an objective fact because standardized automation is less biased than clinical judgment.</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Exclude language context so every couple is evaluated by the same input rules and the automated score remains standardized across cases.</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Increase the severity rating because brief responses may conceal risk and the tool should be interpreted conservatively when data are incomplete.</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Review source data, language and access context, tool limitations, possible disparate error, and the couple's meaning; then document an independent assessment.</w:t>
      </w:r>
    </w:p>
    <w:p>
      <w:pPr>
        <w:keepLines/>
        <w:spacing w:before="20" w:after="140"/>
      </w:pPr>
      <w:r>
        <w:rPr>
          <w:rFonts w:ascii="Liberation Sans" w:hAnsi="Liberation Sans"/>
          <w:b/>
          <w:i w:val="0"/>
          <w:color w:val="5A6872"/>
          <w:sz w:val="17"/>
        </w:rPr>
        <w:t>Answer: ______    Confidence:  [ ] 1 Guess   [ ] 2 Low   [ ] 3 Moderate   [ ] 4 High</w:t>
      </w:r>
    </w:p>
    <w:p>
      <w:pPr>
        <w:keepNext/>
        <w:spacing w:before="0" w:after="80" w:line="252" w:lineRule="auto"/>
      </w:pPr>
      <w:r>
        <w:rPr>
          <w:rFonts w:ascii="Liberation Sans" w:hAnsi="Liberation Sans"/>
          <w:b/>
          <w:i w:val="0"/>
          <w:color w:val="12385B"/>
          <w:sz w:val="19"/>
        </w:rPr>
        <w:t xml:space="preserve">17. </w:t>
      </w:r>
      <w:r>
        <w:rPr>
          <w:rFonts w:ascii="Liberation Sans" w:hAnsi="Liberation Sans"/>
          <w:b/>
          <w:i w:val="0"/>
          <w:color w:val="1E2D38"/>
          <w:sz w:val="19"/>
        </w:rPr>
        <w:t>An AI treatment-support tool recommends terminating a family for missed appointments but does not account for disability access, transportation failures, or the family's stated goals. What should the therapist do NEXT?</w:t>
      </w:r>
    </w:p>
    <w:p>
      <w:pPr>
        <w:keepNext/>
        <w:spacing w:before="0" w:after="50" w:line="250" w:lineRule="auto"/>
        <w:ind w:left="259" w:hanging="259"/>
      </w:pPr>
      <w:r>
        <w:rPr>
          <w:rFonts w:ascii="Liberation Sans" w:hAnsi="Liberation Sans"/>
          <w:b/>
          <w:i w:val="0"/>
          <w:color w:val="12385B"/>
          <w:sz w:val="18"/>
        </w:rPr>
        <w:t xml:space="preserve">A. </w:t>
      </w:r>
      <w:r>
        <w:rPr>
          <w:rFonts w:ascii="Liberation Sans" w:hAnsi="Liberation Sans"/>
          <w:b w:val="0"/>
          <w:i w:val="0"/>
          <w:color w:val="1E2D38"/>
          <w:sz w:val="18"/>
        </w:rPr>
        <w:t>Reassess safety, benefit, barriers, access, goals, and continuity; verify the output and bias risk; involve the family in the plan; and document human review.</w:t>
      </w:r>
    </w:p>
    <w:p>
      <w:pPr>
        <w:keepNext/>
        <w:spacing w:before="0" w:after="50" w:line="250" w:lineRule="auto"/>
        <w:ind w:left="259" w:hanging="259"/>
      </w:pPr>
      <w:r>
        <w:rPr>
          <w:rFonts w:ascii="Liberation Sans" w:hAnsi="Liberation Sans"/>
          <w:b/>
          <w:i w:val="0"/>
          <w:color w:val="12385B"/>
          <w:sz w:val="18"/>
        </w:rPr>
        <w:t xml:space="preserve">B. </w:t>
      </w:r>
      <w:r>
        <w:rPr>
          <w:rFonts w:ascii="Liberation Sans" w:hAnsi="Liberation Sans"/>
          <w:b w:val="0"/>
          <w:i w:val="0"/>
          <w:color w:val="1E2D38"/>
          <w:sz w:val="18"/>
        </w:rPr>
        <w:t>Follow the recommendation because consistent automated attendance rules are more defensible than individualized exceptions based on contextual barriers.</w:t>
      </w:r>
    </w:p>
    <w:p>
      <w:pPr>
        <w:keepNext/>
        <w:spacing w:before="0" w:after="50" w:line="250" w:lineRule="auto"/>
        <w:ind w:left="259" w:hanging="259"/>
      </w:pPr>
      <w:r>
        <w:rPr>
          <w:rFonts w:ascii="Liberation Sans" w:hAnsi="Liberation Sans"/>
          <w:b/>
          <w:i w:val="0"/>
          <w:color w:val="12385B"/>
          <w:sz w:val="18"/>
        </w:rPr>
        <w:t xml:space="preserve">C. </w:t>
      </w:r>
      <w:r>
        <w:rPr>
          <w:rFonts w:ascii="Liberation Sans" w:hAnsi="Liberation Sans"/>
          <w:b w:val="0"/>
          <w:i w:val="0"/>
          <w:color w:val="1E2D38"/>
          <w:sz w:val="18"/>
        </w:rPr>
        <w:t>Ignore the tool without documenting the error because automated advice that is not followed cannot affect the record or future care.</w:t>
      </w:r>
    </w:p>
    <w:p>
      <w:pPr>
        <w:keepNext/>
        <w:spacing w:before="0" w:after="50" w:line="250" w:lineRule="auto"/>
        <w:ind w:left="259" w:hanging="259"/>
      </w:pPr>
      <w:r>
        <w:rPr>
          <w:rFonts w:ascii="Liberation Sans" w:hAnsi="Liberation Sans"/>
          <w:b/>
          <w:i w:val="0"/>
          <w:color w:val="12385B"/>
          <w:sz w:val="18"/>
        </w:rPr>
        <w:t xml:space="preserve">D. </w:t>
      </w:r>
      <w:r>
        <w:rPr>
          <w:rFonts w:ascii="Liberation Sans" w:hAnsi="Liberation Sans"/>
          <w:b w:val="0"/>
          <w:i w:val="0"/>
          <w:color w:val="1E2D38"/>
          <w:sz w:val="18"/>
        </w:rPr>
        <w:t>Tell the family that the vendor ended treatment, offer the vendor's explanation, and direct the family to appeal through the software company.</w:t>
      </w:r>
    </w:p>
    <w:p>
      <w:pPr>
        <w:keepLines/>
        <w:spacing w:before="20" w:after="140"/>
      </w:pPr>
      <w:r>
        <w:rPr>
          <w:rFonts w:ascii="Liberation Sans" w:hAnsi="Liberation Sans"/>
          <w:b/>
          <w:i w:val="0"/>
          <w:color w:val="5A6872"/>
          <w:sz w:val="17"/>
        </w:rPr>
        <w:t>Answer: ______    Confidence:  [ ] 1 Guess   [ ] 2 Low   [ ] 3 Moderate   [ ] 4 High</w:t>
      </w:r>
    </w:p>
    <w:p>
      <w:pPr>
        <w:pStyle w:val="Heading1"/>
        <w:pageBreakBefore/>
        <w:spacing w:before="640"/>
      </w:pPr>
      <w:r>
        <w:t>Score Recording and Remediation</w:t>
      </w:r>
    </w:p>
    <w:tbl>
      <w:tblPr>
        <w:tblW w:type="dxa" w:w="105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125" w:type="dxa"/>
              <w:start w:w="180" w:type="dxa"/>
              <w:bottom w:w="125" w:type="dxa"/>
              <w:end w:w="180" w:type="dxa"/>
            </w:tcMar>
            <w:vAlign w:val="center"/>
            <w:shd w:fill="EAF1F7"/>
          </w:tcPr>
          <w:p>
            <w:pPr>
              <w:spacing w:after="0" w:line="252" w:lineRule="auto"/>
            </w:pPr>
            <w:r/>
            <w:r>
              <w:rPr>
                <w:rFonts w:ascii="Liberation Sans" w:hAnsi="Liberation Sans"/>
                <w:b/>
                <w:i w:val="0"/>
                <w:color w:val="12385B"/>
                <w:sz w:val="18"/>
              </w:rPr>
              <w:t xml:space="preserve">RELEASE CONTROL:  </w:t>
            </w:r>
            <w:r>
              <w:rPr>
                <w:rFonts w:ascii="Liberation Sans" w:hAnsi="Liberation Sans"/>
                <w:b w:val="0"/>
                <w:i w:val="0"/>
                <w:color w:val="1E2D38"/>
                <w:sz w:val="18"/>
              </w:rPr>
              <w:t>Record your first attempt before opening the separately controlled answer key and detailed rationales.</w:t>
            </w:r>
          </w:p>
        </w:tc>
      </w:tr>
    </w:tbl>
    <w:p>
      <w:pPr>
        <w:spacing w:after="40"/>
      </w:pPr>
    </w:p>
    <w:p>
      <w:pPr>
        <w:pStyle w:val="Heading2"/>
      </w:pPr>
      <w:r>
        <w:t>First-Attempt Record</w:t>
      </w:r>
    </w:p>
    <w:tbl>
      <w:tblPr>
        <w:tblW w:type="dxa" w:w="105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2300"/>
        <w:gridCol w:w="2650"/>
        <w:gridCol w:w="2450"/>
        <w:gridCol w:w="3160"/>
      </w:tblGrid>
      <w:tr>
        <w:trPr>
          <w:cantSplit/>
          <w:tblHeader w:val="true"/>
        </w:trPr>
        <w:tc>
          <w:tcPr>
            <w:tcW w:type="dxa" w:w="23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Measure</w:t>
            </w:r>
          </w:p>
        </w:tc>
        <w:tc>
          <w:tcPr>
            <w:tcW w:type="dxa" w:w="26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Entry</w:t>
            </w:r>
          </w:p>
        </w:tc>
        <w:tc>
          <w:tcPr>
            <w:tcW w:type="dxa" w:w="24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Measure</w:t>
            </w:r>
          </w:p>
        </w:tc>
        <w:tc>
          <w:tcPr>
            <w:tcW w:type="dxa" w:w="316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Entry</w:t>
            </w:r>
          </w:p>
        </w:tc>
      </w:tr>
      <w:tr>
        <w:trPr>
          <w:cantSplit/>
        </w:trPr>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Correct</w:t>
            </w:r>
          </w:p>
        </w:tc>
        <w:tc>
          <w:tcPr>
            <w:tcW w:type="dxa" w:w="26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 / 17</w:t>
            </w:r>
          </w:p>
        </w:tc>
        <w:tc>
          <w:tcPr>
            <w:tcW w:type="dxa" w:w="24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Percentage</w:t>
            </w:r>
          </w:p>
        </w:tc>
        <w:tc>
          <w:tcPr>
            <w:tcW w:type="dxa" w:w="316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________ %</w:t>
            </w:r>
          </w:p>
        </w:tc>
      </w:tr>
      <w:tr>
        <w:trPr>
          <w:cantSplit/>
        </w:trPr>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Time used</w:t>
            </w:r>
          </w:p>
        </w:tc>
        <w:tc>
          <w:tcPr>
            <w:tcW w:type="dxa" w:w="26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________ minutes</w:t>
            </w:r>
          </w:p>
        </w:tc>
        <w:tc>
          <w:tcPr>
            <w:tcW w:type="dxa" w:w="24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Within 23 min?</w:t>
            </w:r>
          </w:p>
        </w:tc>
        <w:tc>
          <w:tcPr>
            <w:tcW w:type="dxa" w:w="316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 ] Yes  [ ] No</w:t>
            </w:r>
          </w:p>
        </w:tc>
      </w:tr>
      <w:tr>
        <w:trPr>
          <w:cantSplit/>
        </w:trPr>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High-confidence correct</w:t>
            </w:r>
          </w:p>
        </w:tc>
        <w:tc>
          <w:tcPr>
            <w:tcW w:type="dxa" w:w="26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________</w:t>
            </w:r>
          </w:p>
        </w:tc>
        <w:tc>
          <w:tcPr>
            <w:tcW w:type="dxa" w:w="24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Low-confidence correct</w:t>
            </w:r>
          </w:p>
        </w:tc>
        <w:tc>
          <w:tcPr>
            <w:tcW w:type="dxa" w:w="316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________</w:t>
            </w:r>
          </w:p>
        </w:tc>
      </w:tr>
      <w:tr>
        <w:trPr>
          <w:cantSplit/>
        </w:trPr>
        <w:tc>
          <w:tcPr>
            <w:tcW w:type="dxa" w:w="23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Incorrect</w:t>
            </w:r>
          </w:p>
        </w:tc>
        <w:tc>
          <w:tcPr>
            <w:tcW w:type="dxa" w:w="26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________</w:t>
            </w:r>
          </w:p>
        </w:tc>
        <w:tc>
          <w:tcPr>
            <w:tcW w:type="dxa" w:w="24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Unanswered</w:t>
            </w:r>
          </w:p>
        </w:tc>
        <w:tc>
          <w:tcPr>
            <w:tcW w:type="dxa" w:w="316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________</w:t>
            </w:r>
          </w:p>
        </w:tc>
      </w:tr>
      <w:tr>
        <w:trPr>
          <w:cantSplit/>
        </w:trPr>
        <w:tc>
          <w:tcPr>
            <w:tcW w:type="dxa" w:w="23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Retake date</w:t>
            </w:r>
          </w:p>
        </w:tc>
        <w:tc>
          <w:tcPr>
            <w:tcW w:type="dxa" w:w="26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________________</w:t>
            </w:r>
          </w:p>
        </w:tc>
        <w:tc>
          <w:tcPr>
            <w:tcW w:type="dxa" w:w="24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Retake score</w:t>
            </w:r>
          </w:p>
        </w:tc>
        <w:tc>
          <w:tcPr>
            <w:tcW w:type="dxa" w:w="316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6"/>
              </w:rPr>
              <w:t>____ / 17</w:t>
            </w:r>
          </w:p>
        </w:tc>
      </w:tr>
    </w:tbl>
    <w:p>
      <w:pPr>
        <w:spacing w:after="40"/>
      </w:pPr>
    </w:p>
    <w:p>
      <w:pPr>
        <w:pStyle w:val="Heading2"/>
      </w:pPr>
      <w:r>
        <w:t>Item Review Log</w:t>
      </w:r>
    </w:p>
    <w:tbl>
      <w:tblPr>
        <w:tblW w:type="dxa" w:w="10560"/>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700"/>
        <w:gridCol w:w="1250"/>
        <w:gridCol w:w="1500"/>
        <w:gridCol w:w="2700"/>
        <w:gridCol w:w="4410"/>
      </w:tblGrid>
      <w:tr>
        <w:trPr>
          <w:cantSplit/>
          <w:tblHeader w:val="true"/>
        </w:trPr>
        <w:tc>
          <w:tcPr>
            <w:tcW w:type="dxa" w:w="7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Item</w:t>
            </w:r>
          </w:p>
        </w:tc>
        <w:tc>
          <w:tcPr>
            <w:tcW w:type="dxa" w:w="125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Result</w:t>
            </w:r>
          </w:p>
        </w:tc>
        <w:tc>
          <w:tcPr>
            <w:tcW w:type="dxa" w:w="15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Confidence</w:t>
            </w:r>
          </w:p>
        </w:tc>
        <w:tc>
          <w:tcPr>
            <w:tcW w:type="dxa" w:w="270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Reasoning pattern</w:t>
            </w:r>
          </w:p>
        </w:tc>
        <w:tc>
          <w:tcPr>
            <w:tcW w:type="dxa" w:w="4410"/>
            <w:tcMar>
              <w:top w:w="90" w:type="dxa"/>
              <w:start w:w="120" w:type="dxa"/>
              <w:bottom w:w="90" w:type="dxa"/>
              <w:end w:w="120" w:type="dxa"/>
            </w:tcMar>
            <w:vAlign w:val="center"/>
            <w:shd w:fill="12385B"/>
          </w:tcPr>
          <w:p>
            <w:pPr>
              <w:spacing w:before="0" w:after="0" w:line="240" w:lineRule="auto"/>
              <w:jc w:val="left"/>
            </w:pPr>
            <w:r/>
            <w:r>
              <w:rPr>
                <w:rFonts w:ascii="Liberation Sans" w:hAnsi="Liberation Sans"/>
                <w:b/>
                <w:i w:val="0"/>
                <w:color w:val="FFFFFF"/>
                <w:sz w:val="16"/>
              </w:rPr>
              <w:t>Transfer rule / next action</w:t>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2</w:t>
            </w:r>
          </w:p>
        </w:tc>
        <w:tc>
          <w:tcPr>
            <w:tcW w:type="dxa" w:w="12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3</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4</w:t>
            </w:r>
          </w:p>
        </w:tc>
        <w:tc>
          <w:tcPr>
            <w:tcW w:type="dxa" w:w="12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5</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6</w:t>
            </w:r>
          </w:p>
        </w:tc>
        <w:tc>
          <w:tcPr>
            <w:tcW w:type="dxa" w:w="12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7</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8</w:t>
            </w:r>
          </w:p>
        </w:tc>
        <w:tc>
          <w:tcPr>
            <w:tcW w:type="dxa" w:w="12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9</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10</w:t>
            </w:r>
          </w:p>
        </w:tc>
        <w:tc>
          <w:tcPr>
            <w:tcW w:type="dxa" w:w="12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11</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12</w:t>
            </w:r>
          </w:p>
        </w:tc>
        <w:tc>
          <w:tcPr>
            <w:tcW w:type="dxa" w:w="12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13</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14</w:t>
            </w:r>
          </w:p>
        </w:tc>
        <w:tc>
          <w:tcPr>
            <w:tcW w:type="dxa" w:w="12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15</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16</w:t>
            </w:r>
          </w:p>
        </w:tc>
        <w:tc>
          <w:tcPr>
            <w:tcW w:type="dxa" w:w="125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shd w:fill="F8FAFC"/>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r>
        <w:trPr>
          <w:cantSplit/>
        </w:trPr>
        <w:tc>
          <w:tcPr>
            <w:tcW w:type="dxa" w:w="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t>17</w:t>
            </w:r>
          </w:p>
        </w:tc>
        <w:tc>
          <w:tcPr>
            <w:tcW w:type="dxa" w:w="125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15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270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c>
          <w:tcPr>
            <w:tcW w:type="dxa" w:w="4410"/>
            <w:tcMar>
              <w:top w:w="90" w:type="dxa"/>
              <w:start w:w="120" w:type="dxa"/>
              <w:bottom w:w="90" w:type="dxa"/>
              <w:end w:w="120" w:type="dxa"/>
            </w:tcMar>
            <w:vAlign w:val="center"/>
          </w:tcPr>
          <w:p>
            <w:pPr>
              <w:spacing w:before="0" w:after="0" w:line="240" w:lineRule="auto"/>
              <w:jc w:val="left"/>
            </w:pPr>
            <w:r/>
            <w:r>
              <w:rPr>
                <w:rFonts w:ascii="Liberation Sans" w:hAnsi="Liberation Sans"/>
                <w:b w:val="0"/>
                <w:i w:val="0"/>
                <w:color w:val="1E2D38"/>
                <w:sz w:val="15"/>
              </w:rPr>
            </w:r>
          </w:p>
        </w:tc>
      </w:tr>
    </w:tbl>
    <w:p>
      <w:pPr>
        <w:spacing w:after="40"/>
      </w:pPr>
    </w:p>
    <w:p>
      <w:pPr>
        <w:pStyle w:val="Heading2"/>
        <w:pageBreakBefore/>
        <w:spacing w:before="640"/>
      </w:pPr>
      <w:r>
        <w:t>Remediation and Readiness Plan</w:t>
      </w:r>
    </w:p>
    <w:p>
      <w:pPr>
        <w:keepNext/>
        <w:spacing w:before="0" w:after="40" w:line="252" w:lineRule="auto"/>
        <w:jc w:val="left"/>
      </w:pPr>
      <w:r>
        <w:rPr>
          <w:rFonts w:ascii="Liberation Sans" w:hAnsi="Liberation Sans"/>
          <w:b/>
          <w:i w:val="0"/>
          <w:color w:val="12385B"/>
          <w:sz w:val="18"/>
        </w:rPr>
        <w:t>Items missed or answered with confidence 1-2:</w:t>
      </w:r>
    </w:p>
    <w:p>
      <w:pPr>
        <w:keepNext w:val="0"/>
        <w:spacing w:before="0" w:after="140" w:line="252" w:lineRule="auto"/>
        <w:jc w:val="left"/>
      </w:pPr>
      <w:r>
        <w:rPr>
          <w:rFonts w:ascii="Liberation Sans" w:hAnsi="Liberation Sans"/>
          <w:b w:val="0"/>
          <w:i w:val="0"/>
          <w:color w:val="5A6872"/>
          <w:sz w:val="18"/>
        </w:rPr>
        <w:t>____________________________________________________________________________________</w:t>
      </w:r>
    </w:p>
    <w:p>
      <w:pPr>
        <w:keepNext/>
        <w:spacing w:before="0" w:after="40" w:line="252" w:lineRule="auto"/>
        <w:jc w:val="left"/>
      </w:pPr>
      <w:r>
        <w:rPr>
          <w:rFonts w:ascii="Liberation Sans" w:hAnsi="Liberation Sans"/>
          <w:b/>
          <w:i w:val="0"/>
          <w:color w:val="12385B"/>
          <w:sz w:val="18"/>
        </w:rPr>
        <w:t>Most frequent reasoning error:</w:t>
      </w:r>
    </w:p>
    <w:p>
      <w:pPr>
        <w:keepNext w:val="0"/>
        <w:spacing w:before="0" w:after="140" w:line="252" w:lineRule="auto"/>
        <w:jc w:val="left"/>
      </w:pPr>
      <w:r>
        <w:rPr>
          <w:rFonts w:ascii="Liberation Sans" w:hAnsi="Liberation Sans"/>
          <w:b w:val="0"/>
          <w:i w:val="0"/>
          <w:color w:val="5A6872"/>
          <w:sz w:val="18"/>
        </w:rPr>
        <w:t>____________________________________________________________________________________</w:t>
      </w:r>
    </w:p>
    <w:p>
      <w:pPr>
        <w:keepNext/>
        <w:spacing w:before="0" w:after="40" w:line="252" w:lineRule="auto"/>
        <w:jc w:val="left"/>
      </w:pPr>
      <w:r>
        <w:rPr>
          <w:rFonts w:ascii="Liberation Sans" w:hAnsi="Liberation Sans"/>
          <w:b/>
          <w:i w:val="0"/>
          <w:color w:val="12385B"/>
          <w:sz w:val="18"/>
        </w:rPr>
        <w:t>Workbook chapter or CTA tool to review:</w:t>
      </w:r>
    </w:p>
    <w:p>
      <w:pPr>
        <w:keepNext w:val="0"/>
        <w:spacing w:before="0" w:after="140" w:line="252" w:lineRule="auto"/>
        <w:jc w:val="left"/>
      </w:pPr>
      <w:r>
        <w:rPr>
          <w:rFonts w:ascii="Liberation Sans" w:hAnsi="Liberation Sans"/>
          <w:b w:val="0"/>
          <w:i w:val="0"/>
          <w:color w:val="5A6872"/>
          <w:sz w:val="18"/>
        </w:rPr>
        <w:t>____________________________________________________________________________________</w:t>
      </w:r>
    </w:p>
    <w:p>
      <w:pPr>
        <w:keepNext/>
        <w:spacing w:before="0" w:after="40" w:line="252" w:lineRule="auto"/>
        <w:jc w:val="left"/>
      </w:pPr>
      <w:r>
        <w:rPr>
          <w:rFonts w:ascii="Liberation Sans" w:hAnsi="Liberation Sans"/>
          <w:b/>
          <w:i w:val="0"/>
          <w:color w:val="12385B"/>
          <w:sz w:val="18"/>
        </w:rPr>
        <w:t>Specific repair rule I will apply:</w:t>
      </w:r>
    </w:p>
    <w:p>
      <w:pPr>
        <w:keepNext w:val="0"/>
        <w:spacing w:before="0" w:after="140" w:line="252" w:lineRule="auto"/>
        <w:jc w:val="left"/>
      </w:pPr>
      <w:r>
        <w:rPr>
          <w:rFonts w:ascii="Liberation Sans" w:hAnsi="Liberation Sans"/>
          <w:b w:val="0"/>
          <w:i w:val="0"/>
          <w:color w:val="5A6872"/>
          <w:sz w:val="18"/>
        </w:rPr>
        <w:t>____________________________________________________________________________________</w:t>
      </w:r>
    </w:p>
    <w:p>
      <w:pPr>
        <w:keepNext/>
        <w:spacing w:before="0" w:after="40" w:line="252" w:lineRule="auto"/>
        <w:jc w:val="left"/>
      </w:pPr>
      <w:r>
        <w:rPr>
          <w:rFonts w:ascii="Liberation Sans" w:hAnsi="Liberation Sans"/>
          <w:b/>
          <w:i w:val="0"/>
          <w:color w:val="12385B"/>
          <w:sz w:val="18"/>
        </w:rPr>
        <w:t>Practice action before retake:</w:t>
      </w:r>
    </w:p>
    <w:p>
      <w:pPr>
        <w:keepNext w:val="0"/>
        <w:spacing w:before="0" w:after="140" w:line="252" w:lineRule="auto"/>
        <w:jc w:val="left"/>
      </w:pPr>
      <w:r>
        <w:rPr>
          <w:rFonts w:ascii="Liberation Sans" w:hAnsi="Liberation Sans"/>
          <w:b w:val="0"/>
          <w:i w:val="0"/>
          <w:color w:val="5A6872"/>
          <w:sz w:val="18"/>
        </w:rPr>
        <w:t>____________________________________________________________________________________</w:t>
      </w:r>
    </w:p>
    <w:p>
      <w:pPr>
        <w:keepNext/>
        <w:spacing w:before="0" w:after="40" w:line="252" w:lineRule="auto"/>
        <w:jc w:val="left"/>
      </w:pPr>
      <w:r>
        <w:rPr>
          <w:rFonts w:ascii="Liberation Sans" w:hAnsi="Liberation Sans"/>
          <w:b/>
          <w:i w:val="0"/>
          <w:color w:val="12385B"/>
          <w:sz w:val="18"/>
        </w:rPr>
        <w:t>Evidence I am ready to retake:</w:t>
      </w:r>
    </w:p>
    <w:p>
      <w:pPr>
        <w:keepNext w:val="0"/>
        <w:spacing w:before="0" w:after="140" w:line="252" w:lineRule="auto"/>
        <w:jc w:val="left"/>
      </w:pPr>
      <w:r>
        <w:rPr>
          <w:rFonts w:ascii="Liberation Sans" w:hAnsi="Liberation Sans"/>
          <w:b w:val="0"/>
          <w:i w:val="0"/>
          <w:color w:val="5A6872"/>
          <w:sz w:val="18"/>
        </w:rPr>
        <w:t>____________________________________________________________________________________</w:t>
      </w:r>
    </w:p>
    <w:tbl>
      <w:tblPr>
        <w:tblW w:type="dxa" w:w="10560"/>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10560"/>
      </w:tblGrid>
      <w:tr>
        <w:trPr>
          <w:cantSplit/>
          <w:tblHeader w:val="true"/>
        </w:trPr>
        <w:tc>
          <w:tcPr>
            <w:tcW w:type="dxa" w:w="10560"/>
            <w:tcMar>
              <w:top w:w="125" w:type="dxa"/>
              <w:start w:w="180" w:type="dxa"/>
              <w:bottom w:w="125" w:type="dxa"/>
              <w:end w:w="180" w:type="dxa"/>
            </w:tcMar>
            <w:vAlign w:val="center"/>
            <w:shd w:fill="E7F4F4"/>
          </w:tcPr>
          <w:p>
            <w:pPr>
              <w:spacing w:after="0" w:line="252" w:lineRule="auto"/>
            </w:pPr>
            <w:r/>
            <w:r>
              <w:rPr>
                <w:rFonts w:ascii="Liberation Sans" w:hAnsi="Liberation Sans"/>
                <w:b/>
                <w:i w:val="0"/>
                <w:color w:val="12385B"/>
                <w:sz w:val="18"/>
              </w:rPr>
              <w:t xml:space="preserve">READINESS GATE:  </w:t>
            </w:r>
            <w:r>
              <w:rPr>
                <w:rFonts w:ascii="Liberation Sans" w:hAnsi="Liberation Sans"/>
                <w:b w:val="0"/>
                <w:i w:val="0"/>
                <w:color w:val="1E2D38"/>
                <w:sz w:val="18"/>
              </w:rPr>
              <w:t>Do not rely on score alone. Review every incorrect response and every correct response marked with confidence 1 or 2. Retake after you can state the decision point, explain why the best option comes first, and identify the reasoning error in competing options.</w:t>
            </w:r>
          </w:p>
        </w:tc>
      </w:tr>
    </w:tbl>
    <w:p>
      <w:pPr>
        <w:spacing w:after="40"/>
      </w:pPr>
    </w:p>
    <w:p>
      <w:pPr>
        <w:keepNext w:val="0"/>
        <w:spacing w:before="0" w:after="80" w:line="252" w:lineRule="auto"/>
        <w:jc w:val="center"/>
      </w:pPr>
      <w:r>
        <w:rPr>
          <w:rFonts w:ascii="Liberation Sans" w:hAnsi="Liberation Sans"/>
          <w:b w:val="0"/>
          <w:i/>
          <w:color w:val="5A6872"/>
          <w:sz w:val="17"/>
        </w:rPr>
        <w:t>Exam preparation only | No CE credit | Consult current official and jurisdictional sources</w:t>
      </w:r>
    </w:p>
    <w:sectPr w:rsidR="00FC693F" w:rsidRPr="0006063C" w:rsidSect="00034616">
      <w:headerReference w:type="default" r:id="rId9"/>
      <w:headerReference w:type="even" r:id="rId10"/>
      <w:footerReference w:type="default" r:id="rId11"/>
      <w:headerReference w:type="first" r:id="rId13"/>
      <w:footerReference w:type="even" r:id="rId14"/>
      <w:footerReference w:type="first" r:id="rId15"/>
      <w:pgSz w:w="12240" w:h="15840"/>
      <w:pgMar w:top="1037" w:right="835" w:bottom="749"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872"/>
        <w:sz w:val="15"/>
      </w:rPr>
      <w:t xml:space="preserve">Exam preparation only | No CE credit | Workbook 12 Candidate Bank v1.0 | Page </w:t>
    </w:r>
    <w:r>
      <w:rPr>
        <w:rFonts w:ascii="Liberation Sans" w:hAnsi="Liberation Sans"/>
        <w:color w:val="5A6872"/>
        <w:sz w:val="15"/>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E2D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contextualSpacing/>
    </w:pPr>
    <w:rPr>
      <w:rFonts w:ascii="Liberation Sans" w:hAnsi="Liberation Sans"/>
      <w:color w:val="1E2D38"/>
      <w:sz w:val="19"/>
    </w:rPr>
  </w:style>
  <w:style w:type="paragraph" w:styleId="ListBullet2">
    <w:name w:val="List Bullet 2"/>
    <w:basedOn w:val="Normal"/>
    <w:uiPriority w:val="99"/>
    <w:unhideWhenUsed/>
    <w:rsid w:val="00326F90"/>
    <w:pPr>
      <w:numPr>
        <w:numId w:val="2"/>
      </w:numPr>
      <w:spacing w:after="64" w:line="259" w:lineRule="auto"/>
      <w:contextualSpacing/>
    </w:pPr>
    <w:rPr>
      <w:rFonts w:ascii="Liberation Sans" w:hAnsi="Liberation Sans"/>
      <w:color w:val="1E2D38"/>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contextualSpacing/>
    </w:pPr>
    <w:rPr>
      <w:rFonts w:ascii="Liberation Sans" w:hAnsi="Liberation Sans"/>
      <w:color w:val="1E2D38"/>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12 - 17-Question Candidate Bank</dc:title>
  <dc:subject>Original exam-preparation candidate bank; no CE credit</dc:subject>
  <dc:creator>Clinical Training and Supervision Academy</dc:creator>
  <cp:keywords>LMFT, AMFTRB, Workbook 12, candidate bank, ethics, law, technology, AI</cp:keywords>
  <dc:description>Learner candidate bank. Answers and rationales are maintained in a separate controlled file.</dc:description>
  <cp:lastModifiedBy/>
  <cp:revision>1</cp:revision>
  <dcterms:created xsi:type="dcterms:W3CDTF">2013-12-23T23:15:00Z</dcterms:created>
  <dcterms:modified xsi:type="dcterms:W3CDTF">2013-12-23T23:15:00Z</dcterms:modified>
  <cp:category/>
</cp:coreProperties>
</file>