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1 PRACTICE BANK</w:t>
      </w:r>
    </w:p>
    <w:p>
      <w:pPr>
        <w:spacing w:before="160" w:after="80" w:line="240" w:lineRule="auto"/>
        <w:jc w:val="center"/>
      </w:pPr>
      <w:r>
        <w:rPr>
          <w:rFonts w:ascii="Liberation Sans" w:hAnsi="Liberation Sans" w:eastAsia="Liberation Sans"/>
          <w:b/>
          <w:i w:val="0"/>
          <w:color w:val="18365B"/>
          <w:sz w:val="40"/>
        </w:rPr>
        <w:t>17-Question Candidate Form</w:t>
      </w:r>
    </w:p>
    <w:p>
      <w:pPr>
        <w:spacing w:before="40" w:after="280" w:line="240" w:lineRule="auto"/>
        <w:jc w:val="center"/>
      </w:pPr>
      <w:r>
        <w:rPr>
          <w:rFonts w:ascii="Liberation Sans" w:hAnsi="Liberation Sans" w:eastAsia="Liberation Sans"/>
          <w:b/>
          <w:i w:val="0"/>
          <w:color w:val="18365B"/>
          <w:sz w:val="25"/>
        </w:rPr>
        <w:t>AMFTRB Exam Strategy, Systemic Reasoning, and One-Best-Answer Decisions</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CANDIDATE FORM | Complete before opening the controlled answer-and-rationale form</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How to Use This Candidate Bank</w:t>
            </w:r>
          </w:p>
        </w:tc>
      </w:tr>
    </w:tbl>
    <w:p>
      <w:pPr>
        <w:spacing w:before="0" w:after="100" w:line="240" w:lineRule="auto"/>
      </w:pPr>
      <w:r>
        <w:rPr>
          <w:rFonts w:ascii="Liberation Sans" w:hAnsi="Liberation Sans" w:eastAsia="Liberation Sans"/>
          <w:b w:val="0"/>
          <w:i w:val="0"/>
          <w:color w:val="1F2937"/>
          <w:sz w:val="18"/>
        </w:rPr>
        <w:t>This bank contains 17 original CTA one-best-answer questions aligned to Workbook 1. It is designed to test the reasoning process taught in the student workbook—not to reproduce official AMFTRB questions.</w:t>
      </w:r>
    </w:p>
    <w:p>
      <w:pPr>
        <w:pStyle w:val="ListBullet"/>
        <w:spacing w:before="0" w:after="40" w:line="240" w:lineRule="auto"/>
      </w:pPr>
      <w:r>
        <w:rPr>
          <w:rFonts w:ascii="Liberation Sans" w:hAnsi="Liberation Sans" w:eastAsia="Liberation Sans"/>
          <w:b w:val="0"/>
          <w:i w:val="0"/>
          <w:color w:val="1F2937"/>
          <w:sz w:val="18"/>
        </w:rPr>
        <w:t>Choose one answer (A-D) for every item. Do not leave blanks.</w:t>
      </w:r>
    </w:p>
    <w:p>
      <w:pPr>
        <w:pStyle w:val="ListBullet"/>
        <w:spacing w:before="0" w:after="40" w:line="240" w:lineRule="auto"/>
      </w:pPr>
      <w:r>
        <w:rPr>
          <w:rFonts w:ascii="Liberation Sans" w:hAnsi="Liberation Sans" w:eastAsia="Liberation Sans"/>
          <w:b w:val="0"/>
          <w:i w:val="0"/>
          <w:color w:val="1F2937"/>
          <w:sz w:val="18"/>
        </w:rPr>
        <w:t>Suggested timed attempt: 23 minutes, based on the current 80-second average. Untimed first attempts are also acceptable when learning the method.</w:t>
      </w:r>
    </w:p>
    <w:p>
      <w:pPr>
        <w:pStyle w:val="ListBullet"/>
        <w:spacing w:before="0" w:after="40" w:line="240" w:lineRule="auto"/>
      </w:pPr>
      <w:r>
        <w:rPr>
          <w:rFonts w:ascii="Liberation Sans" w:hAnsi="Liberation Sans" w:eastAsia="Liberation Sans"/>
          <w:b w:val="0"/>
          <w:i w:val="0"/>
          <w:color w:val="1F2937"/>
          <w:sz w:val="18"/>
        </w:rPr>
        <w:t>Record confidence from 1 (guess) to 4 (high confidence) and note elapsed time.</w:t>
      </w:r>
    </w:p>
    <w:p>
      <w:pPr>
        <w:pStyle w:val="ListBullet"/>
        <w:spacing w:before="0" w:after="40" w:line="240" w:lineRule="auto"/>
      </w:pPr>
      <w:r>
        <w:rPr>
          <w:rFonts w:ascii="Liberation Sans" w:hAnsi="Liberation Sans" w:eastAsia="Liberation Sans"/>
          <w:b w:val="0"/>
          <w:i w:val="0"/>
          <w:color w:val="1F2937"/>
          <w:sz w:val="18"/>
        </w:rPr>
        <w:t>Use SYSTEM and TRAP before changing an answer. Change only for a specific fact, qualifier, role rule, or stronger comparison.</w:t>
      </w:r>
    </w:p>
    <w:p>
      <w:pPr>
        <w:pStyle w:val="ListBullet"/>
        <w:spacing w:before="0" w:after="40" w:line="240" w:lineRule="auto"/>
      </w:pPr>
      <w:r>
        <w:rPr>
          <w:rFonts w:ascii="Liberation Sans" w:hAnsi="Liberation Sans" w:eastAsia="Liberation Sans"/>
          <w:b w:val="0"/>
          <w:i w:val="0"/>
          <w:color w:val="1F2937"/>
          <w:sz w:val="18"/>
        </w:rPr>
        <w:t>Submit or finalize this candidate form before opening the controlled answer key and detailed rationales.</w:t>
      </w:r>
    </w:p>
    <w:p>
      <w:pPr>
        <w:pStyle w:val="ListBullet"/>
        <w:spacing w:before="0" w:after="40" w:line="240" w:lineRule="auto"/>
      </w:pPr>
      <w:r>
        <w:rPr>
          <w:rFonts w:ascii="Liberation Sans" w:hAnsi="Liberation Sans" w:eastAsia="Liberation Sans"/>
          <w:b w:val="0"/>
          <w:i w:val="0"/>
          <w:color w:val="1F2937"/>
          <w:sz w:val="18"/>
        </w:rPr>
        <w:t>CTA raw scores are instructional data only and are not official AMFTRB scaled scores or passing predictions.</w:t>
      </w:r>
    </w:p>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SECURITY AND ATTRIBUTION NOTICE  </w:t>
            </w:r>
            <w:r>
              <w:rPr>
                <w:rFonts w:ascii="Liberation Sans" w:hAnsi="Liberation Sans" w:eastAsia="Liberation Sans"/>
                <w:b w:val="0"/>
                <w:i w:val="0"/>
                <w:color w:val="1F2937"/>
                <w:sz w:val="19"/>
              </w:rPr>
              <w:t>These questions are original CTA educational materials. They are not official AMFTRB items and do not imply affiliation with or endorsement by AMFTRB, PTC, Prometric, or any licensing jurisdiction.</w:t>
            </w:r>
          </w:p>
        </w:tc>
      </w:tr>
    </w:tbl>
    <w:p>
      <w:pPr>
        <w:pStyle w:val="Heading2"/>
      </w:pPr>
      <w:r>
        <w:t>Answer Record</w:t>
      </w:r>
    </w:p>
    <w:tbl>
      <w:tblPr>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gridCol w:w="1080"/>
      </w:tblGrid>
      <w:t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CANDIDATE ANSWER RECORD</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2</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3</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4</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5</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6</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7</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8</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9</w:t>
              <w:br/>
              <w:t>Ans: ___</w:t>
              <w:br/>
              <w:t>Conf: ___</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10</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11</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12</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13</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14</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15</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16</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17</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p>
        </w:tc>
      </w:tr>
    </w:tbl>
    <w:p>
      <w:pPr>
        <w:spacing w:before="100" w:after="80" w:line="240" w:lineRule="auto"/>
      </w:pPr>
      <w:r>
        <w:rPr>
          <w:rFonts w:ascii="Liberation Sans" w:hAnsi="Liberation Sans" w:eastAsia="Liberation Sans"/>
          <w:b w:val="0"/>
          <w:i w:val="0"/>
          <w:color w:val="667085"/>
          <w:sz w:val="17"/>
        </w:rPr>
        <w:t>Start time: __________   End time: __________   Total elapsed: __________   Notes: __________________________________________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Select the one best answer. Record confidence and time for each item.</w:t>
            </w:r>
          </w:p>
        </w:tc>
      </w:tr>
    </w:tbl>
    <w:p>
      <w:pPr>
        <w:keepNext/>
        <w:spacing w:before="120" w:after="60" w:line="240" w:lineRule="auto"/>
      </w:pPr>
      <w:r>
        <w:rPr>
          <w:rFonts w:ascii="Liberation Sans" w:hAnsi="Liberation Sans" w:eastAsia="Liberation Sans"/>
          <w:b/>
          <w:i w:val="0"/>
          <w:color w:val="18365B"/>
          <w:sz w:val="20"/>
        </w:rPr>
        <w:t xml:space="preserve">1. </w:t>
      </w:r>
      <w:r>
        <w:rPr>
          <w:rFonts w:ascii="Liberation Sans" w:hAnsi="Liberation Sans" w:eastAsia="Liberation Sans"/>
          <w:b/>
          <w:i w:val="0"/>
          <w:color w:val="18365B"/>
          <w:sz w:val="20"/>
        </w:rPr>
        <w:t>Which statement accurately describes the current AMFTRB National Examination structure?</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The examination contains 180 multiple-choice items, each with four options and one correct answer; all items count, and candidates have four hours.</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The examination contains 180 items with five options each, includes unscored items, and allows three and one-half hours.</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The examination contains 150 items organized into three case simulations and allows three hours.</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The examination contains 200 items in a mixture of true-false and multiple-choice formats and allows five hours.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2. </w:t>
      </w:r>
      <w:r>
        <w:rPr>
          <w:rFonts w:ascii="Liberation Sans" w:hAnsi="Liberation Sans" w:eastAsia="Liberation Sans"/>
          <w:b/>
          <w:i w:val="0"/>
          <w:color w:val="18365B"/>
          <w:sz w:val="20"/>
        </w:rPr>
        <w:t>A candidate has answered 68 items after 90 minutes. Using the Workbook 1 flexible pacing method, which interpretation is MOST accurate?</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The candidate is substantially behind because item 90 should be completed by 90 minutes.</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The candidate is approximately on pace because 90 minutes supports about 68 items at the 80-second average; the candidate should continue using broad checkpoints rather than forcing equal time on every item.</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The candidate is too far ahead and should intentionally spend two minutes on each remaining item.</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Pacing cannot be evaluated until the candidate reaches the 120-minute checkpoint.</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3-4</w:t>
            </w:r>
          </w:p>
        </w:tc>
      </w:tr>
    </w:tbl>
    <w:p>
      <w:pPr>
        <w:keepNext/>
        <w:spacing w:before="120" w:after="60" w:line="240" w:lineRule="auto"/>
      </w:pPr>
      <w:r>
        <w:rPr>
          <w:rFonts w:ascii="Liberation Sans" w:hAnsi="Liberation Sans" w:eastAsia="Liberation Sans"/>
          <w:b/>
          <w:i w:val="0"/>
          <w:color w:val="18365B"/>
          <w:sz w:val="20"/>
        </w:rPr>
        <w:t xml:space="preserve">3. </w:t>
      </w:r>
      <w:r>
        <w:rPr>
          <w:rFonts w:ascii="Liberation Sans" w:hAnsi="Liberation Sans" w:eastAsia="Liberation Sans"/>
          <w:b/>
          <w:i w:val="0"/>
          <w:color w:val="18365B"/>
          <w:sz w:val="20"/>
        </w:rPr>
        <w:t>A vignette states that the therapist has already completed intake, clarified the client and treatment unit, and found no acute safety concern. The final question asks what the therapist should do FIRST. Before comparing the options, which step is most useful?</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Restart the case mentally and select the action that ordinarily occurs at intake.</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Choose the most comprehensive treatment option, regardless of what has already occurred.</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Mark the actions already completed and translate FIRST as the earliest unmet action required by the current facts.</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Treat FIRST and NEXT as interchangeable because both ask for an immediate response.</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4. </w:t>
      </w:r>
      <w:r>
        <w:rPr>
          <w:rFonts w:ascii="Liberation Sans" w:hAnsi="Liberation Sans" w:eastAsia="Liberation Sans"/>
          <w:b/>
          <w:i w:val="0"/>
          <w:color w:val="18365B"/>
          <w:sz w:val="20"/>
        </w:rPr>
        <w:t>A 14-year-old increasingly refuses school. One caregiver responds with severe consequences, while the other repeatedly allows the adolescent to stay home to reduce distress. The adolescent reports anxiety and relief when attendance is avoided. Which formulation BEST integrates individual and systemic perspectives?</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The adolescent is defiant and is the primary cause of the family problem.</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The caregivers caused the anxiety, so the adolescent’s individual symptoms are not clinically important.</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An anxiety diagnosis fully explains the school refusal and makes the family interaction pattern secondary.</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The adolescent’s anxiety and avoidance, the caregivers’ alternating rescue and punishment, and the school context may reciprocally maintain the pattern; individual symptoms and relational responses both require assessment.</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5-6</w:t>
            </w:r>
          </w:p>
        </w:tc>
      </w:tr>
    </w:tbl>
    <w:p>
      <w:pPr>
        <w:keepNext/>
        <w:spacing w:before="120" w:after="60" w:line="240" w:lineRule="auto"/>
      </w:pPr>
      <w:r>
        <w:rPr>
          <w:rFonts w:ascii="Liberation Sans" w:hAnsi="Liberation Sans" w:eastAsia="Liberation Sans"/>
          <w:b/>
          <w:i w:val="0"/>
          <w:color w:val="18365B"/>
          <w:sz w:val="20"/>
        </w:rPr>
        <w:t xml:space="preserve">5. </w:t>
      </w:r>
      <w:r>
        <w:rPr>
          <w:rFonts w:ascii="Liberation Sans" w:hAnsi="Liberation Sans" w:eastAsia="Liberation Sans"/>
          <w:b/>
          <w:i w:val="0"/>
          <w:color w:val="18365B"/>
          <w:sz w:val="20"/>
        </w:rPr>
        <w:t>An interracial couple reports conflict about money. One partner sends regular financial support to relatives abroad and describes immigration stress and family obligations. The other partner says the therapist keeps describing the issue only as “poor boundaries.” What is the therapist’s PRIMARY clinical task?</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Explore the cultural meaning of financial obligations, immigration stress, power, and each partner’s perspective while examining the therapist’s own assumptions before pathologizing the pattern.</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Teach a standard boundary rule first because family financial support is usually evidence of enmeshment.</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Ask the partner who appears more acculturated to explain the appropriate cultural norm.</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Avoid cultural and social-context information so the therapist can remain neutral.</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6. </w:t>
      </w:r>
      <w:r>
        <w:rPr>
          <w:rFonts w:ascii="Liberation Sans" w:hAnsi="Liberation Sans" w:eastAsia="Liberation Sans"/>
          <w:b/>
          <w:i w:val="0"/>
          <w:color w:val="18365B"/>
          <w:sz w:val="20"/>
        </w:rPr>
        <w:t>During a family session, one adult repeatedly mocks another family member’s speech disability and says, “No one should have to listen to you.” The targeted family member becomes silent and visibly distressed. What should the therapist do FIRST?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Allow the exchange to continue so the therapist can observe the family’s natural interaction pattern.</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Interrupt the demeaning interaction, assess its impact and any immediate safety concern, and reestablish conditions for respectful participation before returning to the family’s presenting problem.</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Ask the targeted family member to communicate more assertively so the family can move forward.</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Terminate family therapy immediately because any demeaning statement makes relational treatment impossible.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7-8</w:t>
            </w:r>
          </w:p>
        </w:tc>
      </w:tr>
    </w:tbl>
    <w:p>
      <w:pPr>
        <w:keepNext/>
        <w:spacing w:before="120" w:after="60" w:line="240" w:lineRule="auto"/>
      </w:pPr>
      <w:r>
        <w:rPr>
          <w:rFonts w:ascii="Liberation Sans" w:hAnsi="Liberation Sans" w:eastAsia="Liberation Sans"/>
          <w:b/>
          <w:i w:val="0"/>
          <w:color w:val="18365B"/>
          <w:sz w:val="20"/>
        </w:rPr>
        <w:t xml:space="preserve">7. </w:t>
      </w:r>
      <w:r>
        <w:rPr>
          <w:rFonts w:ascii="Liberation Sans" w:hAnsi="Liberation Sans" w:eastAsia="Liberation Sans"/>
          <w:b/>
          <w:i w:val="0"/>
          <w:color w:val="18365B"/>
          <w:sz w:val="20"/>
        </w:rPr>
        <w:t>An adult seeks “family therapy” for longstanding conflict with two siblings, but both siblings decline to attend. The adult asks the therapist to “fix the whole family.” Which response BEST defines the client system and a feasible treatment unit?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Refuse to begin treatment until every sibling agrees to participate.</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Automatically designate all siblings as clients and contact them for collateral information.</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Clarify who will be the client, the goals, consent and confidentiality boundaries, and work systemically with the attending adult while assessing whether future involvement of others is appropriate and voluntary.</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Treat the attending adult only as an isolated identified patient and avoid discussing relational patterns because the siblings are absent.</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8. </w:t>
      </w:r>
      <w:r>
        <w:rPr>
          <w:rFonts w:ascii="Liberation Sans" w:hAnsi="Liberation Sans" w:eastAsia="Liberation Sans"/>
          <w:b/>
          <w:i w:val="0"/>
          <w:color w:val="18365B"/>
          <w:sz w:val="20"/>
        </w:rPr>
        <w:t>After a teenager’s panic symptoms improve, the parents begin arguing more intensely during sessions. The therapist feels strongly pulled to make the teenager the focus again because the parental conflict feels chaotic. What should the therapist do NEXT?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Label the parents resistant and redirect treatment to the teenager’s remaining symptoms.</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Conclude that therapy destabilized the family and terminate treatment before conflict increases.</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Ignore the therapist’s reaction because only observable client behavior is clinically relevant.</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Use the symptom shift and the therapist’s reaction as process data, assess safety and alliance, explore how the family equilibrium is changing, and obtain consultation if needed before revising the treatment focus.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9-10</w:t>
            </w:r>
          </w:p>
        </w:tc>
      </w:tr>
    </w:tbl>
    <w:p>
      <w:pPr>
        <w:keepNext/>
        <w:spacing w:before="120" w:after="60" w:line="240" w:lineRule="auto"/>
      </w:pPr>
      <w:r>
        <w:rPr>
          <w:rFonts w:ascii="Liberation Sans" w:hAnsi="Liberation Sans" w:eastAsia="Liberation Sans"/>
          <w:b/>
          <w:i w:val="0"/>
          <w:color w:val="18365B"/>
          <w:sz w:val="20"/>
        </w:rPr>
        <w:t xml:space="preserve">9. </w:t>
      </w:r>
      <w:r>
        <w:rPr>
          <w:rFonts w:ascii="Liberation Sans" w:hAnsi="Liberation Sans" w:eastAsia="Liberation Sans"/>
          <w:b/>
          <w:i w:val="0"/>
          <w:color w:val="18365B"/>
          <w:sz w:val="20"/>
        </w:rPr>
        <w:t>A couple reports a sudden decrease in one partner’s sexual interest after that partner began working night shifts and started a new medication. The therapist is considering a sexual dysfunction diagnosis. Which information is MOST important to obtain before reaching that conclusion?</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The onset and course of the change; medication and medical factors; sleep, mood, substance use, distress, relationship context, and the partner’s own meaning and goals.</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The other partner’s opinion about whether the change is intentional.</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Whether the couple is willing to schedule sexual activity immediately.</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Whether the therapist believes the partner remains attracted to the relationship.</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10. </w:t>
      </w:r>
      <w:r>
        <w:rPr>
          <w:rFonts w:ascii="Liberation Sans" w:hAnsi="Liberation Sans" w:eastAsia="Liberation Sans"/>
          <w:b/>
          <w:i w:val="0"/>
          <w:color w:val="18365B"/>
          <w:sz w:val="20"/>
        </w:rPr>
        <w:t>In couple sessions, one partner seeks reassurance by criticizing and asking repeated questions. The other partner withdraws to avoid escalation. The withdrawal increases the first partner’s fear and criticism. Which hypothesis BEST fits the available data?</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The pursuing partner causes the problem because criticism always produces withdrawal.</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Each partner’s protective strategy cues the other partner’s feared response, creating a reciprocal pursue-withdraw cycle whose meanings and context should be tested collaboratively.</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The withdrawing partner likely has a personality disorder that fully explains the relationship pattern.</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The pattern is normal conflict and does not require further assessment or treatment planning.</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11-12</w:t>
            </w:r>
          </w:p>
        </w:tc>
      </w:tr>
    </w:tbl>
    <w:p>
      <w:pPr>
        <w:keepNext/>
        <w:spacing w:before="120" w:after="60" w:line="240" w:lineRule="auto"/>
      </w:pPr>
      <w:r>
        <w:rPr>
          <w:rFonts w:ascii="Liberation Sans" w:hAnsi="Liberation Sans" w:eastAsia="Liberation Sans"/>
          <w:b/>
          <w:i w:val="0"/>
          <w:color w:val="18365B"/>
          <w:sz w:val="20"/>
        </w:rPr>
        <w:t xml:space="preserve">11. </w:t>
      </w:r>
      <w:r>
        <w:rPr>
          <w:rFonts w:ascii="Liberation Sans" w:hAnsi="Liberation Sans" w:eastAsia="Liberation Sans"/>
          <w:b/>
          <w:i w:val="0"/>
          <w:color w:val="18365B"/>
          <w:sz w:val="20"/>
        </w:rPr>
        <w:t>Assessment indicates escalating couple conflict but no current violence or coercive control. Both partners agree that interrupting escalation is the first priority, but measurable goals and a treatment structure have not yet been established. What should the therapist do NEXT?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Begin the most advanced experiential intervention available to create rapid change.</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Select the therapist’s preferred goal and assign communication homework immediately.</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Collaboratively specify measurable goals, treatment roles and structure, indicators of progress, and the rationale for the proposed approach before selecting specific interventions.</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Postpone treatment planning until all symptoms and relational patterns have been fully resolved.</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12. </w:t>
      </w:r>
      <w:r>
        <w:rPr>
          <w:rFonts w:ascii="Liberation Sans" w:hAnsi="Liberation Sans" w:eastAsia="Liberation Sans"/>
          <w:b/>
          <w:i w:val="0"/>
          <w:color w:val="18365B"/>
          <w:sz w:val="20"/>
        </w:rPr>
        <w:t>An agency policy states that every employer-sponsored client must receive a detailed progress report sent to the employer, even when the client has not signed a separate authorization. A client has not agreed to that disclosure. What should the therapist do FIRST?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Follow the agency policy because the employer is paying for the service.</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Send a brief summary without the diagnosis because a shorter report does not require authority.</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Ask the supervisor to send the report so the therapist is no longer responsible for the disclosure.</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Identify the controlling confidentiality, legal, ethical, contractual, and informed-consent requirements; raise the policy conflict; and avoid disclosure unless a valid basis and appropriate scope are established.</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13-14</w:t>
            </w:r>
          </w:p>
        </w:tc>
      </w:tr>
    </w:tbl>
    <w:p>
      <w:pPr>
        <w:keepNext/>
        <w:spacing w:before="120" w:after="60" w:line="240" w:lineRule="auto"/>
      </w:pPr>
      <w:r>
        <w:rPr>
          <w:rFonts w:ascii="Liberation Sans" w:hAnsi="Liberation Sans" w:eastAsia="Liberation Sans"/>
          <w:b/>
          <w:i w:val="0"/>
          <w:color w:val="18365B"/>
          <w:sz w:val="20"/>
        </w:rPr>
        <w:t xml:space="preserve">13. </w:t>
      </w:r>
      <w:r>
        <w:rPr>
          <w:rFonts w:ascii="Liberation Sans" w:hAnsi="Liberation Sans" w:eastAsia="Liberation Sans"/>
          <w:b/>
          <w:i w:val="0"/>
          <w:color w:val="18365B"/>
          <w:sz w:val="20"/>
        </w:rPr>
        <w:t>After eight sessions, a couple’s symptom scores show slight improvement, but one partner reports feeling misunderstood by the therapist. Attendance has been inconsistent because of childcare problems. The therapist is considering switching immediately to a more confrontational method. What should the therapist do NEXT?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Review outcome, alliance, functioning, safety, implementation, and access data with the couple; address the rupture and barriers; revisit the formulation and goals; and then decide whether to revise, intensify, refer, or continue.</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Switch methods immediately because any incomplete improvement proves the current approach has failed.</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Continue the current plan unchanged because the symptom scores improved at least slightly.</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Terminate treatment for noncompliance because inconsistent attendance prevents meaningful work.</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14. </w:t>
      </w:r>
      <w:r>
        <w:rPr>
          <w:rFonts w:ascii="Liberation Sans" w:hAnsi="Liberation Sans" w:eastAsia="Liberation Sans"/>
          <w:b/>
          <w:i w:val="0"/>
          <w:color w:val="18365B"/>
          <w:sz w:val="20"/>
        </w:rPr>
        <w:t>During a conjoint session, one partner says, “I bought a handgun yesterday. Soon none of this will matter.” The other partner reports that the client recently gave away valued possessions. What should the therapist do FIRST?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Ask the partner to monitor the client at home and continue the couple session.</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Conduct a direct suicide-risk assessment, including ideation, plan, intent, access to the firearm, recent behavior, protective factors, and immediate safety needs, and use the findings to determine the level of care and next protective steps.</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Call law enforcement automatically without asking additional questions.</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Interpret the statement as a relationship protest and explore the couple’s communication cycle.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15-16</w:t>
            </w:r>
          </w:p>
        </w:tc>
      </w:tr>
    </w:tbl>
    <w:p>
      <w:pPr>
        <w:keepNext/>
        <w:spacing w:before="120" w:after="60" w:line="240" w:lineRule="auto"/>
      </w:pPr>
      <w:r>
        <w:rPr>
          <w:rFonts w:ascii="Liberation Sans" w:hAnsi="Liberation Sans" w:eastAsia="Liberation Sans"/>
          <w:b/>
          <w:i w:val="0"/>
          <w:color w:val="18365B"/>
          <w:sz w:val="20"/>
        </w:rPr>
        <w:t xml:space="preserve">15. </w:t>
      </w:r>
      <w:r>
        <w:rPr>
          <w:rFonts w:ascii="Liberation Sans" w:hAnsi="Liberation Sans" w:eastAsia="Liberation Sans"/>
          <w:b/>
          <w:i w:val="0"/>
          <w:color w:val="18365B"/>
          <w:sz w:val="20"/>
        </w:rPr>
        <w:t>In family therapy, a 17-year-old has slept about two hours per night for several days, is unusually energized and impulsive, and began these changes soon after an antidepressant dose increase. The parent asks the therapist to decide whether the medication should be stopped. Which response is BEST?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Tell the parent to stop the medication immediately because the timing suggests an adverse effect.</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Continue the family session and focus on household boundaries because medication decisions are outside the therapist’s role.</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Assess acute safety, impairment, and medical urgency; facilitate prompt evaluation by the prescriber or another appropriate medical professional; coordinate within authorization and setting requirements; and avoid directing the medication change.</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Diagnose bipolar disorder and advise the prescriber that the medication should be permanently discontinued.</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 xml:space="preserve">16. </w:t>
      </w:r>
      <w:r>
        <w:rPr>
          <w:rFonts w:ascii="Liberation Sans" w:hAnsi="Liberation Sans" w:eastAsia="Liberation Sans"/>
          <w:b/>
          <w:i w:val="0"/>
          <w:color w:val="18365B"/>
          <w:sz w:val="20"/>
        </w:rPr>
        <w:t>A treatment manual recommends written cognitive-restructuring homework. A family with limited literacy, language differences, and high in-session arousal agrees with the treatment goal but repeatedly cannot use the worksheets. Which intervention decision BEST reflects sound treatment design?</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Continue the same homework and add consequences for noncompletion so the intervention remains faithful to the manual.</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Abandon evidence-informed practice and let the family select any activity, whether or not it fits the formulation.</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Choose the most popular family-therapy technique available online because popularity indicates effectiveness.</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Select or adapt an evidence-informed intervention that remains consistent with the shared formulation, theory, goals, readiness, language, and access needs; explain the rationale and monitor the family’s response.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1 Candidate Questions</w:t>
            </w:r>
            <w:r>
              <w:br/>
            </w:r>
            <w:r>
              <w:rPr>
                <w:rFonts w:ascii="Liberation Sans" w:hAnsi="Liberation Sans" w:eastAsia="Liberation Sans"/>
                <w:b w:val="0"/>
                <w:i w:val="0"/>
                <w:color w:val="FFFFFF"/>
                <w:sz w:val="18"/>
              </w:rPr>
              <w:t>Questions 17-17</w:t>
            </w:r>
          </w:p>
        </w:tc>
      </w:tr>
    </w:tbl>
    <w:p>
      <w:pPr>
        <w:keepNext/>
        <w:spacing w:before="120" w:after="60" w:line="240" w:lineRule="auto"/>
      </w:pPr>
      <w:r>
        <w:rPr>
          <w:rFonts w:ascii="Liberation Sans" w:hAnsi="Liberation Sans" w:eastAsia="Liberation Sans"/>
          <w:b/>
          <w:i w:val="0"/>
          <w:color w:val="18365B"/>
          <w:sz w:val="20"/>
        </w:rPr>
        <w:t xml:space="preserve">17. </w:t>
      </w:r>
      <w:r>
        <w:rPr>
          <w:rFonts w:ascii="Liberation Sans" w:hAnsi="Liberation Sans" w:eastAsia="Liberation Sans"/>
          <w:b/>
          <w:i w:val="0"/>
          <w:color w:val="18365B"/>
          <w:sz w:val="20"/>
        </w:rPr>
        <w:t>A multigenerational immigrant family has made little progress. Sessions are frequently missed because of shift work and transportation problems. Family members say the therapist’s examples ignore their religious and community values. The therapist notices growing irritation and thinks the family is “not committed.” What should the therapist do NEXT?</w:t>
      </w:r>
    </w:p>
    <w:p>
      <w:pPr>
        <w:keepLines/>
        <w:spacing w:before="0" w:after="40" w:line="247" w:lineRule="auto"/>
        <w:ind w:left="216" w:hanging="216"/>
      </w:pPr>
      <w:r>
        <w:rPr>
          <w:rFonts w:ascii="Liberation Sans" w:hAnsi="Liberation Sans" w:eastAsia="Liberation Sans"/>
          <w:b/>
          <w:i w:val="0"/>
          <w:color w:val="1F2937"/>
          <w:sz w:val="19"/>
        </w:rPr>
        <w:t xml:space="preserve">A. </w:t>
      </w:r>
      <w:r>
        <w:rPr>
          <w:rFonts w:ascii="Liberation Sans" w:hAnsi="Liberation Sans" w:eastAsia="Liberation Sans"/>
          <w:b w:val="0"/>
          <w:i w:val="0"/>
          <w:color w:val="1F2937"/>
          <w:sz w:val="19"/>
        </w:rPr>
        <w:t>Address the alliance and access concerns with the family; explore cultural and community meanings; examine the therapist’s reaction and possible bias; review outcome, goals, and formulation; obtain consultation as needed; and collaboratively revise the plan and continuity supports.</w:t>
      </w:r>
    </w:p>
    <w:p>
      <w:pPr>
        <w:keepLines/>
        <w:spacing w:before="0" w:after="40" w:line="247" w:lineRule="auto"/>
        <w:ind w:left="216" w:hanging="216"/>
      </w:pPr>
      <w:r>
        <w:rPr>
          <w:rFonts w:ascii="Liberation Sans" w:hAnsi="Liberation Sans" w:eastAsia="Liberation Sans"/>
          <w:b/>
          <w:i w:val="0"/>
          <w:color w:val="1F2937"/>
          <w:sz w:val="19"/>
        </w:rPr>
        <w:t xml:space="preserve">B. </w:t>
      </w:r>
      <w:r>
        <w:rPr>
          <w:rFonts w:ascii="Liberation Sans" w:hAnsi="Liberation Sans" w:eastAsia="Liberation Sans"/>
          <w:b w:val="0"/>
          <w:i w:val="0"/>
          <w:color w:val="1F2937"/>
          <w:sz w:val="19"/>
        </w:rPr>
        <w:t>Document resistance and warn the family that another missed appointment will end treatment.</w:t>
      </w:r>
    </w:p>
    <w:p>
      <w:pPr>
        <w:keepLines/>
        <w:spacing w:before="0" w:after="40" w:line="247" w:lineRule="auto"/>
        <w:ind w:left="216" w:hanging="216"/>
      </w:pPr>
      <w:r>
        <w:rPr>
          <w:rFonts w:ascii="Liberation Sans" w:hAnsi="Liberation Sans" w:eastAsia="Liberation Sans"/>
          <w:b/>
          <w:i w:val="0"/>
          <w:color w:val="1F2937"/>
          <w:sz w:val="19"/>
        </w:rPr>
        <w:t xml:space="preserve">C. </w:t>
      </w:r>
      <w:r>
        <w:rPr>
          <w:rFonts w:ascii="Liberation Sans" w:hAnsi="Liberation Sans" w:eastAsia="Liberation Sans"/>
          <w:b w:val="0"/>
          <w:i w:val="0"/>
          <w:color w:val="1F2937"/>
          <w:sz w:val="19"/>
        </w:rPr>
        <w:t>Avoid discussing culture or access and focus only on symptom reduction to preserve clinical neutrality.</w:t>
      </w:r>
    </w:p>
    <w:p>
      <w:pPr>
        <w:keepLines/>
        <w:spacing w:before="0" w:after="40" w:line="247" w:lineRule="auto"/>
        <w:ind w:left="216" w:hanging="216"/>
      </w:pPr>
      <w:r>
        <w:rPr>
          <w:rFonts w:ascii="Liberation Sans" w:hAnsi="Liberation Sans" w:eastAsia="Liberation Sans"/>
          <w:b/>
          <w:i w:val="0"/>
          <w:color w:val="1F2937"/>
          <w:sz w:val="19"/>
        </w:rPr>
        <w:t xml:space="preserve">D. </w:t>
      </w:r>
      <w:r>
        <w:rPr>
          <w:rFonts w:ascii="Liberation Sans" w:hAnsi="Liberation Sans" w:eastAsia="Liberation Sans"/>
          <w:b w:val="0"/>
          <w:i w:val="0"/>
          <w:color w:val="1F2937"/>
          <w:sz w:val="19"/>
        </w:rPr>
        <w:t>Transfer the family immediately to a therapist who appears to share their background without discussing goals, fit, consent, or continuity.</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Candidate Reflection</w:t>
            </w:r>
            <w:r>
              <w:br/>
            </w:r>
            <w:r>
              <w:rPr>
                <w:rFonts w:ascii="Liberation Sans" w:hAnsi="Liberation Sans" w:eastAsia="Liberation Sans"/>
                <w:b w:val="0"/>
                <w:i w:val="0"/>
                <w:color w:val="FFFFFF"/>
                <w:sz w:val="18"/>
              </w:rPr>
              <w:t>Complete before opening the controlled rationale form.</w:t>
            </w:r>
          </w:p>
        </w:tc>
      </w:tr>
    </w:tbl>
    <w:tbl>
      <w:tblPr>
        <w:tblW w:type="auto" w:w="0"/>
        <w:jc w:val="center"/>
        <w:tblLayout w:type="fixed"/>
        <w:tblLook w:firstColumn="1" w:firstRow="1" w:lastColumn="0" w:lastRow="0" w:noHBand="0" w:noVBand="1" w:val="04A0"/>
      </w:tblPr>
      <w:tblGrid>
        <w:gridCol w:w="3456"/>
        <w:gridCol w:w="6912"/>
      </w:tblGrid>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Raw score after scoring</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 / 17</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Elapsed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High-confidence misses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Low-confidence correct answers</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Primary error code(s)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One rule I will apply next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GATE  </w:t>
            </w:r>
            <w:r>
              <w:rPr>
                <w:rFonts w:ascii="Liberation Sans" w:hAnsi="Liberation Sans" w:eastAsia="Liberation Sans"/>
                <w:b w:val="0"/>
                <w:i w:val="0"/>
                <w:color w:val="1F2937"/>
                <w:sz w:val="19"/>
              </w:rPr>
              <w:t>Do not revise answers after opening the rationale form. Preserve the first-attempt answer, confidence, and time so remediation reflects the reasoning process that actually occurred.</w:t>
            </w:r>
          </w:p>
        </w:tc>
      </w:tr>
    </w:tbl>
    <w:p>
      <w:pPr>
        <w:pStyle w:val="Heading2"/>
      </w:pPr>
      <w:r>
        <w:t>Source-Control Note</w:t>
      </w:r>
    </w:p>
    <w:p>
      <w:pPr>
        <w:spacing w:before="0" w:after="0" w:line="240" w:lineRule="auto"/>
      </w:pPr>
      <w:r>
        <w:rPr>
          <w:rFonts w:ascii="Liberation Sans" w:hAnsi="Liberation Sans" w:eastAsia="Liberation Sans"/>
          <w:b w:val="0"/>
          <w:i w:val="0"/>
          <w:color w:val="1F2937"/>
          <w:sz w:val="17"/>
        </w:rPr>
        <w:t>Exam-mechanics statements are aligned to the current official AMFTRB examination reference and the corrected 2026 candidate handbook used by CTA in July 2026. Candidates must verify current administration rules with AMFTRB and their licensing jurisdiction before testing.</w:t>
      </w:r>
    </w:p>
    <w:sectPr w:rsidR="00FC693F" w:rsidRPr="0006063C" w:rsidSect="00034616">
      <w:headerReference w:type="default" r:id="rId9"/>
      <w:footerReference w:type="default" r:id="rId10"/>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WB1 Candidate Bank v1.0 | Page </w:t>
    </w:r>
    <w:r>
      <w:rPr>
        <w:rFonts w:ascii="Liberation Sans" w:hAnsi="Liberation Sans"/>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r>
          <w:r>
            <w:br/>
          </w:r>
          <w:r>
            <w:rPr>
              <w:rFonts w:ascii="Liberation Sans" w:hAnsi="Liberation Sans" w:eastAsia="Liberation Sans"/>
              <w:b w:val="0"/>
              <w:i w:val="0"/>
              <w:color w:val="18365B"/>
              <w:sz w:val="16"/>
            </w:rPr>
            <w:t>Workbook 1 - 17-Question Candidate Bank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 17-Question Candidate Bank</dc:title>
  <dc:subject>Candidate form - no answers</dc:subject>
  <dc:creator>Clinical Training &amp; Supervision Academy</dc:creator>
  <cp:keywords>CTA, LMFT, AMFTRB, exam preparation, Workbook 1</cp:keywords>
  <dc:description>Original CTA exam-preparation material. No CE credit.</dc:description>
  <cp:lastModifiedBy/>
  <cp:revision>1</cp:revision>
  <dcterms:created xsi:type="dcterms:W3CDTF">2013-12-23T23:15:00Z</dcterms:created>
  <dcterms:modified xsi:type="dcterms:W3CDTF">2013-12-23T23:15:00Z</dcterms:modified>
  <cp:category/>
</cp:coreProperties>
</file>