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drawing>
          <wp:inline xmlns:a="http://schemas.openxmlformats.org/drawingml/2006/main" xmlns:pic="http://schemas.openxmlformats.org/drawingml/2006/picture">
            <wp:extent cx="5029200" cy="1671869"/>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029200" cy="1671869"/>
                    </a:xfrm>
                    <a:prstGeom prst="rect"/>
                  </pic:spPr>
                </pic:pic>
              </a:graphicData>
            </a:graphic>
          </wp:inline>
        </w:drawing>
      </w:r>
    </w:p>
    <w:p>
      <w:pPr>
        <w:spacing w:before="160" w:after="40" w:line="240" w:lineRule="auto"/>
        <w:jc w:val="center"/>
      </w:pPr>
      <w:r>
        <w:rPr>
          <w:rFonts w:ascii="Liberation Sans" w:hAnsi="Liberation Sans" w:eastAsia="Liberation Sans"/>
          <w:b/>
          <w:i w:val="0"/>
          <w:color w:val="18365B"/>
          <w:sz w:val="36"/>
        </w:rPr>
        <w:t>CTA LMFT AMFTRB</w:t>
      </w:r>
      <w:r>
        <w:br/>
      </w:r>
      <w:r>
        <w:rPr>
          <w:rFonts w:ascii="Liberation Sans" w:hAnsi="Liberation Sans" w:eastAsia="Liberation Sans"/>
          <w:b/>
          <w:i w:val="0"/>
          <w:color w:val="18365B"/>
          <w:sz w:val="34"/>
        </w:rPr>
        <w:t>NATIONAL EXAM PREPARATION PROGRAM</w:t>
      </w:r>
    </w:p>
    <w:p>
      <w:pPr>
        <w:spacing w:before="200" w:after="80" w:line="240" w:lineRule="auto"/>
        <w:jc w:val="center"/>
      </w:pPr>
      <w:r>
        <w:rPr>
          <w:rFonts w:ascii="Liberation Sans" w:hAnsi="Liberation Sans" w:eastAsia="Liberation Sans"/>
          <w:b/>
          <w:i w:val="0"/>
          <w:color w:val="1A9A96"/>
          <w:sz w:val="27"/>
        </w:rPr>
        <w:t>WORKBOOK 2 PRACTICE BANK</w:t>
      </w:r>
    </w:p>
    <w:p>
      <w:pPr>
        <w:spacing w:before="160" w:after="80" w:line="240" w:lineRule="auto"/>
        <w:jc w:val="center"/>
      </w:pPr>
      <w:r>
        <w:rPr>
          <w:rFonts w:ascii="Liberation Sans" w:hAnsi="Liberation Sans" w:eastAsia="Liberation Sans"/>
          <w:b/>
          <w:i w:val="0"/>
          <w:color w:val="18365B"/>
          <w:sz w:val="40"/>
        </w:rPr>
        <w:t>17-Question Candidate Form</w:t>
      </w:r>
    </w:p>
    <w:p>
      <w:pPr>
        <w:spacing w:before="40" w:after="280" w:line="240" w:lineRule="auto"/>
        <w:jc w:val="center"/>
      </w:pPr>
      <w:r>
        <w:rPr>
          <w:rFonts w:ascii="Liberation Sans" w:hAnsi="Liberation Sans" w:eastAsia="Liberation Sans"/>
          <w:b/>
          <w:i w:val="0"/>
          <w:color w:val="18365B"/>
          <w:sz w:val="25"/>
        </w:rPr>
        <w:t>Therapeutic Alliance, Systemic Practice, and Self of the Therapist</w:t>
      </w:r>
    </w:p>
    <w:tbl>
      <w:tblPr>
        <w:tblW w:type="auto" w:w="0"/>
        <w:jc w:val="center"/>
        <w:tblLook w:firstColumn="1" w:firstRow="1" w:lastColumn="0" w:lastRow="0" w:noHBand="0" w:noVBand="1" w:val="04A0"/>
      </w:tblPr>
      <w:tblGrid>
        <w:gridCol w:w="10454"/>
      </w:tblGrid>
      <w:tr>
        <w:tc>
          <w:tcPr>
            <w:tcW w:type="dxa" w:w="10454"/>
            <w:shd w:fill="E8F6F5"/>
            <w:tcBorders>
              <w:top w:val="single" w:sz="12" w:color="1A9A96"/>
              <w:left w:val="single" w:sz="12" w:color="1A9A96"/>
              <w:bottom w:val="single" w:sz="12" w:color="1A9A96"/>
              <w:right w:val="single" w:sz="12" w:color="1A9A96"/>
            </w:tcBorders>
            <w:tcMar>
              <w:top w:w="120" w:type="dxa"/>
              <w:start w:w="180" w:type="dxa"/>
              <w:bottom w:w="120" w:type="dxa"/>
              <w:end w:w="180" w:type="dxa"/>
            </w:tcMar>
          </w:tcPr>
          <w:p>
            <w:pPr>
              <w:spacing w:before="0" w:after="0" w:line="240" w:lineRule="auto"/>
              <w:jc w:val="center"/>
            </w:pPr>
            <w:r>
              <w:rPr>
                <w:rFonts w:ascii="Liberation Sans" w:hAnsi="Liberation Sans" w:eastAsia="Liberation Sans"/>
                <w:b/>
                <w:i w:val="0"/>
                <w:color w:val="18365B"/>
                <w:sz w:val="21"/>
              </w:rPr>
              <w:t>CANDIDATE FORM | Complete before opening the controlled answer-and-rationale form</w:t>
            </w:r>
          </w:p>
        </w:tc>
      </w:tr>
    </w:tbl>
    <w:p>
      <w:pPr>
        <w:spacing w:before="400" w:after="40" w:line="240" w:lineRule="auto"/>
        <w:jc w:val="center"/>
      </w:pPr>
      <w:r>
        <w:rPr>
          <w:rFonts w:ascii="Liberation Sans" w:hAnsi="Liberation Sans" w:eastAsia="Liberation Sans"/>
          <w:b/>
          <w:i w:val="0"/>
          <w:color w:val="18365B"/>
          <w:sz w:val="20"/>
        </w:rPr>
        <w:t>Version 1.0 - July 2026</w:t>
      </w:r>
      <w:r>
        <w:br/>
      </w:r>
      <w:r>
        <w:rPr>
          <w:rFonts w:ascii="Liberation Sans" w:hAnsi="Liberation Sans" w:eastAsia="Liberation Sans"/>
          <w:b/>
          <w:i w:val="0"/>
          <w:color w:val="1A9A96"/>
          <w:sz w:val="20"/>
        </w:rPr>
        <w:t>Clinical Training &amp; Supervision Academy</w:t>
      </w:r>
      <w:r>
        <w:br/>
      </w:r>
      <w:r>
        <w:rPr>
          <w:rFonts w:ascii="Liberation Sans" w:hAnsi="Liberation Sans" w:eastAsia="Liberation Sans"/>
          <w:b w:val="0"/>
          <w:i w:val="0"/>
          <w:color w:val="667085"/>
          <w:sz w:val="18"/>
        </w:rPr>
        <w:t>Exam Preparation Program | No Continuing-Education Credit</w:t>
      </w:r>
    </w:p>
    <w:p>
      <w:pPr>
        <w:spacing w:before="280" w:after="0" w:line="240" w:lineRule="auto"/>
        <w:jc w:val="center"/>
      </w:pPr>
      <w:r>
        <w:rPr>
          <w:rFonts w:ascii="Liberation Sans" w:hAnsi="Liberation Sans" w:eastAsia="Liberation Sans"/>
          <w:b/>
          <w:i/>
          <w:color w:val="18365B"/>
          <w:sz w:val="20"/>
        </w:rPr>
        <w:t>Teaching Clinicians How to Think.</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How to Use This Candidate Bank</w:t>
            </w:r>
          </w:p>
        </w:tc>
      </w:tr>
    </w:tbl>
    <w:p>
      <w:pPr>
        <w:spacing w:before="0" w:after="100" w:line="240" w:lineRule="auto"/>
      </w:pPr>
      <w:r>
        <w:rPr>
          <w:rFonts w:ascii="Liberation Sans" w:hAnsi="Liberation Sans" w:eastAsia="Liberation Sans"/>
          <w:b w:val="0"/>
          <w:i w:val="0"/>
          <w:color w:val="1F2937"/>
          <w:sz w:val="18"/>
        </w:rPr>
        <w:t>This bank contains 17 original CTA one-best-answer questions aligned to Workbook 2. It tests systemic alliance, participation, culture and power, therapist self-awareness, competence, boundaries, and rupture repair—not reproduction of official AMFTRB questions.</w:t>
      </w:r>
    </w:p>
    <w:p>
      <w:pPr>
        <w:pStyle w:val="ListBullet"/>
        <w:spacing w:before="0" w:after="40" w:line="240" w:lineRule="auto"/>
      </w:pPr>
      <w:r>
        <w:rPr>
          <w:rFonts w:ascii="Liberation Sans" w:hAnsi="Liberation Sans" w:eastAsia="Liberation Sans"/>
          <w:b w:val="0"/>
          <w:i w:val="0"/>
          <w:color w:val="1F2937"/>
          <w:sz w:val="18"/>
        </w:rPr>
        <w:t>Choose one answer (A-D) for every item. Do not leave blanks.</w:t>
      </w:r>
    </w:p>
    <w:p>
      <w:pPr>
        <w:pStyle w:val="ListBullet"/>
        <w:spacing w:before="0" w:after="40" w:line="240" w:lineRule="auto"/>
      </w:pPr>
      <w:r>
        <w:rPr>
          <w:rFonts w:ascii="Liberation Sans" w:hAnsi="Liberation Sans" w:eastAsia="Liberation Sans"/>
          <w:b w:val="0"/>
          <w:i w:val="0"/>
          <w:color w:val="1F2937"/>
          <w:sz w:val="18"/>
        </w:rPr>
        <w:t>Suggested timed attempt: 23 minutes, based on the current 80-second average. Untimed first attempts are also acceptable when learning the method.</w:t>
      </w:r>
    </w:p>
    <w:p>
      <w:pPr>
        <w:pStyle w:val="ListBullet"/>
        <w:spacing w:before="0" w:after="40" w:line="240" w:lineRule="auto"/>
      </w:pPr>
      <w:r>
        <w:rPr>
          <w:rFonts w:ascii="Liberation Sans" w:hAnsi="Liberation Sans" w:eastAsia="Liberation Sans"/>
          <w:b w:val="0"/>
          <w:i w:val="0"/>
          <w:color w:val="1F2937"/>
          <w:sz w:val="18"/>
        </w:rPr>
        <w:t>Record confidence from 1 (guess) to 4 (high confidence) and note elapsed time.</w:t>
      </w:r>
    </w:p>
    <w:p>
      <w:pPr>
        <w:pStyle w:val="ListBullet"/>
        <w:spacing w:before="0" w:after="40" w:line="240" w:lineRule="auto"/>
      </w:pPr>
      <w:r>
        <w:rPr>
          <w:rFonts w:ascii="Liberation Sans" w:hAnsi="Liberation Sans" w:eastAsia="Liberation Sans"/>
          <w:b w:val="0"/>
          <w:i w:val="0"/>
          <w:color w:val="1F2937"/>
          <w:sz w:val="18"/>
        </w:rPr>
        <w:t>Use CIRCLE, ALLIANCE, LEVELS, POWER, CONTEXT, SELF, and REPAIR before changing an answer. Change only for a specific fact, qualifier, role rule, or stronger comparison.</w:t>
      </w:r>
    </w:p>
    <w:p>
      <w:pPr>
        <w:pStyle w:val="ListBullet"/>
        <w:spacing w:before="0" w:after="40" w:line="240" w:lineRule="auto"/>
      </w:pPr>
      <w:r>
        <w:rPr>
          <w:rFonts w:ascii="Liberation Sans" w:hAnsi="Liberation Sans" w:eastAsia="Liberation Sans"/>
          <w:b w:val="0"/>
          <w:i w:val="0"/>
          <w:color w:val="1F2937"/>
          <w:sz w:val="18"/>
        </w:rPr>
        <w:t>Submit or finalize this candidate form before opening the controlled answer key and detailed rationales.</w:t>
      </w:r>
    </w:p>
    <w:p>
      <w:pPr>
        <w:pStyle w:val="ListBullet"/>
        <w:spacing w:before="0" w:after="40" w:line="240" w:lineRule="auto"/>
      </w:pPr>
      <w:r>
        <w:rPr>
          <w:rFonts w:ascii="Liberation Sans" w:hAnsi="Liberation Sans" w:eastAsia="Liberation Sans"/>
          <w:b w:val="0"/>
          <w:i w:val="0"/>
          <w:color w:val="1F2937"/>
          <w:sz w:val="18"/>
        </w:rPr>
        <w:t>CTA raw scores are instructional data only and are not official AMFTRB scaled scores or passing predictions.</w:t>
      </w:r>
    </w:p>
    <w:tbl>
      <w:tblPr>
        <w:tblW w:type="auto" w:w="0"/>
        <w:jc w:val="center"/>
        <w:tblLook w:firstColumn="1" w:firstRow="1" w:lastColumn="0" w:lastRow="0" w:noHBand="0" w:noVBand="1" w:val="04A0"/>
      </w:tblPr>
      <w:tblGrid>
        <w:gridCol w:w="10454"/>
      </w:tblGrid>
      <w:tr>
        <w:tc>
          <w:tcPr>
            <w:tcW w:type="dxa" w:w="10454"/>
            <w:shd w:fill="FFF6DC"/>
            <w:tcBorders>
              <w:top w:val="single" w:sz="10" w:color="D8A400"/>
              <w:left w:val="single" w:sz="10" w:color="D8A400"/>
              <w:bottom w:val="single" w:sz="10" w:color="D8A400"/>
              <w:right w:val="single" w:sz="10" w:color="D8A400"/>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SECURITY AND ATTRIBUTION NOTICE  </w:t>
            </w:r>
            <w:r>
              <w:rPr>
                <w:rFonts w:ascii="Liberation Sans" w:hAnsi="Liberation Sans" w:eastAsia="Liberation Sans"/>
                <w:b w:val="0"/>
                <w:i w:val="0"/>
                <w:color w:val="1F2937"/>
                <w:sz w:val="19"/>
              </w:rPr>
              <w:t>These questions are original CTA educational materials. They are not official AMFTRB items and do not imply affiliation with or endorsement by AMFTRB, PTC, Prometric, or any licensing jurisdiction.</w:t>
            </w:r>
          </w:p>
        </w:tc>
      </w:tr>
    </w:tbl>
    <w:p>
      <w:pPr>
        <w:pStyle w:val="Heading2"/>
      </w:pPr>
      <w:r>
        <w:t>Answer Record</w:t>
      </w:r>
    </w:p>
    <w:tbl>
      <w:tblPr>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gridCol w:w="1080"/>
      </w:tblGrid>
      <w:tr>
        <w:tc>
          <w:tcPr>
            <w:tcW w:type="dxa" w:w="10458"/>
            <w:gridSpan w:val="9"/>
            <w:shd w:fill="18365B"/>
            <w:tcMar>
              <w:top w:w="70" w:type="dxa"/>
              <w:start w:w="80" w:type="dxa"/>
              <w:bottom w:w="70" w:type="dxa"/>
              <w:end w:w="80" w:type="dxa"/>
            </w:tcMar>
          </w:tcPr>
          <w:p>
            <w:pPr>
              <w:spacing w:before="0" w:after="0" w:line="240" w:lineRule="auto"/>
              <w:jc w:val="center"/>
            </w:pPr>
            <w:r>
              <w:rPr>
                <w:rFonts w:ascii="Liberation Sans" w:hAnsi="Liberation Sans" w:eastAsia="Liberation Sans"/>
                <w:b/>
                <w:i w:val="0"/>
                <w:color w:val="FFFFFF"/>
                <w:sz w:val="19"/>
              </w:rPr>
              <w:t>CANDIDATE ANSWER RECORD</w:t>
            </w:r>
          </w:p>
        </w:tc>
      </w:tr>
      <w:tr>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2</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3</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4</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5</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6</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7</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8</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9</w:t>
              <w:br/>
              <w:t>Ans: ___</w:t>
              <w:br/>
              <w:t>Conf: ___</w:t>
            </w:r>
          </w:p>
        </w:tc>
      </w:tr>
      <w:tr>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10</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11</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12</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13</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14</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15</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16</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17</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p>
        </w:tc>
      </w:tr>
    </w:tbl>
    <w:p>
      <w:pPr>
        <w:spacing w:before="100" w:after="80" w:line="240" w:lineRule="auto"/>
      </w:pPr>
      <w:r>
        <w:rPr>
          <w:rFonts w:ascii="Liberation Sans" w:hAnsi="Liberation Sans" w:eastAsia="Liberation Sans"/>
          <w:b w:val="0"/>
          <w:i w:val="0"/>
          <w:color w:val="667085"/>
          <w:sz w:val="17"/>
        </w:rPr>
        <w:t>Start time: __________   End time: __________   Total elapsed: __________   Notes: __________________________________________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2 Candidate Questions</w:t>
              <w:br/>
              <w:t>Select the one best answer. Record confidence and time for each item.</w:t>
            </w:r>
          </w:p>
        </w:tc>
      </w:tr>
    </w:tbl>
    <w:p>
      <w:pPr>
        <w:keepNext/>
        <w:spacing w:before="120" w:after="60" w:line="240" w:lineRule="auto"/>
      </w:pPr>
      <w:r>
        <w:rPr>
          <w:rFonts w:ascii="Liberation Sans" w:hAnsi="Liberation Sans" w:eastAsia="Liberation Sans"/>
          <w:b/>
          <w:i w:val="0"/>
          <w:color w:val="18365B"/>
          <w:sz w:val="20"/>
        </w:rPr>
        <w:t>1. A family reports that 16-year-old Lena stays up gaming, misses school, and hides her phone. Her father checks the device repeatedly and threatens confiscation; Lena then becomes more secretive and stays awake later. Which formulation most clearly reflects a systemic perspective?</w:t>
      </w:r>
    </w:p>
    <w:p>
      <w:pPr>
        <w:keepLines/>
        <w:spacing w:before="0" w:after="40" w:line="247" w:lineRule="auto"/>
        <w:ind w:left="216" w:hanging="216"/>
      </w:pPr>
      <w:r>
        <w:rPr>
          <w:rFonts w:ascii="Liberation Sans" w:hAnsi="Liberation Sans" w:eastAsia="Liberation Sans"/>
          <w:b/>
          <w:i w:val="0"/>
          <w:color w:val="1F2937"/>
          <w:sz w:val="19"/>
        </w:rPr>
        <w:t>A. The father’s escalating monitoring and Lena’s secrecy may reciprocally reinforce one another within a larger pattern involving school stress, sleep, autonomy, and family fear.</w:t>
      </w:r>
    </w:p>
    <w:p>
      <w:pPr>
        <w:keepLines/>
        <w:spacing w:before="0" w:after="40" w:line="247" w:lineRule="auto"/>
        <w:ind w:left="216" w:hanging="216"/>
      </w:pPr>
      <w:r>
        <w:rPr>
          <w:rFonts w:ascii="Liberation Sans" w:hAnsi="Liberation Sans" w:eastAsia="Liberation Sans"/>
          <w:b/>
          <w:i w:val="0"/>
          <w:color w:val="1F2937"/>
          <w:sz w:val="19"/>
        </w:rPr>
        <w:t>B. Lena’s gaming is the sole cause of the family conflict and should be treated before any relational pattern is considered.</w:t>
      </w:r>
    </w:p>
    <w:p>
      <w:pPr>
        <w:keepLines/>
        <w:spacing w:before="0" w:after="40" w:line="247" w:lineRule="auto"/>
        <w:ind w:left="216" w:hanging="216"/>
      </w:pPr>
      <w:r>
        <w:rPr>
          <w:rFonts w:ascii="Liberation Sans" w:hAnsi="Liberation Sans" w:eastAsia="Liberation Sans"/>
          <w:b/>
          <w:i w:val="0"/>
          <w:color w:val="1F2937"/>
          <w:sz w:val="19"/>
        </w:rPr>
        <w:t>C. The father is responsible for the entire problem because parental control always produces adolescent defiance.</w:t>
      </w:r>
    </w:p>
    <w:p>
      <w:pPr>
        <w:keepLines/>
        <w:spacing w:before="0" w:after="40" w:line="247" w:lineRule="auto"/>
        <w:ind w:left="216" w:hanging="216"/>
      </w:pPr>
      <w:r>
        <w:rPr>
          <w:rFonts w:ascii="Liberation Sans" w:hAnsi="Liberation Sans" w:eastAsia="Liberation Sans"/>
          <w:b/>
          <w:i w:val="0"/>
          <w:color w:val="1F2937"/>
          <w:sz w:val="19"/>
        </w:rPr>
        <w:t>D. Because the problem is systemic, individual sleep, mood, and school-functioning concerns should not be assessed.</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2. A therapist hypothesizes that one partner withdraws when criticism is anticipated and that the withdrawal intensifies the other partner’s pursuit. Which therapist statement is BEST aligned with that hypothesis?</w:t>
      </w:r>
    </w:p>
    <w:p>
      <w:pPr>
        <w:keepLines/>
        <w:spacing w:before="0" w:after="40" w:line="247" w:lineRule="auto"/>
        <w:ind w:left="216" w:hanging="216"/>
      </w:pPr>
      <w:r>
        <w:rPr>
          <w:rFonts w:ascii="Liberation Sans" w:hAnsi="Liberation Sans" w:eastAsia="Liberation Sans"/>
          <w:b/>
          <w:i w:val="0"/>
          <w:color w:val="1F2937"/>
          <w:sz w:val="19"/>
        </w:rPr>
        <w:t>A. “The withdrawing partner needs to accept responsibility for causing the conflict.”</w:t>
      </w:r>
    </w:p>
    <w:p>
      <w:pPr>
        <w:keepLines/>
        <w:spacing w:before="0" w:after="40" w:line="247" w:lineRule="auto"/>
        <w:ind w:left="216" w:hanging="216"/>
      </w:pPr>
      <w:r>
        <w:rPr>
          <w:rFonts w:ascii="Liberation Sans" w:hAnsi="Liberation Sans" w:eastAsia="Liberation Sans"/>
          <w:b/>
          <w:i w:val="0"/>
          <w:color w:val="1F2937"/>
          <w:sz w:val="19"/>
        </w:rPr>
        <w:t>B. “Let us slow down the sequence and examine what each of you notices, fears, and does just before pursuit and withdrawal increase.”</w:t>
      </w:r>
    </w:p>
    <w:p>
      <w:pPr>
        <w:keepLines/>
        <w:spacing w:before="0" w:after="40" w:line="247" w:lineRule="auto"/>
        <w:ind w:left="216" w:hanging="216"/>
      </w:pPr>
      <w:r>
        <w:rPr>
          <w:rFonts w:ascii="Liberation Sans" w:hAnsi="Liberation Sans" w:eastAsia="Liberation Sans"/>
          <w:b/>
          <w:i w:val="0"/>
          <w:color w:val="1F2937"/>
          <w:sz w:val="19"/>
        </w:rPr>
        <w:t>C. “Because the pattern is circular, neither partner’s behavior has any impact on the relationship.”</w:t>
      </w:r>
    </w:p>
    <w:p>
      <w:pPr>
        <w:keepLines/>
        <w:spacing w:before="0" w:after="40" w:line="247" w:lineRule="auto"/>
        <w:ind w:left="216" w:hanging="216"/>
      </w:pPr>
      <w:r>
        <w:rPr>
          <w:rFonts w:ascii="Liberation Sans" w:hAnsi="Liberation Sans" w:eastAsia="Liberation Sans"/>
          <w:b/>
          <w:i w:val="0"/>
          <w:color w:val="1F2937"/>
          <w:sz w:val="19"/>
        </w:rPr>
        <w:t>D. “We should avoid discussing the relationship until the pursuing partner’s symptoms are eliminated.”</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2 Candidate Questions</w:t>
              <w:br/>
              <w:t>Questions 3-4</w:t>
            </w:r>
          </w:p>
        </w:tc>
      </w:tr>
    </w:tbl>
    <w:p>
      <w:pPr>
        <w:keepNext/>
        <w:spacing w:before="120" w:after="60" w:line="240" w:lineRule="auto"/>
      </w:pPr>
      <w:r>
        <w:rPr>
          <w:rFonts w:ascii="Liberation Sans" w:hAnsi="Liberation Sans" w:eastAsia="Liberation Sans"/>
          <w:b/>
          <w:i w:val="0"/>
          <w:color w:val="18365B"/>
          <w:sz w:val="20"/>
        </w:rPr>
        <w:t>3. During an intake, a young adult gives brief answers and looks toward a parent before speaking. The parent says, “You need to make him tell the truth.” What should the therapist do FIRST?</w:t>
      </w:r>
    </w:p>
    <w:p>
      <w:pPr>
        <w:keepLines/>
        <w:spacing w:before="0" w:after="40" w:line="247" w:lineRule="auto"/>
        <w:ind w:left="216" w:hanging="216"/>
      </w:pPr>
      <w:r>
        <w:rPr>
          <w:rFonts w:ascii="Liberation Sans" w:hAnsi="Liberation Sans" w:eastAsia="Liberation Sans"/>
          <w:b/>
          <w:i w:val="0"/>
          <w:color w:val="1F2937"/>
          <w:sz w:val="19"/>
        </w:rPr>
        <w:t>A. Ask the parent to provide the full history while the young adult listens silently.</w:t>
      </w:r>
    </w:p>
    <w:p>
      <w:pPr>
        <w:keepLines/>
        <w:spacing w:before="0" w:after="40" w:line="247" w:lineRule="auto"/>
        <w:ind w:left="216" w:hanging="216"/>
      </w:pPr>
      <w:r>
        <w:rPr>
          <w:rFonts w:ascii="Liberation Sans" w:hAnsi="Liberation Sans" w:eastAsia="Liberation Sans"/>
          <w:b/>
          <w:i w:val="0"/>
          <w:color w:val="1F2937"/>
          <w:sz w:val="19"/>
        </w:rPr>
        <w:t>B. Require the young adult to speak privately so the therapist can obtain complete disclosure.</w:t>
      </w:r>
    </w:p>
    <w:p>
      <w:pPr>
        <w:keepLines/>
        <w:spacing w:before="0" w:after="40" w:line="247" w:lineRule="auto"/>
        <w:ind w:left="216" w:hanging="216"/>
      </w:pPr>
      <w:r>
        <w:rPr>
          <w:rFonts w:ascii="Liberation Sans" w:hAnsi="Liberation Sans" w:eastAsia="Liberation Sans"/>
          <w:b/>
          <w:i w:val="0"/>
          <w:color w:val="1F2937"/>
          <w:sz w:val="19"/>
        </w:rPr>
        <w:t>C. Clarify the client and session roles, assess safety and voluntariness, explain relevant information boundaries, and ask what would make participation workable.</w:t>
      </w:r>
    </w:p>
    <w:p>
      <w:pPr>
        <w:keepLines/>
        <w:spacing w:before="0" w:after="40" w:line="247" w:lineRule="auto"/>
        <w:ind w:left="216" w:hanging="216"/>
      </w:pPr>
      <w:r>
        <w:rPr>
          <w:rFonts w:ascii="Liberation Sans" w:hAnsi="Liberation Sans" w:eastAsia="Liberation Sans"/>
          <w:b/>
          <w:i w:val="0"/>
          <w:color w:val="1F2937"/>
          <w:sz w:val="19"/>
        </w:rPr>
        <w:t>D. Conclude that the young adult is resistant and assign a participation contract.</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4. In the first couple session, each partner asks the therapist to decide who is right. One says, “You need to hold my spouse accountable,” while the other says, “You already sound biased.” Which response BEST supports joining with the client system?</w:t>
      </w:r>
    </w:p>
    <w:p>
      <w:pPr>
        <w:keepLines/>
        <w:spacing w:before="0" w:after="40" w:line="247" w:lineRule="auto"/>
        <w:ind w:left="216" w:hanging="216"/>
      </w:pPr>
      <w:r>
        <w:rPr>
          <w:rFonts w:ascii="Liberation Sans" w:hAnsi="Liberation Sans" w:eastAsia="Liberation Sans"/>
          <w:b/>
          <w:i w:val="0"/>
          <w:color w:val="1F2937"/>
          <w:sz w:val="19"/>
        </w:rPr>
        <w:t>A. Promise to remain completely neutral and avoid naming any harmful behavior throughout treatment.</w:t>
      </w:r>
    </w:p>
    <w:p>
      <w:pPr>
        <w:keepLines/>
        <w:spacing w:before="0" w:after="40" w:line="247" w:lineRule="auto"/>
        <w:ind w:left="216" w:hanging="216"/>
      </w:pPr>
      <w:r>
        <w:rPr>
          <w:rFonts w:ascii="Liberation Sans" w:hAnsi="Liberation Sans" w:eastAsia="Liberation Sans"/>
          <w:b/>
          <w:i w:val="0"/>
          <w:color w:val="1F2937"/>
          <w:sz w:val="19"/>
        </w:rPr>
        <w:t>B. Tell both partners that they are equally responsible for every problem so neither feels singled out.</w:t>
      </w:r>
    </w:p>
    <w:p>
      <w:pPr>
        <w:keepLines/>
        <w:spacing w:before="0" w:after="40" w:line="247" w:lineRule="auto"/>
        <w:ind w:left="216" w:hanging="216"/>
      </w:pPr>
      <w:r>
        <w:rPr>
          <w:rFonts w:ascii="Liberation Sans" w:hAnsi="Liberation Sans" w:eastAsia="Liberation Sans"/>
          <w:b/>
          <w:i w:val="0"/>
          <w:color w:val="1F2937"/>
          <w:sz w:val="19"/>
        </w:rPr>
        <w:t>C. Ask each partner to argue the case while the therapist withholds all reactions until the end of the session.</w:t>
      </w:r>
    </w:p>
    <w:p>
      <w:pPr>
        <w:keepLines/>
        <w:spacing w:before="0" w:after="40" w:line="247" w:lineRule="auto"/>
        <w:ind w:left="216" w:hanging="216"/>
      </w:pPr>
      <w:r>
        <w:rPr>
          <w:rFonts w:ascii="Liberation Sans" w:hAnsi="Liberation Sans" w:eastAsia="Liberation Sans"/>
          <w:b/>
          <w:i w:val="0"/>
          <w:color w:val="1F2937"/>
          <w:sz w:val="19"/>
        </w:rPr>
        <w:t>D. Acknowledge both concerns, clarify that fairness does not require false equivalence, and invite each partner’s goals and experience of the interaction while monitoring safety and power.</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2 Candidate Questions</w:t>
              <w:br/>
              <w:t>Questions 5-6</w:t>
            </w:r>
          </w:p>
        </w:tc>
      </w:tr>
    </w:tbl>
    <w:p>
      <w:pPr>
        <w:keepNext/>
        <w:spacing w:before="120" w:after="60" w:line="240" w:lineRule="auto"/>
      </w:pPr>
      <w:r>
        <w:rPr>
          <w:rFonts w:ascii="Liberation Sans" w:hAnsi="Liberation Sans" w:eastAsia="Liberation Sans"/>
          <w:b/>
          <w:i w:val="0"/>
          <w:color w:val="18365B"/>
          <w:sz w:val="20"/>
        </w:rPr>
        <w:t>5. An MFT who has worked only with adults is asked to provide specialized reunification therapy in a highly contested court-involved family case. The therapist has no training or supervised experience in reunification work. What should the therapist do FIRST?</w:t>
      </w:r>
    </w:p>
    <w:p>
      <w:pPr>
        <w:keepLines/>
        <w:spacing w:before="0" w:after="40" w:line="247" w:lineRule="auto"/>
        <w:ind w:left="216" w:hanging="216"/>
      </w:pPr>
      <w:r>
        <w:rPr>
          <w:rFonts w:ascii="Liberation Sans" w:hAnsi="Liberation Sans" w:eastAsia="Liberation Sans"/>
          <w:b/>
          <w:i w:val="0"/>
          <w:color w:val="1F2937"/>
          <w:sz w:val="19"/>
        </w:rPr>
        <w:t>A. Identify the competence and role limits, obtain qualified consultation or training, and decline or refer the case if competent service cannot be established within an appropriate period.</w:t>
      </w:r>
    </w:p>
    <w:p>
      <w:pPr>
        <w:keepLines/>
        <w:spacing w:before="0" w:after="40" w:line="247" w:lineRule="auto"/>
        <w:ind w:left="216" w:hanging="216"/>
      </w:pPr>
      <w:r>
        <w:rPr>
          <w:rFonts w:ascii="Liberation Sans" w:hAnsi="Liberation Sans" w:eastAsia="Liberation Sans"/>
          <w:b/>
          <w:i w:val="0"/>
          <w:color w:val="1F2937"/>
          <w:sz w:val="19"/>
        </w:rPr>
        <w:t>B. Accept the case because general family-therapy training automatically covers all court-involved services.</w:t>
      </w:r>
    </w:p>
    <w:p>
      <w:pPr>
        <w:keepLines/>
        <w:spacing w:before="0" w:after="40" w:line="247" w:lineRule="auto"/>
        <w:ind w:left="216" w:hanging="216"/>
      </w:pPr>
      <w:r>
        <w:rPr>
          <w:rFonts w:ascii="Liberation Sans" w:hAnsi="Liberation Sans" w:eastAsia="Liberation Sans"/>
          <w:b/>
          <w:i w:val="0"/>
          <w:color w:val="1F2937"/>
          <w:sz w:val="19"/>
        </w:rPr>
        <w:t>C. Accept the case and learn the method from brief online summaries after treatment begins.</w:t>
      </w:r>
    </w:p>
    <w:p>
      <w:pPr>
        <w:keepLines/>
        <w:spacing w:before="0" w:after="40" w:line="247" w:lineRule="auto"/>
        <w:ind w:left="216" w:hanging="216"/>
      </w:pPr>
      <w:r>
        <w:rPr>
          <w:rFonts w:ascii="Liberation Sans" w:hAnsi="Liberation Sans" w:eastAsia="Liberation Sans"/>
          <w:b/>
          <w:i w:val="0"/>
          <w:color w:val="1F2937"/>
          <w:sz w:val="19"/>
        </w:rPr>
        <w:t>D. Ask the referring attorney to define the treatment model and supervise the clinical work.</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6. A partner in couple therapy experiences panic during escalating arguments. Which intervention MOST appropriately integrates an individual coping skill with the systemic treatment plan?</w:t>
      </w:r>
    </w:p>
    <w:p>
      <w:pPr>
        <w:keepLines/>
        <w:spacing w:before="0" w:after="40" w:line="247" w:lineRule="auto"/>
        <w:ind w:left="216" w:hanging="216"/>
      </w:pPr>
      <w:r>
        <w:rPr>
          <w:rFonts w:ascii="Liberation Sans" w:hAnsi="Liberation Sans" w:eastAsia="Liberation Sans"/>
          <w:b/>
          <w:i w:val="0"/>
          <w:color w:val="1F2937"/>
          <w:sz w:val="19"/>
        </w:rPr>
        <w:t>A. Shift all treatment to the partner’s panic symptoms and stop examining the couple interaction.</w:t>
      </w:r>
    </w:p>
    <w:p>
      <w:pPr>
        <w:keepLines/>
        <w:spacing w:before="0" w:after="40" w:line="247" w:lineRule="auto"/>
        <w:ind w:left="216" w:hanging="216"/>
      </w:pPr>
      <w:r>
        <w:rPr>
          <w:rFonts w:ascii="Liberation Sans" w:hAnsi="Liberation Sans" w:eastAsia="Liberation Sans"/>
          <w:b/>
          <w:i w:val="0"/>
          <w:color w:val="1F2937"/>
          <w:sz w:val="19"/>
        </w:rPr>
        <w:t>B. Teach a brief regulation skill as a way to interrupt escalation, connect it to the shared relational goal, and monitor how both partners respond when the skill is used.</w:t>
      </w:r>
    </w:p>
    <w:p>
      <w:pPr>
        <w:keepLines/>
        <w:spacing w:before="0" w:after="40" w:line="247" w:lineRule="auto"/>
        <w:ind w:left="216" w:hanging="216"/>
      </w:pPr>
      <w:r>
        <w:rPr>
          <w:rFonts w:ascii="Liberation Sans" w:hAnsi="Liberation Sans" w:eastAsia="Liberation Sans"/>
          <w:b/>
          <w:i w:val="0"/>
          <w:color w:val="1F2937"/>
          <w:sz w:val="19"/>
        </w:rPr>
        <w:t>C. Avoid individual skills because any one-person intervention is incompatible with systemic therapy.</w:t>
      </w:r>
    </w:p>
    <w:p>
      <w:pPr>
        <w:keepLines/>
        <w:spacing w:before="0" w:after="40" w:line="247" w:lineRule="auto"/>
        <w:ind w:left="216" w:hanging="216"/>
      </w:pPr>
      <w:r>
        <w:rPr>
          <w:rFonts w:ascii="Liberation Sans" w:hAnsi="Liberation Sans" w:eastAsia="Liberation Sans"/>
          <w:b/>
          <w:i w:val="0"/>
          <w:color w:val="1F2937"/>
          <w:sz w:val="19"/>
        </w:rPr>
        <w:t>D. Teach the skill in secret individual meetings so the other partner cannot influence its use.</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2 Candidate Questions</w:t>
              <w:br/>
              <w:t>Questions 7-8</w:t>
            </w:r>
          </w:p>
        </w:tc>
      </w:tr>
    </w:tbl>
    <w:p>
      <w:pPr>
        <w:keepNext/>
        <w:spacing w:before="120" w:after="60" w:line="240" w:lineRule="auto"/>
      </w:pPr>
      <w:r>
        <w:rPr>
          <w:rFonts w:ascii="Liberation Sans" w:hAnsi="Liberation Sans" w:eastAsia="Liberation Sans"/>
          <w:b/>
          <w:i w:val="0"/>
          <w:color w:val="18365B"/>
          <w:sz w:val="20"/>
        </w:rPr>
        <w:t>7. A client says, “Previous therapists called my religious and extended-family obligations enmeshment. I do not trust that you will understand either.” Which response is BEST?</w:t>
      </w:r>
    </w:p>
    <w:p>
      <w:pPr>
        <w:keepLines/>
        <w:spacing w:before="0" w:after="40" w:line="247" w:lineRule="auto"/>
        <w:ind w:left="216" w:hanging="216"/>
      </w:pPr>
      <w:r>
        <w:rPr>
          <w:rFonts w:ascii="Liberation Sans" w:hAnsi="Liberation Sans" w:eastAsia="Liberation Sans"/>
          <w:b/>
          <w:i w:val="0"/>
          <w:color w:val="1F2937"/>
          <w:sz w:val="19"/>
        </w:rPr>
        <w:t>A. “I have cultural-competence training, so you can be confident that I will not make that mistake.”</w:t>
      </w:r>
    </w:p>
    <w:p>
      <w:pPr>
        <w:keepLines/>
        <w:spacing w:before="0" w:after="40" w:line="247" w:lineRule="auto"/>
        <w:ind w:left="216" w:hanging="216"/>
      </w:pPr>
      <w:r>
        <w:rPr>
          <w:rFonts w:ascii="Liberation Sans" w:hAnsi="Liberation Sans" w:eastAsia="Liberation Sans"/>
          <w:b/>
          <w:i w:val="0"/>
          <w:color w:val="1F2937"/>
          <w:sz w:val="19"/>
        </w:rPr>
        <w:t>B. “Family obligation is common in many cultures, so I already understand what it means for you.”</w:t>
      </w:r>
    </w:p>
    <w:p>
      <w:pPr>
        <w:keepLines/>
        <w:spacing w:before="0" w:after="40" w:line="247" w:lineRule="auto"/>
        <w:ind w:left="216" w:hanging="216"/>
      </w:pPr>
      <w:r>
        <w:rPr>
          <w:rFonts w:ascii="Liberation Sans" w:hAnsi="Liberation Sans" w:eastAsia="Liberation Sans"/>
          <w:b/>
          <w:i w:val="0"/>
          <w:color w:val="1F2937"/>
          <w:sz w:val="19"/>
        </w:rPr>
        <w:t>C. “I would like to understand how those obligations function in your life, what felt harmful in prior therapy, and what I should do differently so we can assess the relationship on your terms.”</w:t>
      </w:r>
    </w:p>
    <w:p>
      <w:pPr>
        <w:keepLines/>
        <w:spacing w:before="0" w:after="40" w:line="247" w:lineRule="auto"/>
        <w:ind w:left="216" w:hanging="216"/>
      </w:pPr>
      <w:r>
        <w:rPr>
          <w:rFonts w:ascii="Liberation Sans" w:hAnsi="Liberation Sans" w:eastAsia="Liberation Sans"/>
          <w:b/>
          <w:i w:val="0"/>
          <w:color w:val="1F2937"/>
          <w:sz w:val="19"/>
        </w:rPr>
        <w:t>D. “To remain neutral, we should focus only on symptoms and avoid discussing religion or family expectations.”</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8. During several family sessions, the therapist feels unusually bored and begins thinking, “They are not motivated.” The family speaks calmly but gives nearly identical accounts and avoids disagreement. What is the PRIMARY clinical meaning of the therapist’s reaction?</w:t>
      </w:r>
    </w:p>
    <w:p>
      <w:pPr>
        <w:keepLines/>
        <w:spacing w:before="0" w:after="40" w:line="247" w:lineRule="auto"/>
        <w:ind w:left="216" w:hanging="216"/>
      </w:pPr>
      <w:r>
        <w:rPr>
          <w:rFonts w:ascii="Liberation Sans" w:hAnsi="Liberation Sans" w:eastAsia="Liberation Sans"/>
          <w:b/>
          <w:i w:val="0"/>
          <w:color w:val="1F2937"/>
          <w:sz w:val="19"/>
        </w:rPr>
        <w:t>A. It proves the family is concealing information and should be confronted immediately.</w:t>
      </w:r>
    </w:p>
    <w:p>
      <w:pPr>
        <w:keepLines/>
        <w:spacing w:before="0" w:after="40" w:line="247" w:lineRule="auto"/>
        <w:ind w:left="216" w:hanging="216"/>
      </w:pPr>
      <w:r>
        <w:rPr>
          <w:rFonts w:ascii="Liberation Sans" w:hAnsi="Liberation Sans" w:eastAsia="Liberation Sans"/>
          <w:b/>
          <w:i w:val="0"/>
          <w:color w:val="1F2937"/>
          <w:sz w:val="19"/>
        </w:rPr>
        <w:t>B. It shows the therapist is no longer competent to treat any family members.</w:t>
      </w:r>
    </w:p>
    <w:p>
      <w:pPr>
        <w:keepLines/>
        <w:spacing w:before="0" w:after="40" w:line="247" w:lineRule="auto"/>
        <w:ind w:left="216" w:hanging="216"/>
      </w:pPr>
      <w:r>
        <w:rPr>
          <w:rFonts w:ascii="Liberation Sans" w:hAnsi="Liberation Sans" w:eastAsia="Liberation Sans"/>
          <w:b/>
          <w:i w:val="0"/>
          <w:color w:val="1F2937"/>
          <w:sz w:val="19"/>
        </w:rPr>
        <w:t>C. It should be ignored because therapist feelings are never relevant clinical information.</w:t>
      </w:r>
    </w:p>
    <w:p>
      <w:pPr>
        <w:keepLines/>
        <w:spacing w:before="0" w:after="40" w:line="247" w:lineRule="auto"/>
        <w:ind w:left="216" w:hanging="216"/>
      </w:pPr>
      <w:r>
        <w:rPr>
          <w:rFonts w:ascii="Liberation Sans" w:hAnsi="Liberation Sans" w:eastAsia="Liberation Sans"/>
          <w:b/>
          <w:i w:val="0"/>
          <w:color w:val="1F2937"/>
          <w:sz w:val="19"/>
        </w:rPr>
        <w:t>D. It may be process data about avoidance, homeostasis, or the therapist’s own expectations and should be examined before it shapes intervention.</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2 Candidate Questions</w:t>
              <w:br/>
              <w:t>Questions 9-10</w:t>
            </w:r>
          </w:p>
        </w:tc>
      </w:tr>
    </w:tbl>
    <w:p>
      <w:pPr>
        <w:keepNext/>
        <w:spacing w:before="120" w:after="60" w:line="240" w:lineRule="auto"/>
      </w:pPr>
      <w:r>
        <w:rPr>
          <w:rFonts w:ascii="Liberation Sans" w:hAnsi="Liberation Sans" w:eastAsia="Liberation Sans"/>
          <w:b/>
          <w:i w:val="0"/>
          <w:color w:val="18365B"/>
          <w:sz w:val="20"/>
        </w:rPr>
        <w:t>9. A therapist whose parent had a severe substance-use disorder becomes increasingly confrontational with a client who is uncertain about staying with a spouse in recovery. The therapist notices impatience and a strong urge to persuade the client to leave. What should the therapist do FIRST?</w:t>
      </w:r>
    </w:p>
    <w:p>
      <w:pPr>
        <w:keepLines/>
        <w:spacing w:before="0" w:after="40" w:line="247" w:lineRule="auto"/>
        <w:ind w:left="216" w:hanging="216"/>
      </w:pPr>
      <w:r>
        <w:rPr>
          <w:rFonts w:ascii="Liberation Sans" w:hAnsi="Liberation Sans" w:eastAsia="Liberation Sans"/>
          <w:b/>
          <w:i w:val="0"/>
          <w:color w:val="1F2937"/>
          <w:sz w:val="19"/>
        </w:rPr>
        <w:t>A. Pause the persuasive behavior, examine how personal history and values are affecting the work, assess impact on the alliance, and obtain consultation before deciding how to proceed.</w:t>
      </w:r>
    </w:p>
    <w:p>
      <w:pPr>
        <w:keepLines/>
        <w:spacing w:before="0" w:after="40" w:line="247" w:lineRule="auto"/>
        <w:ind w:left="216" w:hanging="216"/>
      </w:pPr>
      <w:r>
        <w:rPr>
          <w:rFonts w:ascii="Liberation Sans" w:hAnsi="Liberation Sans" w:eastAsia="Liberation Sans"/>
          <w:b/>
          <w:i w:val="0"/>
          <w:color w:val="1F2937"/>
          <w:sz w:val="19"/>
        </w:rPr>
        <w:t>B. Disclose the therapist’s entire family history so the client understands the recommendation.</w:t>
      </w:r>
    </w:p>
    <w:p>
      <w:pPr>
        <w:keepLines/>
        <w:spacing w:before="0" w:after="40" w:line="247" w:lineRule="auto"/>
        <w:ind w:left="216" w:hanging="216"/>
      </w:pPr>
      <w:r>
        <w:rPr>
          <w:rFonts w:ascii="Liberation Sans" w:hAnsi="Liberation Sans" w:eastAsia="Liberation Sans"/>
          <w:b/>
          <w:i w:val="0"/>
          <w:color w:val="1F2937"/>
          <w:sz w:val="19"/>
        </w:rPr>
        <w:t>C. Continue confronting the client because strong emotion confirms that the relationship is unsafe.</w:t>
      </w:r>
    </w:p>
    <w:p>
      <w:pPr>
        <w:keepLines/>
        <w:spacing w:before="0" w:after="40" w:line="247" w:lineRule="auto"/>
        <w:ind w:left="216" w:hanging="216"/>
      </w:pPr>
      <w:r>
        <w:rPr>
          <w:rFonts w:ascii="Liberation Sans" w:hAnsi="Liberation Sans" w:eastAsia="Liberation Sans"/>
          <w:b/>
          <w:i w:val="0"/>
          <w:color w:val="1F2937"/>
          <w:sz w:val="19"/>
        </w:rPr>
        <w:t>D. Refer the client immediately without discussing the alliance, competence, continuity, or the client’s preferences.</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10. In couple therapy, one partner says, “You always take my spouse’s side.” The other says, “You keep avoiding the harmful behavior to look neutral.” The therapist had planned to begin an emotionally intense enactment. What should the therapist do NEXT?</w:t>
      </w:r>
    </w:p>
    <w:p>
      <w:pPr>
        <w:keepLines/>
        <w:spacing w:before="0" w:after="40" w:line="247" w:lineRule="auto"/>
        <w:ind w:left="216" w:hanging="216"/>
      </w:pPr>
      <w:r>
        <w:rPr>
          <w:rFonts w:ascii="Liberation Sans" w:hAnsi="Liberation Sans" w:eastAsia="Liberation Sans"/>
          <w:b/>
          <w:i w:val="0"/>
          <w:color w:val="1F2937"/>
          <w:sz w:val="19"/>
        </w:rPr>
        <w:t>A. Begin the enactment so the couple can experience the intervention before evaluating it.</w:t>
      </w:r>
    </w:p>
    <w:p>
      <w:pPr>
        <w:keepLines/>
        <w:spacing w:before="0" w:after="40" w:line="247" w:lineRule="auto"/>
        <w:ind w:left="216" w:hanging="216"/>
      </w:pPr>
      <w:r>
        <w:rPr>
          <w:rFonts w:ascii="Liberation Sans" w:hAnsi="Liberation Sans" w:eastAsia="Liberation Sans"/>
          <w:b/>
          <w:i w:val="0"/>
          <w:color w:val="1F2937"/>
          <w:sz w:val="19"/>
        </w:rPr>
        <w:t>B. Explore each partner’s experience of the therapist and the current task, assess safety and power, identify any therapist contribution, and agree on a specific adjustment before intensifying technique.</w:t>
      </w:r>
    </w:p>
    <w:p>
      <w:pPr>
        <w:keepLines/>
        <w:spacing w:before="0" w:after="40" w:line="247" w:lineRule="auto"/>
        <w:ind w:left="216" w:hanging="216"/>
      </w:pPr>
      <w:r>
        <w:rPr>
          <w:rFonts w:ascii="Liberation Sans" w:hAnsi="Liberation Sans" w:eastAsia="Liberation Sans"/>
          <w:b/>
          <w:i w:val="0"/>
          <w:color w:val="1F2937"/>
          <w:sz w:val="19"/>
        </w:rPr>
        <w:t>C. Demonstrate neutrality by giving each partner exactly the same speaking time.</w:t>
      </w:r>
    </w:p>
    <w:p>
      <w:pPr>
        <w:keepLines/>
        <w:spacing w:before="0" w:after="40" w:line="247" w:lineRule="auto"/>
        <w:ind w:left="216" w:hanging="216"/>
      </w:pPr>
      <w:r>
        <w:rPr>
          <w:rFonts w:ascii="Liberation Sans" w:hAnsi="Liberation Sans" w:eastAsia="Liberation Sans"/>
          <w:b/>
          <w:i w:val="0"/>
          <w:color w:val="1F2937"/>
          <w:sz w:val="19"/>
        </w:rPr>
        <w:t>D. Explain that both perceptions are incorrect because the therapist has no intention of siding.</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2 Candidate Questions</w:t>
              <w:br/>
              <w:t>Questions 11-12</w:t>
            </w:r>
          </w:p>
        </w:tc>
      </w:tr>
    </w:tbl>
    <w:p>
      <w:pPr>
        <w:keepNext/>
        <w:spacing w:before="120" w:after="60" w:line="240" w:lineRule="auto"/>
      </w:pPr>
      <w:r>
        <w:rPr>
          <w:rFonts w:ascii="Liberation Sans" w:hAnsi="Liberation Sans" w:eastAsia="Liberation Sans"/>
          <w:b/>
          <w:i w:val="0"/>
          <w:color w:val="18365B"/>
          <w:sz w:val="20"/>
        </w:rPr>
        <w:t>11. A family that initially participated actively has become quiet and has missed two sessions since the therapist introduced structured enactments. No acute safety concern is reported. Which response BEST evaluates and maintains the therapeutic alliance?</w:t>
      </w:r>
    </w:p>
    <w:p>
      <w:pPr>
        <w:keepLines/>
        <w:spacing w:before="0" w:after="40" w:line="247" w:lineRule="auto"/>
        <w:ind w:left="216" w:hanging="216"/>
      </w:pPr>
      <w:r>
        <w:rPr>
          <w:rFonts w:ascii="Liberation Sans" w:hAnsi="Liberation Sans" w:eastAsia="Liberation Sans"/>
          <w:b/>
          <w:i w:val="0"/>
          <w:color w:val="1F2937"/>
          <w:sz w:val="19"/>
        </w:rPr>
        <w:t>A. Document resistance and continue the same intervention until the family complies.</w:t>
      </w:r>
    </w:p>
    <w:p>
      <w:pPr>
        <w:keepLines/>
        <w:spacing w:before="0" w:after="40" w:line="247" w:lineRule="auto"/>
        <w:ind w:left="216" w:hanging="216"/>
      </w:pPr>
      <w:r>
        <w:rPr>
          <w:rFonts w:ascii="Liberation Sans" w:hAnsi="Liberation Sans" w:eastAsia="Liberation Sans"/>
          <w:b/>
          <w:i w:val="0"/>
          <w:color w:val="1F2937"/>
          <w:sz w:val="19"/>
        </w:rPr>
        <w:t>B. Discontinue the method permanently because any missed session proves poor fit.</w:t>
      </w:r>
    </w:p>
    <w:p>
      <w:pPr>
        <w:keepLines/>
        <w:spacing w:before="0" w:after="40" w:line="247" w:lineRule="auto"/>
        <w:ind w:left="216" w:hanging="216"/>
      </w:pPr>
      <w:r>
        <w:rPr>
          <w:rFonts w:ascii="Liberation Sans" w:hAnsi="Liberation Sans" w:eastAsia="Liberation Sans"/>
          <w:b/>
          <w:i w:val="0"/>
          <w:color w:val="1F2937"/>
          <w:sz w:val="19"/>
        </w:rPr>
        <w:t>C. Ask about the family’s experience of the sessions, practical barriers, safety, goals, and the intervention’s fit; use the feedback to decide what adjustment is needed.</w:t>
      </w:r>
    </w:p>
    <w:p>
      <w:pPr>
        <w:keepLines/>
        <w:spacing w:before="0" w:after="40" w:line="247" w:lineRule="auto"/>
        <w:ind w:left="216" w:hanging="216"/>
      </w:pPr>
      <w:r>
        <w:rPr>
          <w:rFonts w:ascii="Liberation Sans" w:hAnsi="Liberation Sans" w:eastAsia="Liberation Sans"/>
          <w:b/>
          <w:i w:val="0"/>
          <w:color w:val="1F2937"/>
          <w:sz w:val="19"/>
        </w:rPr>
        <w:t>D. Avoid discussing attendance so the family does not feel criticized.</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12. An employee is required by a workplace agreement to attend counseling. The supervisor tells the therapist to “make the employee admit what happened” and send a detailed report after every session. Which response MOST appropriately protects client rights and the treatment agreement?</w:t>
      </w:r>
    </w:p>
    <w:p>
      <w:pPr>
        <w:keepLines/>
        <w:spacing w:before="0" w:after="40" w:line="247" w:lineRule="auto"/>
        <w:ind w:left="216" w:hanging="216"/>
      </w:pPr>
      <w:r>
        <w:rPr>
          <w:rFonts w:ascii="Liberation Sans" w:hAnsi="Liberation Sans" w:eastAsia="Liberation Sans"/>
          <w:b/>
          <w:i w:val="0"/>
          <w:color w:val="1F2937"/>
          <w:sz w:val="19"/>
        </w:rPr>
        <w:t>A. Follow the supervisor’s instructions because the employer initiated and funds the service.</w:t>
      </w:r>
    </w:p>
    <w:p>
      <w:pPr>
        <w:keepLines/>
        <w:spacing w:before="0" w:after="40" w:line="247" w:lineRule="auto"/>
        <w:ind w:left="216" w:hanging="216"/>
      </w:pPr>
      <w:r>
        <w:rPr>
          <w:rFonts w:ascii="Liberation Sans" w:hAnsi="Liberation Sans" w:eastAsia="Liberation Sans"/>
          <w:b/>
          <w:i w:val="0"/>
          <w:color w:val="1F2937"/>
          <w:sz w:val="19"/>
        </w:rPr>
        <w:t>B. Tell the employee that refusal to disclose will automatically be reported as treatment failure.</w:t>
      </w:r>
    </w:p>
    <w:p>
      <w:pPr>
        <w:keepLines/>
        <w:spacing w:before="0" w:after="40" w:line="247" w:lineRule="auto"/>
        <w:ind w:left="216" w:hanging="216"/>
      </w:pPr>
      <w:r>
        <w:rPr>
          <w:rFonts w:ascii="Liberation Sans" w:hAnsi="Liberation Sans" w:eastAsia="Liberation Sans"/>
          <w:b/>
          <w:i w:val="0"/>
          <w:color w:val="1F2937"/>
          <w:sz w:val="19"/>
        </w:rPr>
        <w:t>C. Avoid explaining information limits so the employee will participate more openly.</w:t>
      </w:r>
    </w:p>
    <w:p>
      <w:pPr>
        <w:keepLines/>
        <w:spacing w:before="0" w:after="40" w:line="247" w:lineRule="auto"/>
        <w:ind w:left="216" w:hanging="216"/>
      </w:pPr>
      <w:r>
        <w:rPr>
          <w:rFonts w:ascii="Liberation Sans" w:hAnsi="Liberation Sans" w:eastAsia="Liberation Sans"/>
          <w:b/>
          <w:i w:val="0"/>
          <w:color w:val="1F2937"/>
          <w:sz w:val="19"/>
        </w:rPr>
        <w:t>D. Clarify who the client is, the purpose and voluntariness of the service, the agreed information boundaries, and the limits of therapist authority before proceeding or disclosing information.</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2 Candidate Questions</w:t>
              <w:br/>
              <w:t>Questions 13-14</w:t>
            </w:r>
          </w:p>
        </w:tc>
      </w:tr>
    </w:tbl>
    <w:p>
      <w:pPr>
        <w:keepNext/>
        <w:spacing w:before="120" w:after="60" w:line="240" w:lineRule="auto"/>
      </w:pPr>
      <w:r>
        <w:rPr>
          <w:rFonts w:ascii="Liberation Sans" w:hAnsi="Liberation Sans" w:eastAsia="Liberation Sans"/>
          <w:b/>
          <w:i w:val="0"/>
          <w:color w:val="18365B"/>
          <w:sz w:val="20"/>
        </w:rPr>
        <w:t>13. A family session includes a grandmother who primarily speaks Vietnamese, her adult daughter who has been translating, and two grandchildren. The daughter answers for everyone and says the grandmother “does not make decisions in our culture.” The therapist has not asked the grandmother about her preferences. What should the therapist do FIRST?</w:t>
      </w:r>
    </w:p>
    <w:p>
      <w:pPr>
        <w:keepLines/>
        <w:spacing w:before="0" w:after="40" w:line="247" w:lineRule="auto"/>
        <w:ind w:left="216" w:hanging="216"/>
      </w:pPr>
      <w:r>
        <w:rPr>
          <w:rFonts w:ascii="Liberation Sans" w:hAnsi="Liberation Sans" w:eastAsia="Liberation Sans"/>
          <w:b/>
          <w:i w:val="0"/>
          <w:color w:val="1F2937"/>
          <w:sz w:val="19"/>
        </w:rPr>
        <w:t>A. Arrange appropriate language access, ask each participant about roles, preferences, safety, and decision-making, and structure participation based on the family’s actual responses rather than an assumed cultural rule.</w:t>
      </w:r>
    </w:p>
    <w:p>
      <w:pPr>
        <w:keepLines/>
        <w:spacing w:before="0" w:after="40" w:line="247" w:lineRule="auto"/>
        <w:ind w:left="216" w:hanging="216"/>
      </w:pPr>
      <w:r>
        <w:rPr>
          <w:rFonts w:ascii="Liberation Sans" w:hAnsi="Liberation Sans" w:eastAsia="Liberation Sans"/>
          <w:b/>
          <w:i w:val="0"/>
          <w:color w:val="1F2937"/>
          <w:sz w:val="19"/>
        </w:rPr>
        <w:t>B. Continue using the daughter as interpreter because family translation is always more culturally respectful than a qualified interpreter.</w:t>
      </w:r>
    </w:p>
    <w:p>
      <w:pPr>
        <w:keepLines/>
        <w:spacing w:before="0" w:after="40" w:line="247" w:lineRule="auto"/>
        <w:ind w:left="216" w:hanging="216"/>
      </w:pPr>
      <w:r>
        <w:rPr>
          <w:rFonts w:ascii="Liberation Sans" w:hAnsi="Liberation Sans" w:eastAsia="Liberation Sans"/>
          <w:b/>
          <w:i w:val="0"/>
          <w:color w:val="1F2937"/>
          <w:sz w:val="19"/>
        </w:rPr>
        <w:t>C. Require identical speaking time for all participants so power becomes equal.</w:t>
      </w:r>
    </w:p>
    <w:p>
      <w:pPr>
        <w:keepLines/>
        <w:spacing w:before="0" w:after="40" w:line="247" w:lineRule="auto"/>
        <w:ind w:left="216" w:hanging="216"/>
      </w:pPr>
      <w:r>
        <w:rPr>
          <w:rFonts w:ascii="Liberation Sans" w:hAnsi="Liberation Sans" w:eastAsia="Liberation Sans"/>
          <w:b/>
          <w:i w:val="0"/>
          <w:color w:val="1F2937"/>
          <w:sz w:val="19"/>
        </w:rPr>
        <w:t>D. Accept the daughter’s explanation because questioning it would impose the therapist’s culture.</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14. Whenever family members approach a disagreement, they become silent. The therapist feels anxious, quickly reassures everyone, changes the topic, and later concludes that the family is not ready for deeper work. The same pattern returns each week. Which response BEST represents a systemic shift?</w:t>
      </w:r>
    </w:p>
    <w:p>
      <w:pPr>
        <w:keepLines/>
        <w:spacing w:before="0" w:after="40" w:line="247" w:lineRule="auto"/>
        <w:ind w:left="216" w:hanging="216"/>
      </w:pPr>
      <w:r>
        <w:rPr>
          <w:rFonts w:ascii="Liberation Sans" w:hAnsi="Liberation Sans" w:eastAsia="Liberation Sans"/>
          <w:b/>
          <w:i w:val="0"/>
          <w:color w:val="1F2937"/>
          <w:sz w:val="19"/>
        </w:rPr>
        <w:t>A. Confront the family for resisting and require each member to disclose the hidden conflict.</w:t>
      </w:r>
    </w:p>
    <w:p>
      <w:pPr>
        <w:keepLines/>
        <w:spacing w:before="0" w:after="40" w:line="247" w:lineRule="auto"/>
        <w:ind w:left="216" w:hanging="216"/>
      </w:pPr>
      <w:r>
        <w:rPr>
          <w:rFonts w:ascii="Liberation Sans" w:hAnsi="Liberation Sans" w:eastAsia="Liberation Sans"/>
          <w:b/>
          <w:i w:val="0"/>
          <w:color w:val="1F2937"/>
          <w:sz w:val="19"/>
        </w:rPr>
        <w:t>B. Recognize that the therapist’s rescuing may help restore the family’s avoidance equilibrium, name the sequence carefully, tolerate and structure the silence, and invite collaborative reflection on what happens at that moment.</w:t>
      </w:r>
    </w:p>
    <w:p>
      <w:pPr>
        <w:keepLines/>
        <w:spacing w:before="0" w:after="40" w:line="247" w:lineRule="auto"/>
        <w:ind w:left="216" w:hanging="216"/>
      </w:pPr>
      <w:r>
        <w:rPr>
          <w:rFonts w:ascii="Liberation Sans" w:hAnsi="Liberation Sans" w:eastAsia="Liberation Sans"/>
          <w:b/>
          <w:i w:val="0"/>
          <w:color w:val="1F2937"/>
          <w:sz w:val="19"/>
        </w:rPr>
        <w:t>C. Continue changing topics because maintaining comfort is the primary purpose of alliance.</w:t>
      </w:r>
    </w:p>
    <w:p>
      <w:pPr>
        <w:keepLines/>
        <w:spacing w:before="0" w:after="40" w:line="247" w:lineRule="auto"/>
        <w:ind w:left="216" w:hanging="216"/>
      </w:pPr>
      <w:r>
        <w:rPr>
          <w:rFonts w:ascii="Liberation Sans" w:hAnsi="Liberation Sans" w:eastAsia="Liberation Sans"/>
          <w:b/>
          <w:i w:val="0"/>
          <w:color w:val="1F2937"/>
          <w:sz w:val="19"/>
        </w:rPr>
        <w:t>D. Refer the family immediately because therapist anxiety proves a poor match.</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2 Candidate Questions</w:t>
              <w:br/>
              <w:t>Questions 15-16</w:t>
            </w:r>
          </w:p>
        </w:tc>
      </w:tr>
    </w:tbl>
    <w:p>
      <w:pPr>
        <w:keepNext/>
        <w:spacing w:before="120" w:after="60" w:line="240" w:lineRule="auto"/>
      </w:pPr>
      <w:r>
        <w:rPr>
          <w:rFonts w:ascii="Liberation Sans" w:hAnsi="Liberation Sans" w:eastAsia="Liberation Sans"/>
          <w:b/>
          <w:i w:val="0"/>
          <w:color w:val="18365B"/>
          <w:sz w:val="20"/>
        </w:rPr>
        <w:t>15. A therapist frequently extends sessions without charge, gives a client a personal cell number, purchases groceries, and says, “I may be the only reliable person in your life.” The client now calls late at night for nonurgent reassurance. What should the therapist do NEXT?</w:t>
      </w:r>
    </w:p>
    <w:p>
      <w:pPr>
        <w:keepLines/>
        <w:spacing w:before="0" w:after="40" w:line="247" w:lineRule="auto"/>
        <w:ind w:left="216" w:hanging="216"/>
      </w:pPr>
      <w:r>
        <w:rPr>
          <w:rFonts w:ascii="Liberation Sans" w:hAnsi="Liberation Sans" w:eastAsia="Liberation Sans"/>
          <w:b/>
          <w:i w:val="0"/>
          <w:color w:val="1F2937"/>
          <w:sz w:val="19"/>
        </w:rPr>
        <w:t>A. End treatment immediately and block the client’s number to reestablish professional boundaries.</w:t>
      </w:r>
    </w:p>
    <w:p>
      <w:pPr>
        <w:keepLines/>
        <w:spacing w:before="0" w:after="40" w:line="247" w:lineRule="auto"/>
        <w:ind w:left="216" w:hanging="216"/>
      </w:pPr>
      <w:r>
        <w:rPr>
          <w:rFonts w:ascii="Liberation Sans" w:hAnsi="Liberation Sans" w:eastAsia="Liberation Sans"/>
          <w:b/>
          <w:i w:val="0"/>
          <w:color w:val="1F2937"/>
          <w:sz w:val="19"/>
        </w:rPr>
        <w:t>B. Continue the arrangements because the client’s dependence shows that the alliance is strong.</w:t>
      </w:r>
    </w:p>
    <w:p>
      <w:pPr>
        <w:keepLines/>
        <w:spacing w:before="0" w:after="40" w:line="247" w:lineRule="auto"/>
        <w:ind w:left="216" w:hanging="216"/>
      </w:pPr>
      <w:r>
        <w:rPr>
          <w:rFonts w:ascii="Liberation Sans" w:hAnsi="Liberation Sans" w:eastAsia="Liberation Sans"/>
          <w:b/>
          <w:i w:val="0"/>
          <w:color w:val="1F2937"/>
          <w:sz w:val="19"/>
        </w:rPr>
        <w:t>C. Obtain consultation, assess the client’s needs and dependency risks, clarify and gradually restore appropriate boundaries, coordinate practical resources and continuity supports, and document the corrective plan.</w:t>
      </w:r>
    </w:p>
    <w:p>
      <w:pPr>
        <w:keepLines/>
        <w:spacing w:before="0" w:after="40" w:line="247" w:lineRule="auto"/>
        <w:ind w:left="216" w:hanging="216"/>
      </w:pPr>
      <w:r>
        <w:rPr>
          <w:rFonts w:ascii="Liberation Sans" w:hAnsi="Liberation Sans" w:eastAsia="Liberation Sans"/>
          <w:b/>
          <w:i w:val="0"/>
          <w:color w:val="1F2937"/>
          <w:sz w:val="19"/>
        </w:rPr>
        <w:t>D. Explain the behavior by sharing the therapist’s own history of rescuing family members.</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16. An adolescent’s school attendance has improved substantially, but the adolescent says therapy feels coercive and that the therapist “only listens to my parent.” The parent wants the same plan continued unchanged. Which response BEST evaluates progress?</w:t>
      </w:r>
    </w:p>
    <w:p>
      <w:pPr>
        <w:keepLines/>
        <w:spacing w:before="0" w:after="40" w:line="247" w:lineRule="auto"/>
        <w:ind w:left="216" w:hanging="216"/>
      </w:pPr>
      <w:r>
        <w:rPr>
          <w:rFonts w:ascii="Liberation Sans" w:hAnsi="Liberation Sans" w:eastAsia="Liberation Sans"/>
          <w:b/>
          <w:i w:val="0"/>
          <w:color w:val="1F2937"/>
          <w:sz w:val="19"/>
        </w:rPr>
        <w:t>A. Continue unchanged because symptom improvement is the only meaningful outcome.</w:t>
      </w:r>
    </w:p>
    <w:p>
      <w:pPr>
        <w:keepLines/>
        <w:spacing w:before="0" w:after="40" w:line="247" w:lineRule="auto"/>
        <w:ind w:left="216" w:hanging="216"/>
      </w:pPr>
      <w:r>
        <w:rPr>
          <w:rFonts w:ascii="Liberation Sans" w:hAnsi="Liberation Sans" w:eastAsia="Liberation Sans"/>
          <w:b/>
          <w:i w:val="0"/>
          <w:color w:val="1F2937"/>
          <w:sz w:val="19"/>
        </w:rPr>
        <w:t>B. End treatment because a negative alliance comment means no benefit occurred.</w:t>
      </w:r>
    </w:p>
    <w:p>
      <w:pPr>
        <w:keepLines/>
        <w:spacing w:before="0" w:after="40" w:line="247" w:lineRule="auto"/>
        <w:ind w:left="216" w:hanging="216"/>
      </w:pPr>
      <w:r>
        <w:rPr>
          <w:rFonts w:ascii="Liberation Sans" w:hAnsi="Liberation Sans" w:eastAsia="Liberation Sans"/>
          <w:b/>
          <w:i w:val="0"/>
          <w:color w:val="1F2937"/>
          <w:sz w:val="19"/>
        </w:rPr>
        <w:t>C. Ask the parent to decide whether the adolescent’s concern is accurate.</w:t>
      </w:r>
    </w:p>
    <w:p>
      <w:pPr>
        <w:keepLines/>
        <w:spacing w:before="0" w:after="40" w:line="247" w:lineRule="auto"/>
        <w:ind w:left="216" w:hanging="216"/>
      </w:pPr>
      <w:r>
        <w:rPr>
          <w:rFonts w:ascii="Liberation Sans" w:hAnsi="Liberation Sans" w:eastAsia="Liberation Sans"/>
          <w:b/>
          <w:i w:val="0"/>
          <w:color w:val="1F2937"/>
          <w:sz w:val="19"/>
        </w:rPr>
        <w:t>D. Review symptom change, alliance, voluntariness, goals, participation, and possible therapist contribution with the client system, then revise the plan and monitor both outcomes and relationship quality.</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2 Candidate Questions</w:t>
              <w:br/>
              <w:t>Question 17</w:t>
            </w:r>
          </w:p>
        </w:tc>
      </w:tr>
    </w:tbl>
    <w:p>
      <w:pPr>
        <w:keepNext/>
        <w:spacing w:before="120" w:after="60" w:line="240" w:lineRule="auto"/>
      </w:pPr>
      <w:r>
        <w:rPr>
          <w:rFonts w:ascii="Liberation Sans" w:hAnsi="Liberation Sans" w:eastAsia="Liberation Sans"/>
          <w:b/>
          <w:i w:val="0"/>
          <w:color w:val="18365B"/>
          <w:sz w:val="20"/>
        </w:rPr>
        <w:t>17. A Black couple tells their therapist that repeated descriptions of their assertive disagreements as “aggressive” feel stereotyped. One partner wants to discontinue treatment. The therapist intended only to describe escalation. Which response is MOST effective?</w:t>
      </w:r>
    </w:p>
    <w:p>
      <w:pPr>
        <w:keepLines/>
        <w:spacing w:before="0" w:after="40" w:line="247" w:lineRule="auto"/>
        <w:ind w:left="216" w:hanging="216"/>
      </w:pPr>
      <w:r>
        <w:rPr>
          <w:rFonts w:ascii="Liberation Sans" w:hAnsi="Liberation Sans" w:eastAsia="Liberation Sans"/>
          <w:b/>
          <w:i w:val="0"/>
          <w:color w:val="1F2937"/>
          <w:sz w:val="19"/>
        </w:rPr>
        <w:t>A. Acknowledge the impact without defending intent, invite the couple’s meaning and preferences, examine how bias and therapist authority may have shaped the language, make a specific change, and review whether the repair supports continued voluntary treatment.</w:t>
      </w:r>
    </w:p>
    <w:p>
      <w:pPr>
        <w:keepLines/>
        <w:spacing w:before="0" w:after="40" w:line="247" w:lineRule="auto"/>
        <w:ind w:left="216" w:hanging="216"/>
      </w:pPr>
      <w:r>
        <w:rPr>
          <w:rFonts w:ascii="Liberation Sans" w:hAnsi="Liberation Sans" w:eastAsia="Liberation Sans"/>
          <w:b/>
          <w:i w:val="0"/>
          <w:color w:val="1F2937"/>
          <w:sz w:val="19"/>
        </w:rPr>
        <w:t>B. Explain that “aggressive” is a standard clinical term and ask the couple to separate professional language from personal feelings.</w:t>
      </w:r>
    </w:p>
    <w:p>
      <w:pPr>
        <w:keepLines/>
        <w:spacing w:before="0" w:after="40" w:line="247" w:lineRule="auto"/>
        <w:ind w:left="216" w:hanging="216"/>
      </w:pPr>
      <w:r>
        <w:rPr>
          <w:rFonts w:ascii="Liberation Sans" w:hAnsi="Liberation Sans" w:eastAsia="Liberation Sans"/>
          <w:b/>
          <w:i w:val="0"/>
          <w:color w:val="1F2937"/>
          <w:sz w:val="19"/>
        </w:rPr>
        <w:t>C. Apologize extensively, disclose the therapist’s guilt, and ask the couple to reassure the therapist before continuing.</w:t>
      </w:r>
    </w:p>
    <w:p>
      <w:pPr>
        <w:keepLines/>
        <w:spacing w:before="0" w:after="40" w:line="247" w:lineRule="auto"/>
        <w:ind w:left="216" w:hanging="216"/>
      </w:pPr>
      <w:r>
        <w:rPr>
          <w:rFonts w:ascii="Liberation Sans" w:hAnsi="Liberation Sans" w:eastAsia="Liberation Sans"/>
          <w:b/>
          <w:i w:val="0"/>
          <w:color w:val="1F2937"/>
          <w:sz w:val="19"/>
        </w:rPr>
        <w:t>D. Refer the couple immediately to a Black therapist without discussing their goals, preferences, fit, consent, or continuity.</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Candidate Reflection</w:t>
            </w:r>
            <w:r>
              <w:br/>
            </w:r>
            <w:r>
              <w:rPr>
                <w:rFonts w:ascii="Liberation Sans" w:hAnsi="Liberation Sans" w:eastAsia="Liberation Sans"/>
                <w:b w:val="0"/>
                <w:i w:val="0"/>
                <w:color w:val="FFFFFF"/>
                <w:sz w:val="18"/>
              </w:rPr>
              <w:t>Complete before opening the controlled rationale form.</w:t>
            </w:r>
          </w:p>
        </w:tc>
      </w:tr>
    </w:tbl>
    <w:tbl>
      <w:tblPr>
        <w:tblW w:type="auto" w:w="0"/>
        <w:jc w:val="center"/>
        <w:tblLayout w:type="fixed"/>
        <w:tblLook w:firstColumn="1" w:firstRow="1" w:lastColumn="0" w:lastRow="0" w:noHBand="0" w:noVBand="1" w:val="04A0"/>
      </w:tblPr>
      <w:tblGrid>
        <w:gridCol w:w="3456"/>
        <w:gridCol w:w="6912"/>
      </w:tblGrid>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Raw score after scoring</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 / 17</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Elapsed time</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High-confidence misses</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Low-confidence correct answers</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Primary error code(s)</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________________________________________</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One rule I will apply next time</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________________________________________</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RELEASE GATE  </w:t>
            </w:r>
            <w:r>
              <w:rPr>
                <w:rFonts w:ascii="Liberation Sans" w:hAnsi="Liberation Sans" w:eastAsia="Liberation Sans"/>
                <w:b w:val="0"/>
                <w:i w:val="0"/>
                <w:color w:val="1F2937"/>
                <w:sz w:val="19"/>
              </w:rPr>
              <w:t>Do not revise answers after opening the rationale form. Preserve the first-attempt answer, confidence, and time so remediation reflects the reasoning process that actually occurred.</w:t>
            </w:r>
          </w:p>
        </w:tc>
      </w:tr>
    </w:tbl>
    <w:p>
      <w:pPr>
        <w:pStyle w:val="Heading2"/>
      </w:pPr>
      <w:r>
        <w:t>Source-Control Note</w:t>
      </w:r>
    </w:p>
    <w:p>
      <w:pPr>
        <w:spacing w:before="0" w:after="0" w:line="240" w:lineRule="auto"/>
      </w:pPr>
      <w:r>
        <w:rPr>
          <w:rFonts w:ascii="Liberation Sans" w:hAnsi="Liberation Sans" w:eastAsia="Liberation Sans"/>
          <w:b w:val="0"/>
          <w:i w:val="0"/>
          <w:color w:val="1F2937"/>
          <w:sz w:val="17"/>
        </w:rPr>
        <w:t>Timing practice and examination references are aligned to the approved Workbook 2 source set and the corrected 2026 candidate handbook used by CTA in July 2026. Candidates must verify current administration rules with AMFTRB and their licensing jurisdiction before testing.</w:t>
      </w:r>
    </w:p>
    <w:sectPr w:rsidR="00FC693F" w:rsidRPr="0006063C" w:rsidSect="00034616">
      <w:headerReference w:type="default" r:id="rId9"/>
      <w:footerReference w:type="default" r:id="rId10"/>
      <w:pgSz w:w="12240" w:h="15840"/>
      <w:pgMar w:top="835" w:right="893" w:bottom="835" w:left="893" w:header="33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eastAsia="Liberation Sans"/>
        <w:b w:val="0"/>
        <w:i w:val="0"/>
        <w:color w:val="667085"/>
        <w:sz w:val="16"/>
      </w:rPr>
      <w:t xml:space="preserve">CTA LMFT AMFTRB WB2 Candidate Bank v1.0 | Page </w:t>
    </w:r>
    <w:r>
      <w:rPr>
        <w:rFonts w:ascii="Liberation Sans" w:hAnsi="Liberation Sans"/>
        <w:color w:val="667085"/>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2088"/>
      <w:gridCol w:w="8352"/>
    </w:tblGrid>
    <w:tr>
      <w:tc>
        <w:tcPr>
          <w:tcW w:type="dxa" w:w="2088"/>
          <w:vAlign w:val="center"/>
          <w:tcMar>
            <w:top w:w="0" w:type="dxa"/>
            <w:start w:w="0" w:type="dxa"/>
            <w:bottom w:w="0" w:type="dxa"/>
            <w:end w:w="0" w:type="dxa"/>
          </w:tcMar>
          <w:tcBorders>
            <w:bottom w:val="single" w:sz="8" w:color="1A9A96"/>
          </w:tcBorders>
        </w:tcPr>
        <w:p>
          <w:pPr>
            <w:spacing w:before="0" w:after="0" w:line="240" w:lineRule="auto"/>
            <w:jc w:val="left"/>
          </w:pPr>
          <w:r>
            <w:drawing>
              <wp:inline xmlns:a="http://schemas.openxmlformats.org/drawingml/2006/main" xmlns:pic="http://schemas.openxmlformats.org/drawingml/2006/picture">
                <wp:extent cx="1234440" cy="410368"/>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234440" cy="410368"/>
                        </a:xfrm>
                        <a:prstGeom prst="rect"/>
                      </pic:spPr>
                    </pic:pic>
                  </a:graphicData>
                </a:graphic>
              </wp:inline>
            </w:drawing>
          </w:r>
        </w:p>
      </w:tc>
      <w:tc>
        <w:tcPr>
          <w:tcW w:type="dxa" w:w="8352"/>
          <w:vAlign w:val="center"/>
          <w:tcMar>
            <w:top w:w="0" w:type="dxa"/>
            <w:start w:w="0" w:type="dxa"/>
            <w:bottom w:w="0" w:type="dxa"/>
            <w:end w:w="0" w:type="dxa"/>
          </w:tcMar>
          <w:tcBorders>
            <w:bottom w:val="single" w:sz="8" w:color="1A9A96"/>
          </w:tcBorders>
        </w:tcPr>
        <w:p>
          <w:pPr>
            <w:spacing w:before="0" w:after="0" w:line="240" w:lineRule="auto"/>
            <w:jc w:val="right"/>
          </w:pPr>
          <w:r>
            <w:rPr>
              <w:rFonts w:ascii="Liberation Sans" w:hAnsi="Liberation Sans" w:eastAsia="Liberation Sans"/>
              <w:b/>
              <w:i w:val="0"/>
              <w:color w:val="1A9A96"/>
              <w:sz w:val="16"/>
            </w:rPr>
            <w:t>CLINICAL TRAINING &amp; SUPERVISION ACADEMY | LMFT AMFTRB EXAM PREPARATION</w:t>
          </w:r>
          <w:r>
            <w:br/>
          </w:r>
          <w:r>
            <w:rPr>
              <w:rFonts w:ascii="Liberation Sans" w:hAnsi="Liberation Sans" w:eastAsia="Liberation Sans"/>
              <w:b w:val="0"/>
              <w:i w:val="0"/>
              <w:color w:val="18365B"/>
              <w:sz w:val="16"/>
            </w:rPr>
            <w:t>Workbook 2 - 17-Question Candidate Bank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eastAsia="Liberation Sans"/>
      <w:b/>
      <w:bCs/>
      <w:color w:val="1836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1836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1A9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eastAsia="Liberation Sans"/>
      <w:b/>
      <w:color w:val="1836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2 17-Question Candidate Bank</dc:title>
  <dc:subject>Therapeutic Alliance, Systemic Practice, and Self of the Therapist</dc:subject>
  <dc:creator>Clinical Training &amp; Supervision Academy</dc:creator>
  <cp:keywords>CTA, LMFT, AMFTRB, Workbook 2, exam preparation, therapeutic alliance, systemic practice</cp:keywords>
  <dc:description>Version 1.0 - July 2026</dc:description>
  <cp:lastModifiedBy/>
  <cp:revision>1</cp:revision>
  <dcterms:created xsi:type="dcterms:W3CDTF">2013-12-23T23:15:00Z</dcterms:created>
  <dcterms:modified xsi:type="dcterms:W3CDTF">2013-12-23T23:15:00Z</dcterms:modified>
  <cp:category/>
</cp:coreProperties>
</file>