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jc w:val="center"/>
      </w:pPr>
      <w:r>
        <w:drawing>
          <wp:inline xmlns:a="http://schemas.openxmlformats.org/drawingml/2006/main" xmlns:pic="http://schemas.openxmlformats.org/drawingml/2006/picture">
            <wp:extent cx="5029200" cy="1671869"/>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1"/>
                    <a:stretch>
                      <a:fillRect/>
                    </a:stretch>
                  </pic:blipFill>
                  <pic:spPr>
                    <a:xfrm>
                      <a:off x="0" y="0"/>
                      <a:ext cx="5029200" cy="1671869"/>
                    </a:xfrm>
                    <a:prstGeom prst="rect"/>
                  </pic:spPr>
                </pic:pic>
              </a:graphicData>
            </a:graphic>
          </wp:inline>
        </w:drawing>
      </w:r>
    </w:p>
    <w:p>
      <w:pPr>
        <w:spacing w:before="160" w:after="40" w:line="240" w:lineRule="auto"/>
        <w:jc w:val="center"/>
      </w:pPr>
      <w:r>
        <w:rPr>
          <w:rFonts w:ascii="Liberation Sans" w:hAnsi="Liberation Sans" w:eastAsia="Liberation Sans"/>
          <w:b/>
          <w:i w:val="0"/>
          <w:color w:val="18365B"/>
          <w:sz w:val="36"/>
        </w:rPr>
        <w:t>CTA LMFT AMFTRB</w:t>
      </w:r>
      <w:r>
        <w:br/>
      </w:r>
      <w:r>
        <w:rPr>
          <w:rFonts w:ascii="Liberation Sans" w:hAnsi="Liberation Sans" w:eastAsia="Liberation Sans"/>
          <w:b/>
          <w:i w:val="0"/>
          <w:color w:val="18365B"/>
          <w:sz w:val="34"/>
        </w:rPr>
        <w:t>NATIONAL EXAM PREPARATION PROGRAM</w:t>
      </w:r>
    </w:p>
    <w:p>
      <w:pPr>
        <w:spacing w:before="200" w:after="80" w:line="240" w:lineRule="auto"/>
        <w:jc w:val="center"/>
      </w:pPr>
      <w:r>
        <w:rPr>
          <w:rFonts w:ascii="Liberation Sans" w:hAnsi="Liberation Sans" w:eastAsia="Liberation Sans"/>
          <w:b/>
          <w:i w:val="0"/>
          <w:color w:val="1A9A96"/>
          <w:sz w:val="27"/>
        </w:rPr>
        <w:t>WORKBOOK 3 PRACTICE BANK</w:t>
      </w:r>
    </w:p>
    <w:p>
      <w:pPr>
        <w:spacing w:before="160" w:after="80" w:line="240" w:lineRule="auto"/>
        <w:jc w:val="center"/>
      </w:pPr>
      <w:r>
        <w:rPr>
          <w:rFonts w:ascii="Liberation Sans" w:hAnsi="Liberation Sans" w:eastAsia="Liberation Sans"/>
          <w:b/>
          <w:i w:val="0"/>
          <w:color w:val="18365B"/>
          <w:sz w:val="40"/>
        </w:rPr>
        <w:t>17-Question Candidate Form</w:t>
      </w:r>
    </w:p>
    <w:p>
      <w:pPr>
        <w:spacing w:before="40" w:after="280" w:line="240" w:lineRule="auto"/>
        <w:jc w:val="center"/>
      </w:pPr>
      <w:r>
        <w:rPr>
          <w:rFonts w:ascii="Liberation Sans" w:hAnsi="Liberation Sans" w:eastAsia="Liberation Sans"/>
          <w:b/>
          <w:i w:val="0"/>
          <w:color w:val="18365B"/>
          <w:sz w:val="25"/>
        </w:rPr>
        <w:t>Intake, Assessment, Mental Status, Relational Patterns, and Context</w:t>
      </w:r>
    </w:p>
    <w:tbl>
      <w:tblPr>
        <w:tblW w:type="auto" w:w="0"/>
        <w:jc w:val="center"/>
        <w:tblLook w:firstColumn="1" w:firstRow="1" w:lastColumn="0" w:lastRow="0" w:noHBand="0" w:noVBand="1" w:val="04A0"/>
      </w:tblPr>
      <w:tblGrid>
        <w:gridCol w:w="10454"/>
      </w:tblGrid>
      <w:tr>
        <w:tc>
          <w:tcPr>
            <w:tcW w:type="dxa" w:w="10454"/>
            <w:shd w:fill="E8F6F5"/>
            <w:tcBorders>
              <w:top w:val="single" w:sz="12" w:color="1A9A96"/>
              <w:left w:val="single" w:sz="12" w:color="1A9A96"/>
              <w:bottom w:val="single" w:sz="12" w:color="1A9A96"/>
              <w:right w:val="single" w:sz="12" w:color="1A9A96"/>
            </w:tcBorders>
            <w:tcMar>
              <w:top w:w="120" w:type="dxa"/>
              <w:start w:w="180" w:type="dxa"/>
              <w:bottom w:w="120" w:type="dxa"/>
              <w:end w:w="180" w:type="dxa"/>
            </w:tcMar>
          </w:tcPr>
          <w:p>
            <w:pPr>
              <w:spacing w:before="0" w:after="0" w:line="240" w:lineRule="auto"/>
              <w:jc w:val="center"/>
            </w:pPr>
            <w:r>
              <w:rPr>
                <w:rFonts w:ascii="Liberation Sans" w:hAnsi="Liberation Sans" w:eastAsia="Liberation Sans"/>
                <w:b/>
                <w:i w:val="0"/>
                <w:color w:val="18365B"/>
                <w:sz w:val="21"/>
              </w:rPr>
              <w:t>CANDIDATE FORM | Complete before opening the controlled answer-and-rationale form</w:t>
            </w:r>
          </w:p>
        </w:tc>
      </w:tr>
    </w:tbl>
    <w:p>
      <w:pPr>
        <w:spacing w:before="400" w:after="40" w:line="240" w:lineRule="auto"/>
        <w:jc w:val="center"/>
      </w:pPr>
      <w:r>
        <w:rPr>
          <w:rFonts w:ascii="Liberation Sans" w:hAnsi="Liberation Sans" w:eastAsia="Liberation Sans"/>
          <w:b/>
          <w:i w:val="0"/>
          <w:color w:val="18365B"/>
          <w:sz w:val="20"/>
        </w:rPr>
        <w:t>Version 1.0 - July 2026</w:t>
      </w:r>
      <w:r>
        <w:br/>
      </w:r>
      <w:r>
        <w:rPr>
          <w:rFonts w:ascii="Liberation Sans" w:hAnsi="Liberation Sans" w:eastAsia="Liberation Sans"/>
          <w:b/>
          <w:i w:val="0"/>
          <w:color w:val="1A9A96"/>
          <w:sz w:val="20"/>
        </w:rPr>
        <w:t>Clinical Training &amp; Supervision Academy</w:t>
      </w:r>
      <w:r>
        <w:br/>
      </w:r>
      <w:r>
        <w:rPr>
          <w:rFonts w:ascii="Liberation Sans" w:hAnsi="Liberation Sans" w:eastAsia="Liberation Sans"/>
          <w:b w:val="0"/>
          <w:i w:val="0"/>
          <w:color w:val="667085"/>
          <w:sz w:val="18"/>
        </w:rPr>
        <w:t>Exam Preparation Program | No Continuing-Education Credit</w:t>
      </w:r>
    </w:p>
    <w:p>
      <w:pPr>
        <w:spacing w:before="280" w:after="0" w:line="240" w:lineRule="auto"/>
        <w:jc w:val="center"/>
      </w:pPr>
      <w:r>
        <w:rPr>
          <w:rFonts w:ascii="Liberation Sans" w:hAnsi="Liberation Sans" w:eastAsia="Liberation Sans"/>
          <w:b/>
          <w:i/>
          <w:color w:val="18365B"/>
          <w:sz w:val="20"/>
        </w:rPr>
        <w:t>Teaching Clinicians How to Think.</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How to Use This Candidate Bank</w:t>
            </w:r>
          </w:p>
        </w:tc>
      </w:tr>
    </w:tbl>
    <w:p>
      <w:pPr>
        <w:spacing w:before="0" w:after="100" w:line="240" w:lineRule="auto"/>
      </w:pPr>
      <w:r>
        <w:rPr>
          <w:rFonts w:ascii="Liberation Sans" w:hAnsi="Liberation Sans" w:eastAsia="Liberation Sans"/>
          <w:b w:val="0"/>
          <w:i w:val="0"/>
          <w:color w:val="1F2937"/>
          <w:sz w:val="18"/>
        </w:rPr>
        <w:t>This bank contains 17 original CTA one-best-answer questions aligned to Workbook 3. It tests intake framing, source distinctions, mental status, change from baseline, relational patterns, development, context, integrated screening, collateral data, provisional hypotheses, treatment-unit fit, and referral decisions.</w:t>
      </w:r>
    </w:p>
    <w:p>
      <w:pPr>
        <w:pStyle w:val="ListBullet"/>
        <w:spacing w:before="0" w:after="40" w:line="240" w:lineRule="auto"/>
      </w:pPr>
      <w:r>
        <w:rPr>
          <w:rFonts w:ascii="Liberation Sans" w:hAnsi="Liberation Sans" w:eastAsia="Liberation Sans"/>
          <w:b w:val="0"/>
          <w:i w:val="0"/>
          <w:color w:val="1F2937"/>
          <w:sz w:val="18"/>
        </w:rPr>
        <w:t>Choose one answer (A-D) for every item. Do not leave blanks.</w:t>
      </w:r>
    </w:p>
    <w:p>
      <w:pPr>
        <w:pStyle w:val="ListBullet"/>
        <w:spacing w:before="0" w:after="40" w:line="240" w:lineRule="auto"/>
      </w:pPr>
      <w:r>
        <w:rPr>
          <w:rFonts w:ascii="Liberation Sans" w:hAnsi="Liberation Sans" w:eastAsia="Liberation Sans"/>
          <w:b w:val="0"/>
          <w:i w:val="0"/>
          <w:color w:val="1F2937"/>
          <w:sz w:val="18"/>
        </w:rPr>
        <w:t>Suggested timed attempt: 23 minutes, based on the current 80-second average. Untimed first attempts are also acceptable when learning the method.</w:t>
      </w:r>
    </w:p>
    <w:p>
      <w:pPr>
        <w:pStyle w:val="ListBullet"/>
        <w:spacing w:before="0" w:after="40" w:line="240" w:lineRule="auto"/>
      </w:pPr>
      <w:r>
        <w:rPr>
          <w:rFonts w:ascii="Liberation Sans" w:hAnsi="Liberation Sans" w:eastAsia="Liberation Sans"/>
          <w:b w:val="0"/>
          <w:i w:val="0"/>
          <w:color w:val="1F2937"/>
          <w:sz w:val="18"/>
        </w:rPr>
        <w:t>Record confidence from 1 (guess) to 4 (high confidence) and note elapsed time.</w:t>
      </w:r>
    </w:p>
    <w:p>
      <w:pPr>
        <w:pStyle w:val="ListBullet"/>
        <w:spacing w:before="0" w:after="40" w:line="240" w:lineRule="auto"/>
      </w:pPr>
      <w:r>
        <w:rPr>
          <w:rFonts w:ascii="Liberation Sans" w:hAnsi="Liberation Sans" w:eastAsia="Liberation Sans"/>
          <w:b w:val="0"/>
          <w:i w:val="0"/>
          <w:color w:val="1F2937"/>
          <w:sz w:val="18"/>
        </w:rPr>
        <w:t>Use INTAKE, BASELINE, MAPS, LENSES, SCREEN, and ROUTE before changing an answer. Change only for a specific fact, qualifier, source distinction, safety priority, role rule, or stronger comparison.</w:t>
      </w:r>
    </w:p>
    <w:p>
      <w:pPr>
        <w:pStyle w:val="ListBullet"/>
        <w:spacing w:before="0" w:after="40" w:line="240" w:lineRule="auto"/>
      </w:pPr>
      <w:r>
        <w:rPr>
          <w:rFonts w:ascii="Liberation Sans" w:hAnsi="Liberation Sans" w:eastAsia="Liberation Sans"/>
          <w:b w:val="0"/>
          <w:i w:val="0"/>
          <w:color w:val="1F2937"/>
          <w:sz w:val="18"/>
        </w:rPr>
        <w:t>Submit or finalize this candidate form before opening the controlled answer key and detailed rationales.</w:t>
      </w:r>
    </w:p>
    <w:p>
      <w:pPr>
        <w:pStyle w:val="ListBullet"/>
        <w:spacing w:before="0" w:after="40" w:line="240" w:lineRule="auto"/>
      </w:pPr>
      <w:r>
        <w:rPr>
          <w:rFonts w:ascii="Liberation Sans" w:hAnsi="Liberation Sans" w:eastAsia="Liberation Sans"/>
          <w:b w:val="0"/>
          <w:i w:val="0"/>
          <w:color w:val="1F2937"/>
          <w:sz w:val="18"/>
        </w:rPr>
        <w:t>CTA raw scores are instructional data only and are not official AMFTRB scaled scores or passing predictions.</w:t>
      </w:r>
    </w:p>
    <w:tbl>
      <w:tblPr>
        <w:tblW w:type="auto" w:w="0"/>
        <w:jc w:val="center"/>
        <w:tblLook w:firstColumn="1" w:firstRow="1" w:lastColumn="0" w:lastRow="0" w:noHBand="0" w:noVBand="1" w:val="04A0"/>
      </w:tblPr>
      <w:tblGrid>
        <w:gridCol w:w="10454"/>
      </w:tblGrid>
      <w:tr>
        <w:tc>
          <w:tcPr>
            <w:tcW w:type="dxa" w:w="10454"/>
            <w:shd w:fill="FFF6DC"/>
            <w:tcBorders>
              <w:top w:val="single" w:sz="10" w:color="D8A400"/>
              <w:left w:val="single" w:sz="10" w:color="D8A400"/>
              <w:bottom w:val="single" w:sz="10" w:color="D8A400"/>
              <w:right w:val="single" w:sz="10" w:color="D8A400"/>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SECURITY AND ATTRIBUTION NOTICE  </w:t>
            </w:r>
            <w:r>
              <w:rPr>
                <w:rFonts w:ascii="Liberation Sans" w:hAnsi="Liberation Sans" w:eastAsia="Liberation Sans"/>
                <w:b w:val="0"/>
                <w:i w:val="0"/>
                <w:color w:val="1F2937"/>
                <w:sz w:val="19"/>
              </w:rPr>
              <w:t>These questions are original CTA educational materials. They are not official AMFTRB items and do not imply affiliation with or endorsement by AMFTRB, PTC, Prometric, or any licensing jurisdiction.</w:t>
            </w:r>
          </w:p>
        </w:tc>
      </w:tr>
    </w:tbl>
    <w:p>
      <w:pPr>
        <w:pStyle w:val="Heading2"/>
      </w:pPr>
      <w:r>
        <w:t>Answer Record</w:t>
      </w:r>
    </w:p>
    <w:tbl>
      <w:tblPr>
        <w:tblW w:type="auto" w:w="0"/>
        <w:jc w:val="center"/>
        <w:tblLayout w:type="fixed"/>
        <w:tblLook w:firstColumn="1" w:firstRow="1" w:lastColumn="0" w:lastRow="0" w:noHBand="0" w:noVBand="1" w:val="04A0"/>
      </w:tblPr>
      <w:tblGrid>
        <w:gridCol w:w="1080"/>
        <w:gridCol w:w="1080"/>
        <w:gridCol w:w="1080"/>
        <w:gridCol w:w="1080"/>
        <w:gridCol w:w="1080"/>
        <w:gridCol w:w="1080"/>
        <w:gridCol w:w="1080"/>
        <w:gridCol w:w="1080"/>
        <w:gridCol w:w="1080"/>
      </w:tblGrid>
      <w:tr>
        <w:tc>
          <w:tcPr>
            <w:tcW w:type="dxa" w:w="10458"/>
            <w:gridSpan w:val="9"/>
            <w:shd w:fill="18365B"/>
            <w:tcMar>
              <w:top w:w="70" w:type="dxa"/>
              <w:start w:w="80" w:type="dxa"/>
              <w:bottom w:w="70" w:type="dxa"/>
              <w:end w:w="80" w:type="dxa"/>
            </w:tcMar>
          </w:tcPr>
          <w:p>
            <w:pPr>
              <w:spacing w:before="0" w:after="0" w:line="240" w:lineRule="auto"/>
              <w:jc w:val="center"/>
            </w:pPr>
            <w:r>
              <w:rPr>
                <w:rFonts w:ascii="Liberation Sans" w:hAnsi="Liberation Sans" w:eastAsia="Liberation Sans"/>
                <w:b/>
                <w:i w:val="0"/>
                <w:color w:val="FFFFFF"/>
                <w:sz w:val="19"/>
              </w:rPr>
              <w:t>CANDIDATE ANSWER RECORD</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2</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3</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4</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5</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6</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7</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8</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9</w:t>
              <w:br/>
              <w:t>Ans: ___</w:t>
              <w:br/>
              <w:t>Conf: ___</w:t>
            </w:r>
          </w:p>
        </w:tc>
      </w:tr>
      <w:tr>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10</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11</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12</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13</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14</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15</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16</w:t>
              <w:br/>
              <w:t>Ans: ___</w:t>
              <w:br/>
              <w:t>Conf: ___</w:t>
            </w:r>
          </w:p>
        </w:tc>
        <w:tc>
          <w:tcPr>
            <w:tcW w:type="dxa" w:w="1162"/>
            <w:shd w:fill="F3F5F7"/>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r>
              <w:rPr>
                <w:rFonts w:ascii="Liberation Sans" w:hAnsi="Liberation Sans" w:eastAsia="Liberation Sans"/>
                <w:b/>
                <w:i w:val="0"/>
                <w:color w:val="18365B"/>
                <w:sz w:val="16"/>
              </w:rPr>
              <w:t>17</w:t>
              <w:br/>
              <w:t>Ans: ___</w:t>
              <w:br/>
              <w:t>Conf: ___</w:t>
            </w:r>
          </w:p>
        </w:tc>
        <w:tc>
          <w:tcPr>
            <w:tcW w:type="dxa" w:w="1162"/>
            <w:shd w:fill="FFFFFF"/>
            <w:tcMar>
              <w:top w:w="60" w:type="dxa"/>
              <w:start w:w="50" w:type="dxa"/>
              <w:bottom w:w="60" w:type="dxa"/>
              <w:end w:w="50" w:type="dxa"/>
            </w:tcMar>
            <w:tcBorders>
              <w:top w:val="single" w:sz="4" w:color="9CA3AF"/>
              <w:left w:val="single" w:sz="4" w:color="9CA3AF"/>
              <w:bottom w:val="single" w:sz="4" w:color="9CA3AF"/>
              <w:right w:val="single" w:sz="4" w:color="9CA3AF"/>
            </w:tcBorders>
          </w:tcPr>
          <w:p>
            <w:pPr>
              <w:spacing w:before="0" w:after="0" w:line="240" w:lineRule="auto"/>
              <w:jc w:val="center"/>
            </w:pPr>
          </w:p>
        </w:tc>
      </w:tr>
    </w:tbl>
    <w:p>
      <w:pPr>
        <w:spacing w:before="100" w:after="80" w:line="240" w:lineRule="auto"/>
      </w:pPr>
      <w:r>
        <w:rPr>
          <w:rFonts w:ascii="Liberation Sans" w:hAnsi="Liberation Sans" w:eastAsia="Liberation Sans"/>
          <w:b w:val="0"/>
          <w:i w:val="0"/>
          <w:color w:val="667085"/>
          <w:sz w:val="17"/>
        </w:rPr>
        <w:t>Start time: __________   End time: __________   Total elapsed: __________   Notes: __________________________________________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3 Candidate Questions</w:t>
              <w:br/>
              <w:t>Select the one best answer. Record confidence and time for each item.</w:t>
            </w:r>
          </w:p>
        </w:tc>
      </w:tr>
    </w:tbl>
    <w:p>
      <w:pPr>
        <w:keepNext/>
        <w:spacing w:before="120" w:after="60" w:line="240" w:lineRule="auto"/>
      </w:pPr>
      <w:r>
        <w:rPr>
          <w:rFonts w:ascii="Liberation Sans" w:hAnsi="Liberation Sans" w:eastAsia="Liberation Sans"/>
          <w:b/>
          <w:i w:val="0"/>
          <w:color w:val="18365B"/>
          <w:sz w:val="20"/>
        </w:rPr>
        <w:t>1. At intake, the therapist documents: “Jordan looked toward the spouse before answering, paused several seconds, and lowered the voice when finances were discussed.” Which statement MOST accurately characterizes this entry?</w:t>
      </w:r>
    </w:p>
    <w:p>
      <w:pPr>
        <w:keepLines/>
        <w:spacing w:before="0" w:after="40" w:line="247" w:lineRule="auto"/>
        <w:ind w:left="216" w:hanging="216"/>
      </w:pPr>
      <w:r>
        <w:rPr>
          <w:rFonts w:ascii="Liberation Sans" w:hAnsi="Liberation Sans" w:eastAsia="Liberation Sans"/>
          <w:b/>
          <w:i w:val="0"/>
          <w:color w:val="1F2937"/>
          <w:sz w:val="19"/>
        </w:rPr>
        <w:t>A. This is a direct behavioral observation and should be kept separate from any hypothesis about fear, deception, or control.</w:t>
      </w:r>
    </w:p>
    <w:p>
      <w:pPr>
        <w:keepLines/>
        <w:spacing w:before="0" w:after="40" w:line="247" w:lineRule="auto"/>
        <w:ind w:left="216" w:hanging="216"/>
      </w:pPr>
      <w:r>
        <w:rPr>
          <w:rFonts w:ascii="Liberation Sans" w:hAnsi="Liberation Sans" w:eastAsia="Liberation Sans"/>
          <w:b/>
          <w:i w:val="0"/>
          <w:color w:val="1F2937"/>
          <w:sz w:val="19"/>
        </w:rPr>
        <w:t>B. It proves Jordan is withholding financial information from the spouse.</w:t>
      </w:r>
    </w:p>
    <w:p>
      <w:pPr>
        <w:keepLines/>
        <w:spacing w:before="0" w:after="40" w:line="247" w:lineRule="auto"/>
        <w:ind w:left="216" w:hanging="216"/>
      </w:pPr>
      <w:r>
        <w:rPr>
          <w:rFonts w:ascii="Liberation Sans" w:hAnsi="Liberation Sans" w:eastAsia="Liberation Sans"/>
          <w:b/>
          <w:i w:val="0"/>
          <w:color w:val="1F2937"/>
          <w:sz w:val="19"/>
        </w:rPr>
        <w:t>C. It is a collateral report because the spouse was present when the behavior occurred.</w:t>
      </w:r>
    </w:p>
    <w:p>
      <w:pPr>
        <w:keepLines/>
        <w:spacing w:before="0" w:after="40" w:line="247" w:lineRule="auto"/>
        <w:ind w:left="216" w:hanging="216"/>
      </w:pPr>
      <w:r>
        <w:rPr>
          <w:rFonts w:ascii="Liberation Sans" w:hAnsi="Liberation Sans" w:eastAsia="Liberation Sans"/>
          <w:b/>
          <w:i w:val="0"/>
          <w:color w:val="1F2937"/>
          <w:sz w:val="19"/>
        </w:rPr>
        <w:t>D. It establishes coercive control and requires the therapist to end the conjoint assessment immediately.</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2. During a mental-status assessment, a client says, “I feel anxious,” speaks in a quiet monotone, shows little facial variation, and is oriented to person, place, and date. Which finding primarily describes AFFECT?</w:t>
      </w:r>
    </w:p>
    <w:p>
      <w:pPr>
        <w:keepLines/>
        <w:spacing w:before="0" w:after="40" w:line="247" w:lineRule="auto"/>
        <w:ind w:left="216" w:hanging="216"/>
      </w:pPr>
      <w:r>
        <w:rPr>
          <w:rFonts w:ascii="Liberation Sans" w:hAnsi="Liberation Sans" w:eastAsia="Liberation Sans"/>
          <w:b/>
          <w:i w:val="0"/>
          <w:color w:val="1F2937"/>
          <w:sz w:val="19"/>
        </w:rPr>
        <w:t>A. The client’s report of feeling anxious</w:t>
      </w:r>
    </w:p>
    <w:p>
      <w:pPr>
        <w:keepLines/>
        <w:spacing w:before="0" w:after="40" w:line="247" w:lineRule="auto"/>
        <w:ind w:left="216" w:hanging="216"/>
      </w:pPr>
      <w:r>
        <w:rPr>
          <w:rFonts w:ascii="Liberation Sans" w:hAnsi="Liberation Sans" w:eastAsia="Liberation Sans"/>
          <w:b/>
          <w:i w:val="0"/>
          <w:color w:val="1F2937"/>
          <w:sz w:val="19"/>
        </w:rPr>
        <w:t>B. The limited visible emotional range and facial reactivity</w:t>
      </w:r>
    </w:p>
    <w:p>
      <w:pPr>
        <w:keepLines/>
        <w:spacing w:before="0" w:after="40" w:line="247" w:lineRule="auto"/>
        <w:ind w:left="216" w:hanging="216"/>
      </w:pPr>
      <w:r>
        <w:rPr>
          <w:rFonts w:ascii="Liberation Sans" w:hAnsi="Liberation Sans" w:eastAsia="Liberation Sans"/>
          <w:b/>
          <w:i w:val="0"/>
          <w:color w:val="1F2937"/>
          <w:sz w:val="19"/>
        </w:rPr>
        <w:t>C. The quiet speech volume and monotone quality</w:t>
      </w:r>
    </w:p>
    <w:p>
      <w:pPr>
        <w:keepLines/>
        <w:spacing w:before="0" w:after="40" w:line="247" w:lineRule="auto"/>
        <w:ind w:left="216" w:hanging="216"/>
      </w:pPr>
      <w:r>
        <w:rPr>
          <w:rFonts w:ascii="Liberation Sans" w:hAnsi="Liberation Sans" w:eastAsia="Liberation Sans"/>
          <w:b/>
          <w:i w:val="0"/>
          <w:color w:val="1F2937"/>
          <w:sz w:val="19"/>
        </w:rPr>
        <w:t>D. The ability to identify person, place, and date</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3 Candidate Questions</w:t>
              <w:br/>
              <w:t>Questions 3-4</w:t>
            </w:r>
          </w:p>
        </w:tc>
      </w:tr>
    </w:tbl>
    <w:p>
      <w:pPr>
        <w:keepNext/>
        <w:spacing w:before="120" w:after="60" w:line="240" w:lineRule="auto"/>
      </w:pPr>
      <w:r>
        <w:rPr>
          <w:rFonts w:ascii="Liberation Sans" w:hAnsi="Liberation Sans" w:eastAsia="Liberation Sans"/>
          <w:b/>
          <w:i w:val="0"/>
          <w:color w:val="18365B"/>
          <w:sz w:val="20"/>
        </w:rPr>
        <w:t>3. A 68-year-old client who has previously been organized and fully oriented begins repeating questions, appears confused about the date, and reports starting a new medication yesterday. What should the therapist do FIRST?</w:t>
      </w:r>
    </w:p>
    <w:p>
      <w:pPr>
        <w:keepLines/>
        <w:spacing w:before="0" w:after="40" w:line="247" w:lineRule="auto"/>
        <w:ind w:left="216" w:hanging="216"/>
      </w:pPr>
      <w:r>
        <w:rPr>
          <w:rFonts w:ascii="Liberation Sans" w:hAnsi="Liberation Sans" w:eastAsia="Liberation Sans"/>
          <w:b/>
          <w:i w:val="0"/>
          <w:color w:val="1F2937"/>
          <w:sz w:val="19"/>
        </w:rPr>
        <w:t>A. Continue the session and interpret the confusion as avoidance of a difficult topic.</w:t>
      </w:r>
    </w:p>
    <w:p>
      <w:pPr>
        <w:keepLines/>
        <w:spacing w:before="0" w:after="40" w:line="247" w:lineRule="auto"/>
        <w:ind w:left="216" w:hanging="216"/>
      </w:pPr>
      <w:r>
        <w:rPr>
          <w:rFonts w:ascii="Liberation Sans" w:hAnsi="Liberation Sans" w:eastAsia="Liberation Sans"/>
          <w:b/>
          <w:i w:val="0"/>
          <w:color w:val="1F2937"/>
          <w:sz w:val="19"/>
        </w:rPr>
        <w:t>B. Administer a relationship-satisfaction inventory to determine whether couple conflict is causing the change.</w:t>
      </w:r>
    </w:p>
    <w:p>
      <w:pPr>
        <w:keepLines/>
        <w:spacing w:before="0" w:after="40" w:line="247" w:lineRule="auto"/>
        <w:ind w:left="216" w:hanging="216"/>
      </w:pPr>
      <w:r>
        <w:rPr>
          <w:rFonts w:ascii="Liberation Sans" w:hAnsi="Liberation Sans" w:eastAsia="Liberation Sans"/>
          <w:b/>
          <w:i w:val="0"/>
          <w:color w:val="1F2937"/>
          <w:sz w:val="19"/>
        </w:rPr>
        <w:t>C. Assess immediate safety and the change from baseline, clarify medical and medication factors, and arrange prompt medical evaluation.</w:t>
      </w:r>
    </w:p>
    <w:p>
      <w:pPr>
        <w:keepLines/>
        <w:spacing w:before="0" w:after="40" w:line="247" w:lineRule="auto"/>
        <w:ind w:left="216" w:hanging="216"/>
      </w:pPr>
      <w:r>
        <w:rPr>
          <w:rFonts w:ascii="Liberation Sans" w:hAnsi="Liberation Sans" w:eastAsia="Liberation Sans"/>
          <w:b/>
          <w:i w:val="0"/>
          <w:color w:val="1F2937"/>
          <w:sz w:val="19"/>
        </w:rPr>
        <w:t>D. Wait until the next appointment to see whether the confusion resolves on its own.</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4. In family sessions, a mother sets a school rule, the adolescent protests, and the father immediately sides with the adolescent and tells the mother she is “too controlling.” The adolescent then turns to the father whenever the mother attempts to enforce the rule. Which description BEST captures the relational organization?</w:t>
      </w:r>
    </w:p>
    <w:p>
      <w:pPr>
        <w:keepLines/>
        <w:spacing w:before="0" w:after="40" w:line="247" w:lineRule="auto"/>
        <w:ind w:left="216" w:hanging="216"/>
      </w:pPr>
      <w:r>
        <w:rPr>
          <w:rFonts w:ascii="Liberation Sans" w:hAnsi="Liberation Sans" w:eastAsia="Liberation Sans"/>
          <w:b/>
          <w:i w:val="0"/>
          <w:color w:val="1F2937"/>
          <w:sz w:val="19"/>
        </w:rPr>
        <w:t>A. The mother is the sole cause of the adolescent’s school difficulties.</w:t>
      </w:r>
    </w:p>
    <w:p>
      <w:pPr>
        <w:keepLines/>
        <w:spacing w:before="0" w:after="40" w:line="247" w:lineRule="auto"/>
        <w:ind w:left="216" w:hanging="216"/>
      </w:pPr>
      <w:r>
        <w:rPr>
          <w:rFonts w:ascii="Liberation Sans" w:hAnsi="Liberation Sans" w:eastAsia="Liberation Sans"/>
          <w:b/>
          <w:i w:val="0"/>
          <w:color w:val="1F2937"/>
          <w:sz w:val="19"/>
        </w:rPr>
        <w:t>B. The adolescent has an individual behavior problem that is unrelated to the parental relationship.</w:t>
      </w:r>
    </w:p>
    <w:p>
      <w:pPr>
        <w:keepLines/>
        <w:spacing w:before="0" w:after="40" w:line="247" w:lineRule="auto"/>
        <w:ind w:left="216" w:hanging="216"/>
      </w:pPr>
      <w:r>
        <w:rPr>
          <w:rFonts w:ascii="Liberation Sans" w:hAnsi="Liberation Sans" w:eastAsia="Liberation Sans"/>
          <w:b/>
          <w:i w:val="0"/>
          <w:color w:val="1F2937"/>
          <w:sz w:val="19"/>
        </w:rPr>
        <w:t>C. The father is providing healthy support because a parent should always align with the child against the stricter parent.</w:t>
      </w:r>
    </w:p>
    <w:p>
      <w:pPr>
        <w:keepLines/>
        <w:spacing w:before="0" w:after="40" w:line="247" w:lineRule="auto"/>
        <w:ind w:left="216" w:hanging="216"/>
      </w:pPr>
      <w:r>
        <w:rPr>
          <w:rFonts w:ascii="Liberation Sans" w:hAnsi="Liberation Sans" w:eastAsia="Liberation Sans"/>
          <w:b/>
          <w:i w:val="0"/>
          <w:color w:val="1F2937"/>
          <w:sz w:val="19"/>
        </w:rPr>
        <w:t>D. A cross-generational alliance may be weakening the parental subsystem and reinforcing the repeated conflict around authority.</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3 Candidate Questions</w:t>
              <w:br/>
              <w:t>Questions 5-6</w:t>
            </w:r>
          </w:p>
        </w:tc>
      </w:tr>
    </w:tbl>
    <w:p>
      <w:pPr>
        <w:keepNext/>
        <w:spacing w:before="120" w:after="60" w:line="240" w:lineRule="auto"/>
      </w:pPr>
      <w:r>
        <w:rPr>
          <w:rFonts w:ascii="Liberation Sans" w:hAnsi="Liberation Sans" w:eastAsia="Liberation Sans"/>
          <w:b/>
          <w:i w:val="0"/>
          <w:color w:val="18365B"/>
          <w:sz w:val="20"/>
        </w:rPr>
        <w:t>5. What is the PRIMARY assessment purpose of identifying exceptions, coping efforts, supportive relationships, and prior successful responses?</w:t>
      </w:r>
    </w:p>
    <w:p>
      <w:pPr>
        <w:keepLines/>
        <w:spacing w:before="0" w:after="40" w:line="247" w:lineRule="auto"/>
        <w:ind w:left="216" w:hanging="216"/>
      </w:pPr>
      <w:r>
        <w:rPr>
          <w:rFonts w:ascii="Liberation Sans" w:hAnsi="Liberation Sans" w:eastAsia="Liberation Sans"/>
          <w:b/>
          <w:i w:val="0"/>
          <w:color w:val="1F2937"/>
          <w:sz w:val="19"/>
        </w:rPr>
        <w:t>A. To refine the hypothesis, identify protective factors and leverage points, and select feasible next steps with the client system</w:t>
      </w:r>
    </w:p>
    <w:p>
      <w:pPr>
        <w:keepLines/>
        <w:spacing w:before="0" w:after="40" w:line="247" w:lineRule="auto"/>
        <w:ind w:left="216" w:hanging="216"/>
      </w:pPr>
      <w:r>
        <w:rPr>
          <w:rFonts w:ascii="Liberation Sans" w:hAnsi="Liberation Sans" w:eastAsia="Liberation Sans"/>
          <w:b/>
          <w:i w:val="0"/>
          <w:color w:val="1F2937"/>
          <w:sz w:val="19"/>
        </w:rPr>
        <w:t>B. To replace safety and impairment assessment with a more positive conversation</w:t>
      </w:r>
    </w:p>
    <w:p>
      <w:pPr>
        <w:keepLines/>
        <w:spacing w:before="0" w:after="40" w:line="247" w:lineRule="auto"/>
        <w:ind w:left="216" w:hanging="216"/>
      </w:pPr>
      <w:r>
        <w:rPr>
          <w:rFonts w:ascii="Liberation Sans" w:hAnsi="Liberation Sans" w:eastAsia="Liberation Sans"/>
          <w:b/>
          <w:i w:val="0"/>
          <w:color w:val="1F2937"/>
          <w:sz w:val="19"/>
        </w:rPr>
        <w:t>C. To prove that the presenting concern is less serious than the client reports</w:t>
      </w:r>
    </w:p>
    <w:p>
      <w:pPr>
        <w:keepLines/>
        <w:spacing w:before="0" w:after="40" w:line="247" w:lineRule="auto"/>
        <w:ind w:left="216" w:hanging="216"/>
      </w:pPr>
      <w:r>
        <w:rPr>
          <w:rFonts w:ascii="Liberation Sans" w:hAnsi="Liberation Sans" w:eastAsia="Liberation Sans"/>
          <w:b/>
          <w:i w:val="0"/>
          <w:color w:val="1F2937"/>
          <w:sz w:val="19"/>
        </w:rPr>
        <w:t>D. To create rapport before the therapist begins the “real” assessment</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6. A couple seeks therapy three months after the birth of their first child. They report more conflict, severe sleep disruption, changed work schedules, and the recent loss of nearby grandparent support. What should the therapist assess FIRST?</w:t>
      </w:r>
    </w:p>
    <w:p>
      <w:pPr>
        <w:keepLines/>
        <w:spacing w:before="0" w:after="40" w:line="247" w:lineRule="auto"/>
        <w:ind w:left="216" w:hanging="216"/>
      </w:pPr>
      <w:r>
        <w:rPr>
          <w:rFonts w:ascii="Liberation Sans" w:hAnsi="Liberation Sans" w:eastAsia="Liberation Sans"/>
          <w:b/>
          <w:i w:val="0"/>
          <w:color w:val="1F2937"/>
          <w:sz w:val="19"/>
        </w:rPr>
        <w:t>A. Which partner has the personality style most responsible for the conflict</w:t>
      </w:r>
    </w:p>
    <w:p>
      <w:pPr>
        <w:keepLines/>
        <w:spacing w:before="0" w:after="40" w:line="247" w:lineRule="auto"/>
        <w:ind w:left="216" w:hanging="216"/>
      </w:pPr>
      <w:r>
        <w:rPr>
          <w:rFonts w:ascii="Liberation Sans" w:hAnsi="Liberation Sans" w:eastAsia="Liberation Sans"/>
          <w:b/>
          <w:i w:val="0"/>
          <w:color w:val="1F2937"/>
          <w:sz w:val="19"/>
        </w:rPr>
        <w:t>B. How the developmental transition, caregiving demands, sleep, support changes, baseline functioning, and safety are affecting the couple and family system</w:t>
      </w:r>
    </w:p>
    <w:p>
      <w:pPr>
        <w:keepLines/>
        <w:spacing w:before="0" w:after="40" w:line="247" w:lineRule="auto"/>
        <w:ind w:left="216" w:hanging="216"/>
      </w:pPr>
      <w:r>
        <w:rPr>
          <w:rFonts w:ascii="Liberation Sans" w:hAnsi="Liberation Sans" w:eastAsia="Liberation Sans"/>
          <w:b/>
          <w:i w:val="0"/>
          <w:color w:val="1F2937"/>
          <w:sz w:val="19"/>
        </w:rPr>
        <w:t>C. Whether the couple should immediately begin intensive communication homework</w:t>
      </w:r>
    </w:p>
    <w:p>
      <w:pPr>
        <w:keepLines/>
        <w:spacing w:before="0" w:after="40" w:line="247" w:lineRule="auto"/>
        <w:ind w:left="216" w:hanging="216"/>
      </w:pPr>
      <w:r>
        <w:rPr>
          <w:rFonts w:ascii="Liberation Sans" w:hAnsi="Liberation Sans" w:eastAsia="Liberation Sans"/>
          <w:b/>
          <w:i w:val="0"/>
          <w:color w:val="1F2937"/>
          <w:sz w:val="19"/>
        </w:rPr>
        <w:t>D. Whether the relationship was fundamentally incompatible before the child was born</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3 Candidate Questions</w:t>
              <w:br/>
              <w:t>Questions 7-8</w:t>
            </w:r>
          </w:p>
        </w:tc>
      </w:tr>
    </w:tbl>
    <w:p>
      <w:pPr>
        <w:keepNext/>
        <w:spacing w:before="120" w:after="60" w:line="240" w:lineRule="auto"/>
      </w:pPr>
      <w:r>
        <w:rPr>
          <w:rFonts w:ascii="Liberation Sans" w:hAnsi="Liberation Sans" w:eastAsia="Liberation Sans"/>
          <w:b/>
          <w:i w:val="0"/>
          <w:color w:val="18365B"/>
          <w:sz w:val="20"/>
        </w:rPr>
        <w:t>7. A recently immigrated family says school staff describe the parents as “uninvolved” because they speak limited English and rarely attend daytime meetings. The parents report feeling judged and unsure how to communicate with the school. Which therapist response is BEST?</w:t>
      </w:r>
    </w:p>
    <w:p>
      <w:pPr>
        <w:keepLines/>
        <w:spacing w:before="0" w:after="40" w:line="247" w:lineRule="auto"/>
        <w:ind w:left="216" w:hanging="216"/>
      </w:pPr>
      <w:r>
        <w:rPr>
          <w:rFonts w:ascii="Liberation Sans" w:hAnsi="Liberation Sans" w:eastAsia="Liberation Sans"/>
          <w:b/>
          <w:i w:val="0"/>
          <w:color w:val="1F2937"/>
          <w:sz w:val="19"/>
        </w:rPr>
        <w:t>A. Explain that school participation is expected in the United States and encourage the parents to adapt quickly.</w:t>
      </w:r>
    </w:p>
    <w:p>
      <w:pPr>
        <w:keepLines/>
        <w:spacing w:before="0" w:after="40" w:line="247" w:lineRule="auto"/>
        <w:ind w:left="216" w:hanging="216"/>
      </w:pPr>
      <w:r>
        <w:rPr>
          <w:rFonts w:ascii="Liberation Sans" w:hAnsi="Liberation Sans" w:eastAsia="Liberation Sans"/>
          <w:b/>
          <w:i w:val="0"/>
          <w:color w:val="1F2937"/>
          <w:sz w:val="19"/>
        </w:rPr>
        <w:t>B. Assume the school is biased and advise the family to end all contact with staff.</w:t>
      </w:r>
    </w:p>
    <w:p>
      <w:pPr>
        <w:keepLines/>
        <w:spacing w:before="0" w:after="40" w:line="247" w:lineRule="auto"/>
        <w:ind w:left="216" w:hanging="216"/>
      </w:pPr>
      <w:r>
        <w:rPr>
          <w:rFonts w:ascii="Liberation Sans" w:hAnsi="Liberation Sans" w:eastAsia="Liberation Sans"/>
          <w:b/>
          <w:i w:val="0"/>
          <w:color w:val="1F2937"/>
          <w:sz w:val="19"/>
        </w:rPr>
        <w:t>C. Arrange appropriate language access, ask how migration, work demands, discrimination, and family values shape participation, and assess what collaboration would feel respectful and workable.</w:t>
      </w:r>
    </w:p>
    <w:p>
      <w:pPr>
        <w:keepLines/>
        <w:spacing w:before="0" w:after="40" w:line="247" w:lineRule="auto"/>
        <w:ind w:left="216" w:hanging="216"/>
      </w:pPr>
      <w:r>
        <w:rPr>
          <w:rFonts w:ascii="Liberation Sans" w:hAnsi="Liberation Sans" w:eastAsia="Liberation Sans"/>
          <w:b/>
          <w:i w:val="0"/>
          <w:color w:val="1F2937"/>
          <w:sz w:val="19"/>
        </w:rPr>
        <w:t>D. Avoid discussing culture or discrimination so the therapist remains objective.</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8. During a couple intake, one partner privately signals fear of retaliation for disagreeing, while the other insists that every conversation occur jointly and says separate contact would be “betrayal.” Which assessment response is MOST appropriate?</w:t>
      </w:r>
    </w:p>
    <w:p>
      <w:pPr>
        <w:keepLines/>
        <w:spacing w:before="0" w:after="40" w:line="247" w:lineRule="auto"/>
        <w:ind w:left="216" w:hanging="216"/>
      </w:pPr>
      <w:r>
        <w:rPr>
          <w:rFonts w:ascii="Liberation Sans" w:hAnsi="Liberation Sans" w:eastAsia="Liberation Sans"/>
          <w:b/>
          <w:i w:val="0"/>
          <w:color w:val="1F2937"/>
          <w:sz w:val="19"/>
        </w:rPr>
        <w:t>A. Continue conjoint assessment because changing the format would undermine neutrality.</w:t>
      </w:r>
    </w:p>
    <w:p>
      <w:pPr>
        <w:keepLines/>
        <w:spacing w:before="0" w:after="40" w:line="247" w:lineRule="auto"/>
        <w:ind w:left="216" w:hanging="216"/>
      </w:pPr>
      <w:r>
        <w:rPr>
          <w:rFonts w:ascii="Liberation Sans" w:hAnsi="Liberation Sans" w:eastAsia="Liberation Sans"/>
          <w:b/>
          <w:i w:val="0"/>
          <w:color w:val="1F2937"/>
          <w:sz w:val="19"/>
        </w:rPr>
        <w:t>B. Require both partners to disclose all private information in the next joint session.</w:t>
      </w:r>
    </w:p>
    <w:p>
      <w:pPr>
        <w:keepLines/>
        <w:spacing w:before="0" w:after="40" w:line="247" w:lineRule="auto"/>
        <w:ind w:left="216" w:hanging="216"/>
      </w:pPr>
      <w:r>
        <w:rPr>
          <w:rFonts w:ascii="Liberation Sans" w:hAnsi="Liberation Sans" w:eastAsia="Liberation Sans"/>
          <w:b/>
          <w:i w:val="0"/>
          <w:color w:val="1F2937"/>
          <w:sz w:val="19"/>
        </w:rPr>
        <w:t>C. End treatment immediately without further assessment because fear always makes couple therapy impossible.</w:t>
      </w:r>
    </w:p>
    <w:p>
      <w:pPr>
        <w:keepLines/>
        <w:spacing w:before="0" w:after="40" w:line="247" w:lineRule="auto"/>
        <w:ind w:left="216" w:hanging="216"/>
      </w:pPr>
      <w:r>
        <w:rPr>
          <w:rFonts w:ascii="Liberation Sans" w:hAnsi="Liberation Sans" w:eastAsia="Liberation Sans"/>
          <w:b/>
          <w:i w:val="0"/>
          <w:color w:val="1F2937"/>
          <w:sz w:val="19"/>
        </w:rPr>
        <w:t>D. Pause routine conjoint work, create a safe opportunity for direct assessment, evaluate coercion and voluntariness, and reconsider the treatment unit before continuing.</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3 Candidate Questions</w:t>
              <w:br/>
              <w:t>Questions 9-10</w:t>
            </w:r>
          </w:p>
        </w:tc>
      </w:tr>
    </w:tbl>
    <w:p>
      <w:pPr>
        <w:keepNext/>
        <w:spacing w:before="120" w:after="60" w:line="240" w:lineRule="auto"/>
      </w:pPr>
      <w:r>
        <w:rPr>
          <w:rFonts w:ascii="Liberation Sans" w:hAnsi="Liberation Sans" w:eastAsia="Liberation Sans"/>
          <w:b/>
          <w:i w:val="0"/>
          <w:color w:val="18365B"/>
          <w:sz w:val="20"/>
        </w:rPr>
        <w:t>9. A client reports nightly alcohol use and a prescribed sleep medication. The spouse reports two recent falls and several missed work shifts. The client permits limited coordination with the prescribing clinician but says alcohol is “not the issue.” What should the therapist do NEXT?</w:t>
      </w:r>
    </w:p>
    <w:p>
      <w:pPr>
        <w:keepLines/>
        <w:spacing w:before="0" w:after="40" w:line="247" w:lineRule="auto"/>
        <w:ind w:left="216" w:hanging="216"/>
      </w:pPr>
      <w:r>
        <w:rPr>
          <w:rFonts w:ascii="Liberation Sans" w:hAnsi="Liberation Sans" w:eastAsia="Liberation Sans"/>
          <w:b/>
          <w:i w:val="0"/>
          <w:color w:val="1F2937"/>
          <w:sz w:val="19"/>
        </w:rPr>
        <w:t>A. Clarify amount and timing of alcohol and medication use, assess falls, impairment and withdrawal risk, compare the reports, and coordinate medical or specialty evaluation within the agreed limits.</w:t>
      </w:r>
    </w:p>
    <w:p>
      <w:pPr>
        <w:keepLines/>
        <w:spacing w:before="0" w:after="40" w:line="247" w:lineRule="auto"/>
        <w:ind w:left="216" w:hanging="216"/>
      </w:pPr>
      <w:r>
        <w:rPr>
          <w:rFonts w:ascii="Liberation Sans" w:hAnsi="Liberation Sans" w:eastAsia="Liberation Sans"/>
          <w:b/>
          <w:i w:val="0"/>
          <w:color w:val="1F2937"/>
          <w:sz w:val="19"/>
        </w:rPr>
        <w:t>B. Accept the client’s explanation and exclude the spouse’s report because the client is the identified patient.</w:t>
      </w:r>
    </w:p>
    <w:p>
      <w:pPr>
        <w:keepLines/>
        <w:spacing w:before="0" w:after="40" w:line="247" w:lineRule="auto"/>
        <w:ind w:left="216" w:hanging="216"/>
      </w:pPr>
      <w:r>
        <w:rPr>
          <w:rFonts w:ascii="Liberation Sans" w:hAnsi="Liberation Sans" w:eastAsia="Liberation Sans"/>
          <w:b/>
          <w:i w:val="0"/>
          <w:color w:val="1F2937"/>
          <w:sz w:val="19"/>
        </w:rPr>
        <w:t>C. Diagnose an alcohol-use disorder immediately and require residential treatment.</w:t>
      </w:r>
    </w:p>
    <w:p>
      <w:pPr>
        <w:keepLines/>
        <w:spacing w:before="0" w:after="40" w:line="247" w:lineRule="auto"/>
        <w:ind w:left="216" w:hanging="216"/>
      </w:pPr>
      <w:r>
        <w:rPr>
          <w:rFonts w:ascii="Liberation Sans" w:hAnsi="Liberation Sans" w:eastAsia="Liberation Sans"/>
          <w:b/>
          <w:i w:val="0"/>
          <w:color w:val="1F2937"/>
          <w:sz w:val="19"/>
        </w:rPr>
        <w:t>D. Ask the spouse to monitor the client secretly and report all use directly to the therapist.</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10. An adult client with a childhood history of unpredictable caregiving now pursues reassurance during conflict, while the partner withdraws and becomes silent. Which provisional hypothesis is BEST?</w:t>
      </w:r>
    </w:p>
    <w:p>
      <w:pPr>
        <w:keepLines/>
        <w:spacing w:before="0" w:after="40" w:line="247" w:lineRule="auto"/>
        <w:ind w:left="216" w:hanging="216"/>
      </w:pPr>
      <w:r>
        <w:rPr>
          <w:rFonts w:ascii="Liberation Sans" w:hAnsi="Liberation Sans" w:eastAsia="Liberation Sans"/>
          <w:b/>
          <w:i w:val="0"/>
          <w:color w:val="1F2937"/>
          <w:sz w:val="19"/>
        </w:rPr>
        <w:t>A. The childhood history is the single cause of the current relationship problem.</w:t>
      </w:r>
    </w:p>
    <w:p>
      <w:pPr>
        <w:keepLines/>
        <w:spacing w:before="0" w:after="40" w:line="247" w:lineRule="auto"/>
        <w:ind w:left="216" w:hanging="216"/>
      </w:pPr>
      <w:r>
        <w:rPr>
          <w:rFonts w:ascii="Liberation Sans" w:hAnsi="Liberation Sans" w:eastAsia="Liberation Sans"/>
          <w:b/>
          <w:i w:val="0"/>
          <w:color w:val="1F2937"/>
          <w:sz w:val="19"/>
        </w:rPr>
        <w:t>B. Earlier experiences may heighten sensitivity to disconnection and interact with the current pursuit-withdrawal sequence, while other relational, contextual, and individual explanations remain open for assessment.</w:t>
      </w:r>
    </w:p>
    <w:p>
      <w:pPr>
        <w:keepLines/>
        <w:spacing w:before="0" w:after="40" w:line="247" w:lineRule="auto"/>
        <w:ind w:left="216" w:hanging="216"/>
      </w:pPr>
      <w:r>
        <w:rPr>
          <w:rFonts w:ascii="Liberation Sans" w:hAnsi="Liberation Sans" w:eastAsia="Liberation Sans"/>
          <w:b/>
          <w:i w:val="0"/>
          <w:color w:val="1F2937"/>
          <w:sz w:val="19"/>
        </w:rPr>
        <w:t>C. The partner’s withdrawal proves that the partner is reenacting the client’s childhood trauma intentionally.</w:t>
      </w:r>
    </w:p>
    <w:p>
      <w:pPr>
        <w:keepLines/>
        <w:spacing w:before="0" w:after="40" w:line="247" w:lineRule="auto"/>
        <w:ind w:left="216" w:hanging="216"/>
      </w:pPr>
      <w:r>
        <w:rPr>
          <w:rFonts w:ascii="Liberation Sans" w:hAnsi="Liberation Sans" w:eastAsia="Liberation Sans"/>
          <w:b/>
          <w:i w:val="0"/>
          <w:color w:val="1F2937"/>
          <w:sz w:val="19"/>
        </w:rPr>
        <w:t>D. Childhood experience should be excluded because only present interaction is relevant in systemic assessment.</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3 Candidate Questions</w:t>
              <w:br/>
              <w:t>Questions 11-12</w:t>
            </w:r>
          </w:p>
        </w:tc>
      </w:tr>
    </w:tbl>
    <w:p>
      <w:pPr>
        <w:keepNext/>
        <w:spacing w:before="120" w:after="60" w:line="240" w:lineRule="auto"/>
      </w:pPr>
      <w:r>
        <w:rPr>
          <w:rFonts w:ascii="Liberation Sans" w:hAnsi="Liberation Sans" w:eastAsia="Liberation Sans"/>
          <w:b/>
          <w:i w:val="0"/>
          <w:color w:val="18365B"/>
          <w:sz w:val="20"/>
        </w:rPr>
        <w:t>11. The parent of an adolescent asks the therapist to “get every school record,” while the school counselor asks for a full clinical update. Before initiating either exchange, what should the therapist do FIRST?</w:t>
      </w:r>
    </w:p>
    <w:p>
      <w:pPr>
        <w:keepLines/>
        <w:spacing w:before="0" w:after="40" w:line="247" w:lineRule="auto"/>
        <w:ind w:left="216" w:hanging="216"/>
      </w:pPr>
      <w:r>
        <w:rPr>
          <w:rFonts w:ascii="Liberation Sans" w:hAnsi="Liberation Sans" w:eastAsia="Liberation Sans"/>
          <w:b/>
          <w:i w:val="0"/>
          <w:color w:val="1F2937"/>
          <w:sz w:val="19"/>
        </w:rPr>
        <w:t>A. Agree because the parent and school are both involved in the adolescent’s care.</w:t>
      </w:r>
    </w:p>
    <w:p>
      <w:pPr>
        <w:keepLines/>
        <w:spacing w:before="0" w:after="40" w:line="247" w:lineRule="auto"/>
        <w:ind w:left="216" w:hanging="216"/>
      </w:pPr>
      <w:r>
        <w:rPr>
          <w:rFonts w:ascii="Liberation Sans" w:hAnsi="Liberation Sans" w:eastAsia="Liberation Sans"/>
          <w:b/>
          <w:i w:val="0"/>
          <w:color w:val="1F2937"/>
          <w:sz w:val="19"/>
        </w:rPr>
        <w:t>B. Send a brief summary to the school and request the full educational record in return.</w:t>
      </w:r>
    </w:p>
    <w:p>
      <w:pPr>
        <w:keepLines/>
        <w:spacing w:before="0" w:after="40" w:line="247" w:lineRule="auto"/>
        <w:ind w:left="216" w:hanging="216"/>
      </w:pPr>
      <w:r>
        <w:rPr>
          <w:rFonts w:ascii="Liberation Sans" w:hAnsi="Liberation Sans" w:eastAsia="Liberation Sans"/>
          <w:b/>
          <w:i w:val="0"/>
          <w:color w:val="1F2937"/>
          <w:sz w:val="19"/>
        </w:rPr>
        <w:t>C. Clarify the client and assessment purpose, the adolescent’s participation, applicable authorization and information limits, the specific question, and the minimum information needed.</w:t>
      </w:r>
    </w:p>
    <w:p>
      <w:pPr>
        <w:keepLines/>
        <w:spacing w:before="0" w:after="40" w:line="247" w:lineRule="auto"/>
        <w:ind w:left="216" w:hanging="216"/>
      </w:pPr>
      <w:r>
        <w:rPr>
          <w:rFonts w:ascii="Liberation Sans" w:hAnsi="Liberation Sans" w:eastAsia="Liberation Sans"/>
          <w:b/>
          <w:i w:val="0"/>
          <w:color w:val="1F2937"/>
          <w:sz w:val="19"/>
        </w:rPr>
        <w:t>D. Refuse all collateral contact because outside information is never appropriate in family treatment.</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12. A 15-year-old’s grades have declined. Available information suggests possible bullying, sleep disruption, depressed mood, a learning concern, and escalating family conflict, but the timeline and cross-setting data are incomplete. Which formulation is MOST appropriate?</w:t>
      </w:r>
    </w:p>
    <w:p>
      <w:pPr>
        <w:keepLines/>
        <w:spacing w:before="0" w:after="40" w:line="247" w:lineRule="auto"/>
        <w:ind w:left="216" w:hanging="216"/>
      </w:pPr>
      <w:r>
        <w:rPr>
          <w:rFonts w:ascii="Liberation Sans" w:hAnsi="Liberation Sans" w:eastAsia="Liberation Sans"/>
          <w:b/>
          <w:i w:val="0"/>
          <w:color w:val="1F2937"/>
          <w:sz w:val="19"/>
        </w:rPr>
        <w:t>A. The adolescent is oppositional and the family conflict is a reaction to the behavior.</w:t>
      </w:r>
    </w:p>
    <w:p>
      <w:pPr>
        <w:keepLines/>
        <w:spacing w:before="0" w:after="40" w:line="247" w:lineRule="auto"/>
        <w:ind w:left="216" w:hanging="216"/>
      </w:pPr>
      <w:r>
        <w:rPr>
          <w:rFonts w:ascii="Liberation Sans" w:hAnsi="Liberation Sans" w:eastAsia="Liberation Sans"/>
          <w:b/>
          <w:i w:val="0"/>
          <w:color w:val="1F2937"/>
          <w:sz w:val="19"/>
        </w:rPr>
        <w:t>B. Bullying is the primary cause because it is the most socially concerning explanation.</w:t>
      </w:r>
    </w:p>
    <w:p>
      <w:pPr>
        <w:keepLines/>
        <w:spacing w:before="0" w:after="40" w:line="247" w:lineRule="auto"/>
        <w:ind w:left="216" w:hanging="216"/>
      </w:pPr>
      <w:r>
        <w:rPr>
          <w:rFonts w:ascii="Liberation Sans" w:hAnsi="Liberation Sans" w:eastAsia="Liberation Sans"/>
          <w:b/>
          <w:i w:val="0"/>
          <w:color w:val="1F2937"/>
          <w:sz w:val="19"/>
        </w:rPr>
        <w:t>C. The case cannot be formulated until every possible source has been obtained.</w:t>
      </w:r>
    </w:p>
    <w:p>
      <w:pPr>
        <w:keepLines/>
        <w:spacing w:before="0" w:after="40" w:line="247" w:lineRule="auto"/>
        <w:ind w:left="216" w:hanging="216"/>
      </w:pPr>
      <w:r>
        <w:rPr>
          <w:rFonts w:ascii="Liberation Sans" w:hAnsi="Liberation Sans" w:eastAsia="Liberation Sans"/>
          <w:b/>
          <w:i w:val="0"/>
          <w:color w:val="1F2937"/>
          <w:sz w:val="19"/>
        </w:rPr>
        <w:t>D. The decline may reflect interacting school, sleep, mood, learning, and family factors; the therapist should identify the missing timeline and cross-setting data and revise the hypothesis as evidence develops.</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3 Candidate Questions</w:t>
              <w:br/>
              <w:t>Questions 13-14</w:t>
            </w:r>
          </w:p>
        </w:tc>
      </w:tr>
    </w:tbl>
    <w:p>
      <w:pPr>
        <w:keepNext/>
        <w:spacing w:before="120" w:after="60" w:line="240" w:lineRule="auto"/>
      </w:pPr>
      <w:r>
        <w:rPr>
          <w:rFonts w:ascii="Liberation Sans" w:hAnsi="Liberation Sans" w:eastAsia="Liberation Sans"/>
          <w:b/>
          <w:i w:val="0"/>
          <w:color w:val="18365B"/>
          <w:sz w:val="20"/>
        </w:rPr>
        <w:t>13. During an intake, a parent answers every question for a 14-year-old. The adolescent whispers, “I will be punished if I say anything,” and the therapist notices several fresh scratches on the adolescent’s forearm. What should the therapist do FIRST?</w:t>
      </w:r>
    </w:p>
    <w:p>
      <w:pPr>
        <w:keepLines/>
        <w:spacing w:before="0" w:after="40" w:line="247" w:lineRule="auto"/>
        <w:ind w:left="216" w:hanging="216"/>
      </w:pPr>
      <w:r>
        <w:rPr>
          <w:rFonts w:ascii="Liberation Sans" w:hAnsi="Liberation Sans" w:eastAsia="Liberation Sans"/>
          <w:b/>
          <w:i w:val="0"/>
          <w:color w:val="1F2937"/>
          <w:sz w:val="19"/>
        </w:rPr>
        <w:t>A. Create a safe opportunity for direct assessment, explain relevant limits, assess self-harm, coercion, abuse or immediate danger, and determine the protective next step before routine family interviewing continues.</w:t>
      </w:r>
    </w:p>
    <w:p>
      <w:pPr>
        <w:keepLines/>
        <w:spacing w:before="0" w:after="40" w:line="247" w:lineRule="auto"/>
        <w:ind w:left="216" w:hanging="216"/>
      </w:pPr>
      <w:r>
        <w:rPr>
          <w:rFonts w:ascii="Liberation Sans" w:hAnsi="Liberation Sans" w:eastAsia="Liberation Sans"/>
          <w:b/>
          <w:i w:val="0"/>
          <w:color w:val="1F2937"/>
          <w:sz w:val="19"/>
        </w:rPr>
        <w:t>B. Ask the parent to explain the scratches because the parent has legal responsibility for the adolescent.</w:t>
      </w:r>
    </w:p>
    <w:p>
      <w:pPr>
        <w:keepLines/>
        <w:spacing w:before="0" w:after="40" w:line="247" w:lineRule="auto"/>
        <w:ind w:left="216" w:hanging="216"/>
      </w:pPr>
      <w:r>
        <w:rPr>
          <w:rFonts w:ascii="Liberation Sans" w:hAnsi="Liberation Sans" w:eastAsia="Liberation Sans"/>
          <w:b/>
          <w:i w:val="0"/>
          <w:color w:val="1F2937"/>
          <w:sz w:val="19"/>
        </w:rPr>
        <w:t>C. Continue the joint interview so the therapist does not appear to take sides.</w:t>
      </w:r>
    </w:p>
    <w:p>
      <w:pPr>
        <w:keepLines/>
        <w:spacing w:before="0" w:after="40" w:line="247" w:lineRule="auto"/>
        <w:ind w:left="216" w:hanging="216"/>
      </w:pPr>
      <w:r>
        <w:rPr>
          <w:rFonts w:ascii="Liberation Sans" w:hAnsi="Liberation Sans" w:eastAsia="Liberation Sans"/>
          <w:b/>
          <w:i w:val="0"/>
          <w:color w:val="1F2937"/>
          <w:sz w:val="19"/>
        </w:rPr>
        <w:t>D. Promise the adolescent complete secrecy and schedule an individual appointment for the following week.</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14. During teletherapy, a normally coherent client becomes disoriented, has slurred speech, cannot state the current location, and reports having fallen earlier. The client is alone. What should the therapist do NEXT?</w:t>
      </w:r>
    </w:p>
    <w:p>
      <w:pPr>
        <w:keepLines/>
        <w:spacing w:before="0" w:after="40" w:line="247" w:lineRule="auto"/>
        <w:ind w:left="216" w:hanging="216"/>
      </w:pPr>
      <w:r>
        <w:rPr>
          <w:rFonts w:ascii="Liberation Sans" w:hAnsi="Liberation Sans" w:eastAsia="Liberation Sans"/>
          <w:b/>
          <w:i w:val="0"/>
          <w:color w:val="1F2937"/>
          <w:sz w:val="19"/>
        </w:rPr>
        <w:t>A. Ask exploratory questions about whether relationship stress triggered the episode.</w:t>
      </w:r>
    </w:p>
    <w:p>
      <w:pPr>
        <w:keepLines/>
        <w:spacing w:before="0" w:after="40" w:line="247" w:lineRule="auto"/>
        <w:ind w:left="216" w:hanging="216"/>
      </w:pPr>
      <w:r>
        <w:rPr>
          <w:rFonts w:ascii="Liberation Sans" w:hAnsi="Liberation Sans" w:eastAsia="Liberation Sans"/>
          <w:b/>
          <w:i w:val="0"/>
          <w:color w:val="1F2937"/>
          <w:sz w:val="19"/>
        </w:rPr>
        <w:t>B. Maintain contact while assessing immediate safety and available location information, activate urgent medical or emergency assistance, and coordinate continuity after the immediate danger is addressed.</w:t>
      </w:r>
    </w:p>
    <w:p>
      <w:pPr>
        <w:keepLines/>
        <w:spacing w:before="0" w:after="40" w:line="247" w:lineRule="auto"/>
        <w:ind w:left="216" w:hanging="216"/>
      </w:pPr>
      <w:r>
        <w:rPr>
          <w:rFonts w:ascii="Liberation Sans" w:hAnsi="Liberation Sans" w:eastAsia="Liberation Sans"/>
          <w:b/>
          <w:i w:val="0"/>
          <w:color w:val="1F2937"/>
          <w:sz w:val="19"/>
        </w:rPr>
        <w:t>C. End the session and send a portal message recommending that the client call a physician later.</w:t>
      </w:r>
    </w:p>
    <w:p>
      <w:pPr>
        <w:keepLines/>
        <w:spacing w:before="0" w:after="40" w:line="247" w:lineRule="auto"/>
        <w:ind w:left="216" w:hanging="216"/>
      </w:pPr>
      <w:r>
        <w:rPr>
          <w:rFonts w:ascii="Liberation Sans" w:hAnsi="Liberation Sans" w:eastAsia="Liberation Sans"/>
          <w:b/>
          <w:i w:val="0"/>
          <w:color w:val="1F2937"/>
          <w:sz w:val="19"/>
        </w:rPr>
        <w:t>D. Administer a depression questionnaire to determine whether the presentation is psychiatric.</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3 Candidate Questions</w:t>
              <w:br/>
              <w:t>Questions 15-16</w:t>
            </w:r>
          </w:p>
        </w:tc>
      </w:tr>
    </w:tbl>
    <w:p>
      <w:pPr>
        <w:keepNext/>
        <w:spacing w:before="120" w:after="60" w:line="240" w:lineRule="auto"/>
      </w:pPr>
      <w:r>
        <w:rPr>
          <w:rFonts w:ascii="Liberation Sans" w:hAnsi="Liberation Sans" w:eastAsia="Liberation Sans"/>
          <w:b/>
          <w:i w:val="0"/>
          <w:color w:val="18365B"/>
          <w:sz w:val="20"/>
        </w:rPr>
        <w:t>15. A couple reports that sexual intimacy stopped after one partner began an antidepressant and developed pain. The partner says religious beliefs make the topic difficult and worries that the other partner feels entitled to sex. Which assessment approach is BEST?</w:t>
      </w:r>
    </w:p>
    <w:p>
      <w:pPr>
        <w:keepLines/>
        <w:spacing w:before="0" w:after="40" w:line="247" w:lineRule="auto"/>
        <w:ind w:left="216" w:hanging="216"/>
      </w:pPr>
      <w:r>
        <w:rPr>
          <w:rFonts w:ascii="Liberation Sans" w:hAnsi="Liberation Sans" w:eastAsia="Liberation Sans"/>
          <w:b/>
          <w:i w:val="0"/>
          <w:color w:val="1F2937"/>
          <w:sz w:val="19"/>
        </w:rPr>
        <w:t>A. Assume the medication is the cause and refer immediately without further relational assessment.</w:t>
      </w:r>
    </w:p>
    <w:p>
      <w:pPr>
        <w:keepLines/>
        <w:spacing w:before="0" w:after="40" w:line="247" w:lineRule="auto"/>
        <w:ind w:left="216" w:hanging="216"/>
      </w:pPr>
      <w:r>
        <w:rPr>
          <w:rFonts w:ascii="Liberation Sans" w:hAnsi="Liberation Sans" w:eastAsia="Liberation Sans"/>
          <w:b/>
          <w:i w:val="0"/>
          <w:color w:val="1F2937"/>
          <w:sz w:val="19"/>
        </w:rPr>
        <w:t>B. Ask the other partner to describe the sexual problem because the first partner appears uncomfortable.</w:t>
      </w:r>
    </w:p>
    <w:p>
      <w:pPr>
        <w:keepLines/>
        <w:spacing w:before="0" w:after="40" w:line="247" w:lineRule="auto"/>
        <w:ind w:left="216" w:hanging="216"/>
      </w:pPr>
      <w:r>
        <w:rPr>
          <w:rFonts w:ascii="Liberation Sans" w:hAnsi="Liberation Sans" w:eastAsia="Liberation Sans"/>
          <w:b/>
          <w:i w:val="0"/>
          <w:color w:val="1F2937"/>
          <w:sz w:val="19"/>
        </w:rPr>
        <w:t>C. Use consent-sensitive inquiry about pain, medication and health factors, desire, safety, coercion, relationship meaning, identity and cultural or spiritual context, and coordinate medical or specialty evaluation as indicated.</w:t>
      </w:r>
    </w:p>
    <w:p>
      <w:pPr>
        <w:keepLines/>
        <w:spacing w:before="0" w:after="40" w:line="247" w:lineRule="auto"/>
        <w:ind w:left="216" w:hanging="216"/>
      </w:pPr>
      <w:r>
        <w:rPr>
          <w:rFonts w:ascii="Liberation Sans" w:hAnsi="Liberation Sans" w:eastAsia="Liberation Sans"/>
          <w:b/>
          <w:i w:val="0"/>
          <w:color w:val="1F2937"/>
          <w:sz w:val="19"/>
        </w:rPr>
        <w:t>D. Avoid the topic because discussing sexuality may violate the partner’s religious values.</w:t>
      </w:r>
    </w:p>
    <w:p>
      <w:pPr>
        <w:spacing w:before="60" w:after="100" w:line="240" w:lineRule="auto"/>
      </w:pPr>
      <w:r>
        <w:rPr>
          <w:rFonts w:ascii="Liberation Sans" w:hAnsi="Liberation Sans" w:eastAsia="Liberation Sans"/>
          <w:b w:val="0"/>
          <w:i w:val="0"/>
          <w:color w:val="667085"/>
          <w:sz w:val="17"/>
        </w:rPr>
        <w:t>My answer: ______    Confidence:  1   2   3   4    Time: ______</w:t>
      </w:r>
    </w:p>
    <w:p>
      <w:pPr>
        <w:keepNext/>
        <w:spacing w:before="120" w:after="60" w:line="240" w:lineRule="auto"/>
      </w:pPr>
      <w:r>
        <w:rPr>
          <w:rFonts w:ascii="Liberation Sans" w:hAnsi="Liberation Sans" w:eastAsia="Liberation Sans"/>
          <w:b/>
          <w:i w:val="0"/>
          <w:color w:val="18365B"/>
          <w:sz w:val="20"/>
        </w:rPr>
        <w:t>16. A family reports escalating conflict about a 16-year-old’s gaming. The parent recently lost work, the family moved to crowded housing, internet access is the adolescent’s main peer connection, school attendance has declined, and the other parent works rotating night shifts. What should be the PRIMARY assessment frame?</w:t>
      </w:r>
    </w:p>
    <w:p>
      <w:pPr>
        <w:keepLines/>
        <w:spacing w:before="0" w:after="40" w:line="247" w:lineRule="auto"/>
        <w:ind w:left="216" w:hanging="216"/>
      </w:pPr>
      <w:r>
        <w:rPr>
          <w:rFonts w:ascii="Liberation Sans" w:hAnsi="Liberation Sans" w:eastAsia="Liberation Sans"/>
          <w:b/>
          <w:i w:val="0"/>
          <w:color w:val="1F2937"/>
          <w:sz w:val="19"/>
        </w:rPr>
        <w:t>A. The adolescent’s gaming is the central disorder and should be stopped before other concerns are considered.</w:t>
      </w:r>
    </w:p>
    <w:p>
      <w:pPr>
        <w:keepLines/>
        <w:spacing w:before="0" w:after="40" w:line="247" w:lineRule="auto"/>
        <w:ind w:left="216" w:hanging="216"/>
      </w:pPr>
      <w:r>
        <w:rPr>
          <w:rFonts w:ascii="Liberation Sans" w:hAnsi="Liberation Sans" w:eastAsia="Liberation Sans"/>
          <w:b/>
          <w:i w:val="0"/>
          <w:color w:val="1F2937"/>
          <w:sz w:val="19"/>
        </w:rPr>
        <w:t>B. The parent’s unemployment is the cause of all family conflict.</w:t>
      </w:r>
    </w:p>
    <w:p>
      <w:pPr>
        <w:keepLines/>
        <w:spacing w:before="0" w:after="40" w:line="247" w:lineRule="auto"/>
        <w:ind w:left="216" w:hanging="216"/>
      </w:pPr>
      <w:r>
        <w:rPr>
          <w:rFonts w:ascii="Liberation Sans" w:hAnsi="Liberation Sans" w:eastAsia="Liberation Sans"/>
          <w:b/>
          <w:i w:val="0"/>
          <w:color w:val="1F2937"/>
          <w:sz w:val="19"/>
        </w:rPr>
        <w:t>C. Gaming should be viewed as protective because it provides peer contact, so functional impairment does not need assessment.</w:t>
      </w:r>
    </w:p>
    <w:p>
      <w:pPr>
        <w:keepLines/>
        <w:spacing w:before="0" w:after="40" w:line="247" w:lineRule="auto"/>
        <w:ind w:left="216" w:hanging="216"/>
      </w:pPr>
      <w:r>
        <w:rPr>
          <w:rFonts w:ascii="Liberation Sans" w:hAnsi="Liberation Sans" w:eastAsia="Liberation Sans"/>
          <w:b/>
          <w:i w:val="0"/>
          <w:color w:val="1F2937"/>
          <w:sz w:val="19"/>
        </w:rPr>
        <w:t>D. Assess the gaming pattern and function, school and sleep change, family responses, economic and housing stress, shift-work demands, access, safety, and strengths as interacting factors within a provisional hypothesis.</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Workbook 3 Candidate Questions</w:t>
              <w:br/>
              <w:t>Question 17</w:t>
            </w:r>
          </w:p>
        </w:tc>
      </w:tr>
    </w:tbl>
    <w:p>
      <w:pPr>
        <w:keepNext/>
        <w:spacing w:before="120" w:after="60" w:line="240" w:lineRule="auto"/>
      </w:pPr>
      <w:r>
        <w:rPr>
          <w:rFonts w:ascii="Liberation Sans" w:hAnsi="Liberation Sans" w:eastAsia="Liberation Sans"/>
          <w:b/>
          <w:i w:val="0"/>
          <w:color w:val="18365B"/>
          <w:sz w:val="20"/>
        </w:rPr>
        <w:t>17. An adolescent says, “Nothing is wrong,” parents report withdrawal and irritability, school records show a sharp decline after bullying, and the pediatrician recommends hearing and attention evaluations. Which response MOST supports accurate assessment and alliance?</w:t>
      </w:r>
    </w:p>
    <w:p>
      <w:pPr>
        <w:keepLines/>
        <w:spacing w:before="0" w:after="40" w:line="247" w:lineRule="auto"/>
        <w:ind w:left="216" w:hanging="216"/>
      </w:pPr>
      <w:r>
        <w:rPr>
          <w:rFonts w:ascii="Liberation Sans" w:hAnsi="Liberation Sans" w:eastAsia="Liberation Sans"/>
          <w:b/>
          <w:i w:val="0"/>
          <w:color w:val="1F2937"/>
          <w:sz w:val="19"/>
        </w:rPr>
        <w:t>A. Validate the adolescent’s perspective, explain the purpose and limits of each information source, compare functioning across settings, assess safety and bullying directly, collaborate on the treatment unit and priorities, and coordinate indicated referrals while documenting discrepancies.</w:t>
      </w:r>
    </w:p>
    <w:p>
      <w:pPr>
        <w:keepLines/>
        <w:spacing w:before="0" w:after="40" w:line="247" w:lineRule="auto"/>
        <w:ind w:left="216" w:hanging="216"/>
      </w:pPr>
      <w:r>
        <w:rPr>
          <w:rFonts w:ascii="Liberation Sans" w:hAnsi="Liberation Sans" w:eastAsia="Liberation Sans"/>
          <w:b/>
          <w:i w:val="0"/>
          <w:color w:val="1F2937"/>
          <w:sz w:val="19"/>
        </w:rPr>
        <w:t>B. Accept the parents’ account because caregivers usually have the broadest view of adolescent functioning.</w:t>
      </w:r>
    </w:p>
    <w:p>
      <w:pPr>
        <w:keepLines/>
        <w:spacing w:before="0" w:after="40" w:line="247" w:lineRule="auto"/>
        <w:ind w:left="216" w:hanging="216"/>
      </w:pPr>
      <w:r>
        <w:rPr>
          <w:rFonts w:ascii="Liberation Sans" w:hAnsi="Liberation Sans" w:eastAsia="Liberation Sans"/>
          <w:b/>
          <w:i w:val="0"/>
          <w:color w:val="1F2937"/>
          <w:sz w:val="19"/>
        </w:rPr>
        <w:t>C. Treat the school record as objective proof and confront the adolescent about denial.</w:t>
      </w:r>
    </w:p>
    <w:p>
      <w:pPr>
        <w:keepLines/>
        <w:spacing w:before="0" w:after="40" w:line="247" w:lineRule="auto"/>
        <w:ind w:left="216" w:hanging="216"/>
      </w:pPr>
      <w:r>
        <w:rPr>
          <w:rFonts w:ascii="Liberation Sans" w:hAnsi="Liberation Sans" w:eastAsia="Liberation Sans"/>
          <w:b/>
          <w:i w:val="0"/>
          <w:color w:val="1F2937"/>
          <w:sz w:val="19"/>
        </w:rPr>
        <w:t>D. Defer all therapy until the hearing and attention evaluations are complete and avoid discussing the discrepant reports.</w:t>
      </w:r>
    </w:p>
    <w:p>
      <w:pPr>
        <w:spacing w:before="60" w:after="100" w:line="240" w:lineRule="auto"/>
      </w:pPr>
      <w:r>
        <w:rPr>
          <w:rFonts w:ascii="Liberation Sans" w:hAnsi="Liberation Sans" w:eastAsia="Liberation Sans"/>
          <w:b w:val="0"/>
          <w:i w:val="0"/>
          <w:color w:val="667085"/>
          <w:sz w:val="17"/>
        </w:rPr>
        <w:t>My answer: ______    Confidence:  1   2   3   4    Time: ______</w:t>
      </w:r>
    </w:p>
    <w:p>
      <w:r>
        <w:br w:type="page"/>
      </w:r>
    </w:p>
    <w:tbl>
      <w:tblPr>
        <w:tblW w:type="auto" w:w="0"/>
        <w:jc w:val="center"/>
        <w:tblLook w:firstColumn="1" w:firstRow="1" w:lastColumn="0" w:lastRow="0" w:noHBand="0" w:noVBand="1" w:val="04A0"/>
      </w:tblPr>
      <w:tblGrid>
        <w:gridCol w:w="10454"/>
      </w:tblGrid>
      <w:tr>
        <w:tc>
          <w:tcPr>
            <w:tcW w:type="dxa" w:w="10454"/>
            <w:shd w:fill="18365B"/>
            <w:tcBorders>
              <w:top w:val="single" w:sz="8" w:color="1A9A96"/>
              <w:left w:val="single" w:sz="4" w:color="18365B"/>
              <w:bottom w:val="single" w:sz="8" w:color="1A9A96"/>
              <w:right w:val="single" w:sz="4" w:color="18365B"/>
            </w:tcBorders>
            <w:tcMar>
              <w:top w:w="120" w:type="dxa"/>
              <w:start w:w="140" w:type="dxa"/>
              <w:bottom w:w="120" w:type="dxa"/>
              <w:end w:w="140" w:type="dxa"/>
            </w:tcMar>
          </w:tcPr>
          <w:p>
            <w:pPr>
              <w:spacing w:before="0" w:after="0" w:line="240" w:lineRule="auto"/>
              <w:jc w:val="center"/>
            </w:pPr>
            <w:r>
              <w:rPr>
                <w:rFonts w:ascii="Liberation Sans" w:hAnsi="Liberation Sans" w:eastAsia="Liberation Sans"/>
                <w:b/>
                <w:i w:val="0"/>
                <w:color w:val="FFFFFF"/>
                <w:sz w:val="30"/>
              </w:rPr>
              <w:t>Candidate Reflection</w:t>
            </w:r>
            <w:r>
              <w:br/>
            </w:r>
            <w:r>
              <w:rPr>
                <w:rFonts w:ascii="Liberation Sans" w:hAnsi="Liberation Sans" w:eastAsia="Liberation Sans"/>
                <w:b w:val="0"/>
                <w:i w:val="0"/>
                <w:color w:val="FFFFFF"/>
                <w:sz w:val="18"/>
              </w:rPr>
              <w:t>Complete before opening the controlled rationale form.</w:t>
            </w:r>
          </w:p>
        </w:tc>
      </w:tr>
    </w:tbl>
    <w:tbl>
      <w:tblPr>
        <w:tblW w:type="auto" w:w="0"/>
        <w:jc w:val="center"/>
        <w:tblLayout w:type="fixed"/>
        <w:tblLook w:firstColumn="1" w:firstRow="1" w:lastColumn="0" w:lastRow="0" w:noHBand="0" w:noVBand="1" w:val="04A0"/>
      </w:tblPr>
      <w:tblGrid>
        <w:gridCol w:w="3456"/>
        <w:gridCol w:w="6912"/>
      </w:tblGrid>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Raw score after scoring</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 / 17</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Elapsed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High-confidence misses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Low-confidence correct answers</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w:t>
            </w:r>
          </w:p>
        </w:tc>
      </w:tr>
      <w:tr>
        <w:tc>
          <w:tcPr>
            <w:tcW w:type="dxa" w:w="5227"/>
            <w:shd w:fill="EAF0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Primary error code(s)</w:t>
            </w:r>
          </w:p>
        </w:tc>
        <w:tc>
          <w:tcPr>
            <w:tcW w:type="dxa" w:w="5227"/>
            <w:shd w:fill="FFFFFF"/>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r>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i w:val="0"/>
                <w:color w:val="18365B"/>
                <w:sz w:val="18"/>
              </w:rPr>
              <w:t>One rule I will apply next time</w:t>
            </w:r>
          </w:p>
        </w:tc>
        <w:tc>
          <w:tcPr>
            <w:tcW w:type="dxa" w:w="5227"/>
            <w:shd w:fill="F3F5F7"/>
            <w:tcMar>
              <w:top w:w="90" w:type="dxa"/>
              <w:start w:w="110" w:type="dxa"/>
              <w:bottom w:w="90" w:type="dxa"/>
              <w:end w:w="110" w:type="dxa"/>
            </w:tcMar>
            <w:tcBorders>
              <w:top w:val="single" w:sz="4" w:color="9CA3AF"/>
              <w:left w:val="single" w:sz="4" w:color="9CA3AF"/>
              <w:bottom w:val="single" w:sz="4" w:color="9CA3AF"/>
              <w:right w:val="single" w:sz="4" w:color="9CA3AF"/>
            </w:tcBorders>
          </w:tcPr>
          <w:p>
            <w:pPr>
              <w:spacing w:before="0" w:after="0" w:line="240" w:lineRule="auto"/>
            </w:pPr>
            <w:r>
              <w:rPr>
                <w:rFonts w:ascii="Liberation Sans" w:hAnsi="Liberation Sans" w:eastAsia="Liberation Sans"/>
                <w:b w:val="0"/>
                <w:i w:val="0"/>
                <w:color w:val="1F2937"/>
                <w:sz w:val="18"/>
              </w:rPr>
              <w:t>________________________________________</w:t>
            </w:r>
          </w:p>
        </w:tc>
      </w:tr>
    </w:tbl>
    <w:tbl>
      <w:tblPr>
        <w:tblW w:type="auto" w:w="0"/>
        <w:jc w:val="center"/>
        <w:tblLook w:firstColumn="1" w:firstRow="1" w:lastColumn="0" w:lastRow="0" w:noHBand="0" w:noVBand="1" w:val="04A0"/>
      </w:tblPr>
      <w:tblGrid>
        <w:gridCol w:w="10454"/>
      </w:tblGrid>
      <w:tr>
        <w:tc>
          <w:tcPr>
            <w:tcW w:type="dxa" w:w="10454"/>
            <w:shd w:fill="E8F6F5"/>
            <w:tcBorders>
              <w:top w:val="single" w:sz="10" w:color="1A9A96"/>
              <w:left w:val="single" w:sz="10" w:color="1A9A96"/>
              <w:bottom w:val="single" w:sz="10" w:color="1A9A96"/>
              <w:right w:val="single" w:sz="10" w:color="1A9A96"/>
            </w:tcBorders>
            <w:tcMar>
              <w:top w:w="100" w:type="dxa"/>
              <w:start w:w="140" w:type="dxa"/>
              <w:bottom w:w="100" w:type="dxa"/>
              <w:end w:w="140" w:type="dxa"/>
            </w:tcMar>
          </w:tcPr>
          <w:p>
            <w:pPr>
              <w:spacing w:before="0" w:after="0" w:line="240" w:lineRule="auto"/>
            </w:pPr>
            <w:r>
              <w:rPr>
                <w:rFonts w:ascii="Liberation Sans" w:hAnsi="Liberation Sans" w:eastAsia="Liberation Sans"/>
                <w:b/>
                <w:i w:val="0"/>
                <w:color w:val="18365B"/>
                <w:sz w:val="19"/>
              </w:rPr>
              <w:t xml:space="preserve">RELEASE GATE  </w:t>
            </w:r>
            <w:r>
              <w:rPr>
                <w:rFonts w:ascii="Liberation Sans" w:hAnsi="Liberation Sans" w:eastAsia="Liberation Sans"/>
                <w:b w:val="0"/>
                <w:i w:val="0"/>
                <w:color w:val="1F2937"/>
                <w:sz w:val="19"/>
              </w:rPr>
              <w:t>Do not revise answers after opening the rationale form. Preserve the first-attempt answer, confidence, and time so remediation reflects the reasoning process that actually occurred.</w:t>
            </w:r>
          </w:p>
        </w:tc>
      </w:tr>
    </w:tbl>
    <w:p>
      <w:pPr>
        <w:pStyle w:val="Heading2"/>
      </w:pPr>
      <w:r>
        <w:t>Source-Control Note</w:t>
      </w:r>
    </w:p>
    <w:p>
      <w:pPr>
        <w:spacing w:before="0" w:after="0" w:line="240" w:lineRule="auto"/>
      </w:pPr>
      <w:r>
        <w:rPr>
          <w:rFonts w:ascii="Liberation Sans" w:hAnsi="Liberation Sans" w:eastAsia="Liberation Sans"/>
          <w:b w:val="0"/>
          <w:i w:val="0"/>
          <w:color w:val="1F2937"/>
          <w:sz w:val="17"/>
        </w:rPr>
        <w:t>Timing practice and examination references are aligned to the approved Workbook 3 source set and the corrected 2026 candidate handbook used by CTA in July 2026. Candidates must verify current administration rules with AMFTRB and their licensing jurisdiction before testing.</w:t>
      </w:r>
    </w:p>
    <w:sectPr w:rsidR="00FC693F" w:rsidRPr="0006063C" w:rsidSect="00034616">
      <w:headerReference w:type="default" r:id="rId9"/>
      <w:footerReference w:type="default" r:id="rId10"/>
      <w:headerReference w:type="first" r:id="rId12"/>
      <w:headerReference w:type="even" r:id="rId13"/>
      <w:footerReference w:type="first" r:id="rId14"/>
      <w:footerReference w:type="even" r:id="rId15"/>
      <w:pgSz w:w="12240" w:h="15840"/>
      <w:pgMar w:top="835" w:right="893" w:bottom="835" w:left="893" w:header="331"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eastAsia="Liberation Sans"/>
        <w:b w:val="0"/>
        <w:i w:val="0"/>
        <w:color w:val="667085"/>
        <w:sz w:val="16"/>
      </w:rPr>
      <w:t xml:space="preserve">CTA LMFT AMFTRB WB3 Candidate Bank v1.0 | Page </w:t>
    </w:r>
    <w:r>
      <w:rPr>
        <w:rFonts w:ascii="Liberation Sans" w:hAnsi="Liberation Sans"/>
        <w:color w:val="667085"/>
        <w:sz w:val="16"/>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2088"/>
      <w:gridCol w:w="8352"/>
    </w:tblGrid>
    <w:tr>
      <w:tc>
        <w:tcPr>
          <w:tcW w:type="dxa" w:w="2088"/>
          <w:vAlign w:val="center"/>
          <w:tcMar>
            <w:top w:w="0" w:type="dxa"/>
            <w:start w:w="0" w:type="dxa"/>
            <w:bottom w:w="0" w:type="dxa"/>
            <w:end w:w="0" w:type="dxa"/>
          </w:tcMar>
          <w:tcBorders>
            <w:bottom w:val="single" w:sz="8" w:color="1A9A96"/>
          </w:tcBorders>
        </w:tcPr>
        <w:p>
          <w:pPr>
            <w:spacing w:before="0" w:after="0" w:line="240" w:lineRule="auto"/>
            <w:jc w:val="left"/>
          </w:pPr>
          <w:r>
            <w:drawing>
              <wp:inline xmlns:a="http://schemas.openxmlformats.org/drawingml/2006/main" xmlns:pic="http://schemas.openxmlformats.org/drawingml/2006/picture">
                <wp:extent cx="1234440" cy="410368"/>
                <wp:docPr id="1" name="Picture 1" descr="Clinical Training &amp; Supervision Academy logo" title="Clinical Training &amp; Supervision Academy logo"/>
                <wp:cNvGraphicFramePr>
                  <a:graphicFrameLocks noChangeAspect="1"/>
                </wp:cNvGraphicFramePr>
                <a:graphic>
                  <a:graphicData uri="http://schemas.openxmlformats.org/drawingml/2006/picture">
                    <pic:pic>
                      <pic:nvPicPr>
                        <pic:cNvPr id="0" name="Primary Logo (Final).jpg"/>
                        <pic:cNvPicPr/>
                      </pic:nvPicPr>
                      <pic:blipFill>
                        <a:blip r:embed="rId1"/>
                        <a:stretch>
                          <a:fillRect/>
                        </a:stretch>
                      </pic:blipFill>
                      <pic:spPr>
                        <a:xfrm>
                          <a:off x="0" y="0"/>
                          <a:ext cx="1234440" cy="410368"/>
                        </a:xfrm>
                        <a:prstGeom prst="rect"/>
                      </pic:spPr>
                    </pic:pic>
                  </a:graphicData>
                </a:graphic>
              </wp:inline>
            </w:drawing>
          </w:r>
        </w:p>
      </w:tc>
      <w:tc>
        <w:tcPr>
          <w:tcW w:type="dxa" w:w="8352"/>
          <w:vAlign w:val="center"/>
          <w:tcMar>
            <w:top w:w="0" w:type="dxa"/>
            <w:start w:w="0" w:type="dxa"/>
            <w:bottom w:w="0" w:type="dxa"/>
            <w:end w:w="0" w:type="dxa"/>
          </w:tcMar>
          <w:tcBorders>
            <w:bottom w:val="single" w:sz="8" w:color="1A9A96"/>
          </w:tcBorders>
        </w:tcPr>
        <w:p>
          <w:pPr>
            <w:spacing w:before="0" w:after="0" w:line="240" w:lineRule="auto"/>
            <w:jc w:val="right"/>
          </w:pPr>
          <w:r>
            <w:rPr>
              <w:rFonts w:ascii="Liberation Sans" w:hAnsi="Liberation Sans" w:eastAsia="Liberation Sans"/>
              <w:b/>
              <w:i w:val="0"/>
              <w:color w:val="1A9A96"/>
              <w:sz w:val="16"/>
            </w:rPr>
            <w:t>CLINICAL TRAINING &amp; SUPERVISION ACADEMY | LMFT AMFTRB EXAM PREPARATION</w:t>
          </w:r>
          <w:r>
            <w:br/>
          </w:r>
          <w:r>
            <w:rPr>
              <w:rFonts w:ascii="Liberation Sans" w:hAnsi="Liberation Sans" w:eastAsia="Liberation Sans"/>
              <w:b w:val="0"/>
              <w:i w:val="0"/>
              <w:color w:val="18365B"/>
              <w:sz w:val="16"/>
            </w:rPr>
            <w:t>Workbook 3 - 17-Question Candidate Bank</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Liberation Sans" w:hAnsi="Liberation Sans" w:eastAsia="Liberation San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eastAsia="Liberation Sans"/>
      <w:b/>
      <w:bCs/>
      <w:color w:val="18365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eastAsia="Liberation Sans"/>
      <w:b/>
      <w:bCs/>
      <w:color w:val="18365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1A9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eastAsia="Liberation Sans"/>
      <w:b/>
      <w:color w:val="1836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3 17-Question Candidate Bank</dc:title>
  <dc:subject>Therapeutic Alliance, Systemic Practice, and Self of the Therapist</dc:subject>
  <dc:creator>Clinical Training &amp; Supervision Academy</dc:creator>
  <cp:keywords>CTA, LMFT, AMFTRB, Workbook 3, exam preparation, therapeutic alliance, systemic practice</cp:keywords>
  <dc:description>Version 1.0 - July 2026</dc:description>
  <cp:lastModifiedBy/>
  <cp:revision>1</cp:revision>
  <dcterms:created xsi:type="dcterms:W3CDTF">2013-12-23T23:15:00Z</dcterms:created>
  <dcterms:modified xsi:type="dcterms:W3CDTF">2013-12-23T23:15:00Z</dcterms:modified>
  <cp:category/>
</cp:coreProperties>
</file>