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drawing>
          <wp:inline xmlns:a="http://schemas.openxmlformats.org/drawingml/2006/main" xmlns:pic="http://schemas.openxmlformats.org/drawingml/2006/picture">
            <wp:extent cx="5029200" cy="1671869"/>
            <wp:docPr id="1" name="Picture 1" descr="Clinical Training and Supervision Academy logo" title="CTA logo"/>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029200" cy="1671869"/>
                    </a:xfrm>
                    <a:prstGeom prst="rect"/>
                  </pic:spPr>
                </pic:pic>
              </a:graphicData>
            </a:graphic>
          </wp:inline>
        </w:drawing>
      </w:r>
    </w:p>
    <w:p>
      <w:pPr>
        <w:spacing w:before="160" w:after="40" w:line="240" w:lineRule="auto"/>
        <w:jc w:val="center"/>
      </w:pPr>
      <w:r>
        <w:rPr>
          <w:rFonts w:ascii="Liberation Sans" w:hAnsi="Liberation Sans" w:eastAsia="Liberation Sans"/>
          <w:b/>
          <w:i w:val="0"/>
          <w:color w:val="18365B"/>
          <w:sz w:val="36"/>
        </w:rPr>
        <w:t>CTA LMFT AMFTRB</w:t>
      </w:r>
      <w:r>
        <w:br/>
      </w:r>
      <w:r>
        <w:rPr>
          <w:rFonts w:ascii="Liberation Sans" w:hAnsi="Liberation Sans" w:eastAsia="Liberation Sans"/>
          <w:b/>
          <w:i w:val="0"/>
          <w:color w:val="18365B"/>
          <w:sz w:val="34"/>
        </w:rPr>
        <w:t>NATIONAL EXAM PREPARATION PROGRAM</w:t>
      </w:r>
    </w:p>
    <w:p>
      <w:pPr>
        <w:spacing w:before="200" w:after="80" w:line="240" w:lineRule="auto"/>
        <w:jc w:val="center"/>
      </w:pPr>
      <w:r>
        <w:rPr>
          <w:rFonts w:ascii="Liberation Sans" w:hAnsi="Liberation Sans" w:eastAsia="Liberation Sans"/>
          <w:b/>
          <w:i w:val="0"/>
          <w:color w:val="1A9A96"/>
          <w:sz w:val="27"/>
        </w:rPr>
        <w:t>WORKBOOK 4 PRACTICE BANK</w:t>
      </w:r>
    </w:p>
    <w:p>
      <w:pPr>
        <w:spacing w:before="160" w:after="80" w:line="240" w:lineRule="auto"/>
        <w:jc w:val="center"/>
      </w:pPr>
      <w:r>
        <w:rPr>
          <w:rFonts w:ascii="Liberation Sans" w:hAnsi="Liberation Sans" w:eastAsia="Liberation Sans"/>
          <w:b/>
          <w:i w:val="0"/>
          <w:color w:val="18365B"/>
          <w:sz w:val="40"/>
        </w:rPr>
        <w:t>17-Question Candidate Form</w:t>
      </w:r>
    </w:p>
    <w:p>
      <w:pPr>
        <w:spacing w:before="40" w:after="280" w:line="240" w:lineRule="auto"/>
        <w:jc w:val="center"/>
      </w:pPr>
      <w:r>
        <w:rPr>
          <w:rFonts w:ascii="Liberation Sans" w:hAnsi="Liberation Sans" w:eastAsia="Liberation Sans"/>
          <w:b/>
          <w:i w:val="0"/>
          <w:color w:val="18365B"/>
          <w:sz w:val="25"/>
        </w:rPr>
        <w:t>Diagnosis, Differential Diagnosis, Instruments, and Systemic Case Formulation</w:t>
      </w:r>
    </w:p>
    <w:tbl>
      <w:tblPr>
        <w:tblW w:type="auto" w:w="0"/>
        <w:jc w:val="center"/>
        <w:tblLook w:firstColumn="1" w:firstRow="1" w:lastColumn="0" w:lastRow="0" w:noHBand="0" w:noVBand="1" w:val="04A0"/>
      </w:tblPr>
      <w:tblGrid>
        <w:gridCol w:w="10454"/>
      </w:tblGrid>
      <w:tr>
        <w:tc>
          <w:tcPr>
            <w:tcW w:type="dxa" w:w="10454"/>
            <w:shd w:fill="E8F6F5"/>
            <w:tcBorders>
              <w:top w:val="single" w:sz="12" w:color="1A9A96"/>
              <w:left w:val="single" w:sz="12" w:color="1A9A96"/>
              <w:bottom w:val="single" w:sz="12" w:color="1A9A96"/>
              <w:right w:val="single" w:sz="12" w:color="1A9A96"/>
            </w:tcBorders>
            <w:tcMar>
              <w:top w:w="120" w:type="dxa"/>
              <w:start w:w="180" w:type="dxa"/>
              <w:bottom w:w="120" w:type="dxa"/>
              <w:end w:w="180" w:type="dxa"/>
            </w:tcMar>
          </w:tcPr>
          <w:p>
            <w:pPr>
              <w:spacing w:before="0" w:after="0" w:line="240" w:lineRule="auto"/>
              <w:jc w:val="center"/>
            </w:pPr>
            <w:r>
              <w:rPr>
                <w:rFonts w:ascii="Liberation Sans" w:hAnsi="Liberation Sans" w:eastAsia="Liberation Sans"/>
                <w:b/>
                <w:i w:val="0"/>
                <w:color w:val="18365B"/>
                <w:sz w:val="21"/>
              </w:rPr>
              <w:t>CANDIDATE FORM | Complete before opening the controlled answer-and-rationale form</w:t>
            </w:r>
          </w:p>
        </w:tc>
      </w:tr>
    </w:tbl>
    <w:p>
      <w:pPr>
        <w:spacing w:before="400" w:after="40" w:line="240" w:lineRule="auto"/>
        <w:jc w:val="center"/>
      </w:pPr>
      <w:r>
        <w:rPr>
          <w:rFonts w:ascii="Liberation Sans" w:hAnsi="Liberation Sans" w:eastAsia="Liberation Sans"/>
          <w:b/>
          <w:i w:val="0"/>
          <w:color w:val="18365B"/>
          <w:sz w:val="20"/>
        </w:rPr>
        <w:t>Version 1.0 - July 2026</w:t>
      </w:r>
      <w:r>
        <w:br/>
      </w:r>
      <w:r>
        <w:rPr>
          <w:rFonts w:ascii="Liberation Sans" w:hAnsi="Liberation Sans" w:eastAsia="Liberation Sans"/>
          <w:b/>
          <w:i w:val="0"/>
          <w:color w:val="1A9A96"/>
          <w:sz w:val="20"/>
        </w:rPr>
        <w:t>Clinical Training &amp; Supervision Academy</w:t>
      </w:r>
      <w:r>
        <w:br/>
      </w:r>
      <w:r>
        <w:rPr>
          <w:rFonts w:ascii="Liberation Sans" w:hAnsi="Liberation Sans" w:eastAsia="Liberation Sans"/>
          <w:b w:val="0"/>
          <w:i w:val="0"/>
          <w:color w:val="667085"/>
          <w:sz w:val="18"/>
        </w:rPr>
        <w:t>Exam Preparation Program | No Continuing-Education Credit</w:t>
      </w:r>
    </w:p>
    <w:p>
      <w:pPr>
        <w:spacing w:before="280" w:after="0" w:line="240" w:lineRule="auto"/>
        <w:jc w:val="center"/>
      </w:pPr>
      <w:r>
        <w:rPr>
          <w:rFonts w:ascii="Liberation Sans" w:hAnsi="Liberation Sans" w:eastAsia="Liberation Sans"/>
          <w:b/>
          <w:i/>
          <w:color w:val="18365B"/>
          <w:sz w:val="20"/>
        </w:rPr>
        <w:t>Teaching Clinicians How to Think.</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How to Use This Candidate Bank</w:t>
            </w:r>
          </w:p>
        </w:tc>
      </w:tr>
    </w:tbl>
    <w:p>
      <w:pPr>
        <w:spacing w:before="0" w:after="100" w:line="240" w:lineRule="auto"/>
      </w:pPr>
      <w:r>
        <w:rPr>
          <w:rFonts w:ascii="Liberation Sans" w:hAnsi="Liberation Sans" w:eastAsia="Liberation Sans"/>
          <w:b w:val="0"/>
          <w:i w:val="0"/>
          <w:color w:val="1F2937"/>
          <w:sz w:val="18"/>
        </w:rPr>
        <w:t>This bank contains 17 original CTA one-best-answer questions aligned to Workbook 4. It tests diagnostic language, pattern and timeline reasoning, differential diagnosis, medical and substance exclusions, standardized-instrument limits, systemic formulation, treatment-priority implications, consultation, and referral.</w:t>
      </w:r>
    </w:p>
    <w:p>
      <w:pPr>
        <w:pStyle w:val="ListBullet"/>
        <w:spacing w:before="0" w:after="40" w:line="240" w:lineRule="auto"/>
      </w:pPr>
      <w:r>
        <w:rPr>
          <w:rFonts w:ascii="Liberation Sans" w:hAnsi="Liberation Sans" w:eastAsia="Liberation Sans"/>
          <w:b w:val="0"/>
          <w:i w:val="0"/>
          <w:color w:val="1F2937"/>
          <w:sz w:val="18"/>
        </w:rPr>
        <w:t>Choose one answer (A-D) for every item. Do not leave blanks.</w:t>
      </w:r>
    </w:p>
    <w:p>
      <w:pPr>
        <w:pStyle w:val="ListBullet"/>
        <w:spacing w:before="0" w:after="40" w:line="240" w:lineRule="auto"/>
      </w:pPr>
      <w:r>
        <w:rPr>
          <w:rFonts w:ascii="Liberation Sans" w:hAnsi="Liberation Sans" w:eastAsia="Liberation Sans"/>
          <w:b w:val="0"/>
          <w:i w:val="0"/>
          <w:color w:val="1F2937"/>
          <w:sz w:val="18"/>
        </w:rPr>
        <w:t>Suggested timed attempt: 23 minutes, based on the current 80-second average. Untimed first attempts are also acceptable when learning the method.</w:t>
      </w:r>
    </w:p>
    <w:p>
      <w:pPr>
        <w:pStyle w:val="ListBullet"/>
        <w:spacing w:before="0" w:after="40" w:line="240" w:lineRule="auto"/>
      </w:pPr>
      <w:r>
        <w:rPr>
          <w:rFonts w:ascii="Liberation Sans" w:hAnsi="Liberation Sans" w:eastAsia="Liberation Sans"/>
          <w:b w:val="0"/>
          <w:i w:val="0"/>
          <w:color w:val="1F2937"/>
          <w:sz w:val="18"/>
        </w:rPr>
        <w:t>Record confidence from 1 (guess) to 4 (high confidence) and note elapsed time.</w:t>
      </w:r>
    </w:p>
    <w:p>
      <w:pPr>
        <w:pStyle w:val="ListBullet"/>
        <w:spacing w:before="0" w:after="40" w:line="240" w:lineRule="auto"/>
      </w:pPr>
      <w:r>
        <w:rPr>
          <w:rFonts w:ascii="Liberation Sans" w:hAnsi="Liberation Sans" w:eastAsia="Liberation Sans"/>
          <w:b w:val="0"/>
          <w:i w:val="0"/>
          <w:color w:val="1F2937"/>
          <w:sz w:val="18"/>
        </w:rPr>
        <w:t>Use DIAGNOSE, PTI, DIFF, MEASURE, and FORMULATE before changing an answer. Change only for a specific fact, qualifier, timeline, threshold, exclusion, scope rule, safety priority, or stronger systemic formulation.</w:t>
      </w:r>
    </w:p>
    <w:p>
      <w:pPr>
        <w:pStyle w:val="ListBullet"/>
        <w:spacing w:before="0" w:after="40" w:line="240" w:lineRule="auto"/>
      </w:pPr>
      <w:r>
        <w:rPr>
          <w:rFonts w:ascii="Liberation Sans" w:hAnsi="Liberation Sans" w:eastAsia="Liberation Sans"/>
          <w:b w:val="0"/>
          <w:i w:val="0"/>
          <w:color w:val="1F2937"/>
          <w:sz w:val="18"/>
        </w:rPr>
        <w:t>Submit or finalize this candidate form before opening the controlled answer key and detailed rationales.</w:t>
      </w:r>
    </w:p>
    <w:p>
      <w:pPr>
        <w:pStyle w:val="ListBullet"/>
        <w:spacing w:before="0" w:after="40" w:line="240" w:lineRule="auto"/>
      </w:pPr>
      <w:r>
        <w:rPr>
          <w:rFonts w:ascii="Liberation Sans" w:hAnsi="Liberation Sans" w:eastAsia="Liberation Sans"/>
          <w:b w:val="0"/>
          <w:i w:val="0"/>
          <w:color w:val="1F2937"/>
          <w:sz w:val="18"/>
        </w:rPr>
        <w:t>CTA raw scores are instructional data only and are not official AMFTRB scaled scores or passing predictions.</w:t>
      </w:r>
    </w:p>
    <w:tbl>
      <w:tblPr>
        <w:tblW w:type="auto" w:w="0"/>
        <w:jc w:val="center"/>
        <w:tblLook w:firstColumn="1" w:firstRow="1" w:lastColumn="0" w:lastRow="0" w:noHBand="0" w:noVBand="1" w:val="04A0"/>
      </w:tblPr>
      <w:tblGrid>
        <w:gridCol w:w="10454"/>
      </w:tblGrid>
      <w:tr>
        <w:tc>
          <w:tcPr>
            <w:tcW w:type="dxa" w:w="10454"/>
            <w:shd w:fill="FFF6DC"/>
            <w:tcBorders>
              <w:top w:val="single" w:sz="10" w:color="D8A400"/>
              <w:left w:val="single" w:sz="10" w:color="D8A400"/>
              <w:bottom w:val="single" w:sz="10" w:color="D8A400"/>
              <w:right w:val="single" w:sz="10" w:color="D8A400"/>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SECURITY AND ATTRIBUTION NOTICE  </w:t>
            </w:r>
            <w:r>
              <w:rPr>
                <w:rFonts w:ascii="Liberation Sans" w:hAnsi="Liberation Sans" w:eastAsia="Liberation Sans"/>
                <w:b w:val="0"/>
                <w:i w:val="0"/>
                <w:color w:val="1F2937"/>
                <w:sz w:val="19"/>
              </w:rPr>
              <w:t>These questions are original CTA educational materials. They are not official AMFTRB items and do not imply affiliation with or endorsement by AMFTRB, PTC, Prometric, or any licensing jurisdiction.</w:t>
            </w:r>
          </w:p>
        </w:tc>
      </w:tr>
    </w:tbl>
    <w:p>
      <w:pPr>
        <w:pStyle w:val="Heading2"/>
      </w:pPr>
      <w:r>
        <w:t>Answer Record</w:t>
      </w:r>
    </w:p>
    <w:tbl>
      <w:tblPr>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gridCol w:w="1080"/>
      </w:tblGrid>
      <w:tr>
        <w:trPr>
          <w:tblHeader w:val="true"/>
        </w:trPr>
        <w:tc>
          <w:tcPr>
            <w:tcW w:type="dxa" w:w="10458"/>
            <w:gridSpan w:val="9"/>
            <w:shd w:fill="18365B"/>
            <w:tcMar>
              <w:top w:w="70" w:type="dxa"/>
              <w:start w:w="80" w:type="dxa"/>
              <w:bottom w:w="70" w:type="dxa"/>
              <w:end w:w="80" w:type="dxa"/>
            </w:tcMar>
          </w:tcPr>
          <w:p>
            <w:pPr>
              <w:spacing w:before="0" w:after="0" w:line="240" w:lineRule="auto"/>
              <w:jc w:val="center"/>
            </w:pPr>
            <w:r>
              <w:rPr>
                <w:rFonts w:ascii="Liberation Sans" w:hAnsi="Liberation Sans" w:eastAsia="Liberation Sans"/>
                <w:b/>
                <w:i w:val="0"/>
                <w:color w:val="FFFFFF"/>
                <w:sz w:val="19"/>
              </w:rPr>
              <w:t>CANDIDATE ANSWER RECORD</w:t>
            </w:r>
          </w:p>
        </w:tc>
      </w:tr>
      <w:tr>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2</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3</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4</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5</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6</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7</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8</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9</w:t>
              <w:br/>
              <w:t>Ans: ___</w:t>
              <w:br/>
              <w:t>Conf: ___</w:t>
            </w:r>
          </w:p>
        </w:tc>
      </w:tr>
      <w:tr>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10</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11</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12</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13</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14</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15</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16</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17</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p>
        </w:tc>
      </w:tr>
    </w:tbl>
    <w:p>
      <w:pPr>
        <w:spacing w:before="100" w:after="80" w:line="240" w:lineRule="auto"/>
      </w:pPr>
      <w:r>
        <w:rPr>
          <w:rFonts w:ascii="Liberation Sans" w:hAnsi="Liberation Sans" w:eastAsia="Liberation Sans"/>
          <w:b w:val="0"/>
          <w:i w:val="0"/>
          <w:color w:val="667085"/>
          <w:sz w:val="17"/>
        </w:rPr>
        <w:t>Start time: __________   End time: __________   Total elapsed: __________   Notes: __________________________________________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4 Candidate Questions</w:t>
              <w:br/>
              <w:t>Select the one best answer. Record confidence and time for each item.</w:t>
            </w:r>
          </w:p>
        </w:tc>
      </w:tr>
    </w:tbl>
    <w:p>
      <w:pPr>
        <w:keepNext/>
        <w:spacing w:before="120" w:after="60" w:line="240" w:lineRule="auto"/>
      </w:pPr>
      <w:r>
        <w:rPr>
          <w:rFonts w:ascii="Liberation Sans" w:hAnsi="Liberation Sans" w:eastAsia="Liberation Sans"/>
          <w:b/>
          <w:i w:val="0"/>
          <w:color w:val="18365B"/>
          <w:sz w:val="20"/>
        </w:rPr>
        <w:t>1. Which statement correctly distinguishes a symptom, a diagnosis, and a systemic hypothesis?</w:t>
      </w:r>
    </w:p>
    <w:p>
      <w:pPr>
        <w:keepLines/>
        <w:spacing w:before="0" w:after="40" w:line="247" w:lineRule="auto"/>
        <w:ind w:left="216" w:hanging="216"/>
      </w:pPr>
      <w:r>
        <w:rPr>
          <w:rFonts w:ascii="Liberation Sans" w:hAnsi="Liberation Sans" w:eastAsia="Liberation Sans"/>
          <w:b/>
          <w:i w:val="0"/>
          <w:color w:val="1F2937"/>
          <w:sz w:val="19"/>
        </w:rPr>
        <w:t>A. A symptom is a specific reported or observed experience; a diagnosis organizes a supported clinical pattern within a recognized system; and a systemic hypothesis is a revisable explanation of reciprocal and contextual influences.</w:t>
      </w:r>
    </w:p>
    <w:p>
      <w:pPr>
        <w:keepLines/>
        <w:spacing w:before="0" w:after="40" w:line="247" w:lineRule="auto"/>
        <w:ind w:left="216" w:hanging="216"/>
      </w:pPr>
      <w:r>
        <w:rPr>
          <w:rFonts w:ascii="Liberation Sans" w:hAnsi="Liberation Sans" w:eastAsia="Liberation Sans"/>
          <w:b/>
          <w:i w:val="0"/>
          <w:color w:val="1F2937"/>
          <w:sz w:val="19"/>
        </w:rPr>
        <w:t>B. A symptom and a diagnosis are interchangeable, while a systemic hypothesis is the billing code selected for treatment.</w:t>
      </w:r>
    </w:p>
    <w:p>
      <w:pPr>
        <w:keepLines/>
        <w:spacing w:before="0" w:after="40" w:line="247" w:lineRule="auto"/>
        <w:ind w:left="216" w:hanging="216"/>
      </w:pPr>
      <w:r>
        <w:rPr>
          <w:rFonts w:ascii="Liberation Sans" w:hAnsi="Liberation Sans" w:eastAsia="Liberation Sans"/>
          <w:b/>
          <w:i w:val="0"/>
          <w:color w:val="1F2937"/>
          <w:sz w:val="19"/>
        </w:rPr>
        <w:t>C. A diagnosis explains the entire client system, while symptoms and systemic hypotheses are unnecessary once a label is assigned.</w:t>
      </w:r>
    </w:p>
    <w:p>
      <w:pPr>
        <w:keepLines/>
        <w:spacing w:before="0" w:after="40" w:line="247" w:lineRule="auto"/>
        <w:ind w:left="216" w:hanging="216"/>
      </w:pPr>
      <w:r>
        <w:rPr>
          <w:rFonts w:ascii="Liberation Sans" w:hAnsi="Liberation Sans" w:eastAsia="Liberation Sans"/>
          <w:b/>
          <w:i w:val="0"/>
          <w:color w:val="1F2937"/>
          <w:sz w:val="19"/>
        </w:rPr>
        <w:t>D. A systemic hypothesis is a definitive causal conclusion, while a diagnosis is only a tentative description of one symptom.</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2. A client scores above the recommended threshold on a brief depression screener. Which interpretation is BEST?</w:t>
      </w:r>
    </w:p>
    <w:p>
      <w:pPr>
        <w:keepLines/>
        <w:spacing w:before="0" w:after="40" w:line="247" w:lineRule="auto"/>
        <w:ind w:left="216" w:hanging="216"/>
      </w:pPr>
      <w:r>
        <w:rPr>
          <w:rFonts w:ascii="Liberation Sans" w:hAnsi="Liberation Sans" w:eastAsia="Liberation Sans"/>
          <w:b/>
          <w:i w:val="0"/>
          <w:color w:val="1F2937"/>
          <w:sz w:val="19"/>
        </w:rPr>
        <w:t>A. The score confirms a depressive disorder and should be entered as the final diagnosis.</w:t>
      </w:r>
    </w:p>
    <w:p>
      <w:pPr>
        <w:keepLines/>
        <w:spacing w:before="0" w:after="40" w:line="247" w:lineRule="auto"/>
        <w:ind w:left="216" w:hanging="216"/>
      </w:pPr>
      <w:r>
        <w:rPr>
          <w:rFonts w:ascii="Liberation Sans" w:hAnsi="Liberation Sans" w:eastAsia="Liberation Sans"/>
          <w:b/>
          <w:i w:val="0"/>
          <w:color w:val="1F2937"/>
          <w:sz w:val="19"/>
        </w:rPr>
        <w:t>B. The score signals the need for further assessment and should be integrated with interview, observation, functioning, context, and relevant exclusions before a diagnosis is made.</w:t>
      </w:r>
    </w:p>
    <w:p>
      <w:pPr>
        <w:keepLines/>
        <w:spacing w:before="0" w:after="40" w:line="247" w:lineRule="auto"/>
        <w:ind w:left="216" w:hanging="216"/>
      </w:pPr>
      <w:r>
        <w:rPr>
          <w:rFonts w:ascii="Liberation Sans" w:hAnsi="Liberation Sans" w:eastAsia="Liberation Sans"/>
          <w:b/>
          <w:i w:val="0"/>
          <w:color w:val="1F2937"/>
          <w:sz w:val="19"/>
        </w:rPr>
        <w:t>C. The score should be ignored because screening instruments cannot contribute useful clinical information.</w:t>
      </w:r>
    </w:p>
    <w:p>
      <w:pPr>
        <w:keepLines/>
        <w:spacing w:before="0" w:after="40" w:line="247" w:lineRule="auto"/>
        <w:ind w:left="216" w:hanging="216"/>
      </w:pPr>
      <w:r>
        <w:rPr>
          <w:rFonts w:ascii="Liberation Sans" w:hAnsi="Liberation Sans" w:eastAsia="Liberation Sans"/>
          <w:b/>
          <w:i w:val="0"/>
          <w:color w:val="1F2937"/>
          <w:sz w:val="19"/>
        </w:rPr>
        <w:t>D. The score is meaningful only after a diagnosis has already been established.</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4 Candidate Questions</w:t>
              <w:br/>
              <w:t>Questions 3-4</w:t>
            </w:r>
          </w:p>
        </w:tc>
      </w:tr>
    </w:tbl>
    <w:p>
      <w:pPr>
        <w:keepNext/>
        <w:spacing w:before="120" w:after="60" w:line="240" w:lineRule="auto"/>
      </w:pPr>
      <w:r>
        <w:rPr>
          <w:rFonts w:ascii="Liberation Sans" w:hAnsi="Liberation Sans" w:eastAsia="Liberation Sans"/>
          <w:b/>
          <w:i w:val="0"/>
          <w:color w:val="18365B"/>
          <w:sz w:val="20"/>
        </w:rPr>
        <w:t>3. A client reports recurrent panic-like episodes and avoidance, but the therapist has only one session of history and learns that a recent medication change may contribute to the symptoms. Which documentation is MOST appropriate?</w:t>
      </w:r>
    </w:p>
    <w:p>
      <w:pPr>
        <w:keepLines/>
        <w:spacing w:before="0" w:after="40" w:line="247" w:lineRule="auto"/>
        <w:ind w:left="216" w:hanging="216"/>
      </w:pPr>
      <w:r>
        <w:rPr>
          <w:rFonts w:ascii="Liberation Sans" w:hAnsi="Liberation Sans" w:eastAsia="Liberation Sans"/>
          <w:b/>
          <w:i w:val="0"/>
          <w:color w:val="1F2937"/>
          <w:sz w:val="19"/>
        </w:rPr>
        <w:t>A. “Panic disorder confirmed; no further diagnostic assessment is needed.”</w:t>
      </w:r>
    </w:p>
    <w:p>
      <w:pPr>
        <w:keepLines/>
        <w:spacing w:before="0" w:after="40" w:line="247" w:lineRule="auto"/>
        <w:ind w:left="216" w:hanging="216"/>
      </w:pPr>
      <w:r>
        <w:rPr>
          <w:rFonts w:ascii="Liberation Sans" w:hAnsi="Liberation Sans" w:eastAsia="Liberation Sans"/>
          <w:b/>
          <w:i w:val="0"/>
          <w:color w:val="1F2937"/>
          <w:sz w:val="19"/>
        </w:rPr>
        <w:t>B. “No diagnosis is possible until every medical explanation has been eliminated.”</w:t>
      </w:r>
    </w:p>
    <w:p>
      <w:pPr>
        <w:keepLines/>
        <w:spacing w:before="0" w:after="40" w:line="247" w:lineRule="auto"/>
        <w:ind w:left="216" w:hanging="216"/>
      </w:pPr>
      <w:r>
        <w:rPr>
          <w:rFonts w:ascii="Liberation Sans" w:hAnsi="Liberation Sans" w:eastAsia="Liberation Sans"/>
          <w:b/>
          <w:i w:val="0"/>
          <w:color w:val="1F2937"/>
          <w:sz w:val="19"/>
        </w:rPr>
        <w:t>C. “Working or provisional panic-related diagnostic impression; clarify timeline, functional impact, medication effects, and competing explanations before confirming or revising the diagnosis.”</w:t>
      </w:r>
    </w:p>
    <w:p>
      <w:pPr>
        <w:keepLines/>
        <w:spacing w:before="0" w:after="40" w:line="247" w:lineRule="auto"/>
        <w:ind w:left="216" w:hanging="216"/>
      </w:pPr>
      <w:r>
        <w:rPr>
          <w:rFonts w:ascii="Liberation Sans" w:hAnsi="Liberation Sans" w:eastAsia="Liberation Sans"/>
          <w:b/>
          <w:i w:val="0"/>
          <w:color w:val="1F2937"/>
          <w:sz w:val="19"/>
        </w:rPr>
        <w:t>D. “Rule out panic disorder,” used as the only diagnosis even though panic disorder is the leading current explanation.</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4. Three weeks after a major loss, a client reports sadness, intermittent insomnia, and reduced concentration but continues working, parenting, and maintaining supportive relationships. Which conclusion is BEST?</w:t>
      </w:r>
    </w:p>
    <w:p>
      <w:pPr>
        <w:keepLines/>
        <w:spacing w:before="0" w:after="40" w:line="247" w:lineRule="auto"/>
        <w:ind w:left="216" w:hanging="216"/>
      </w:pPr>
      <w:r>
        <w:rPr>
          <w:rFonts w:ascii="Liberation Sans" w:hAnsi="Liberation Sans" w:eastAsia="Liberation Sans"/>
          <w:b/>
          <w:i w:val="0"/>
          <w:color w:val="1F2937"/>
          <w:sz w:val="19"/>
        </w:rPr>
        <w:t>A. The client necessarily has a depressive disorder because sadness and insomnia are present.</w:t>
      </w:r>
    </w:p>
    <w:p>
      <w:pPr>
        <w:keepLines/>
        <w:spacing w:before="0" w:after="40" w:line="247" w:lineRule="auto"/>
        <w:ind w:left="216" w:hanging="216"/>
      </w:pPr>
      <w:r>
        <w:rPr>
          <w:rFonts w:ascii="Liberation Sans" w:hAnsi="Liberation Sans" w:eastAsia="Liberation Sans"/>
          <w:b/>
          <w:i w:val="0"/>
          <w:color w:val="1F2937"/>
          <w:sz w:val="19"/>
        </w:rPr>
        <w:t>B. The presentation is normal grief, so no safety, impairment, or symptom assessment is needed.</w:t>
      </w:r>
    </w:p>
    <w:p>
      <w:pPr>
        <w:keepLines/>
        <w:spacing w:before="0" w:after="40" w:line="247" w:lineRule="auto"/>
        <w:ind w:left="216" w:hanging="216"/>
      </w:pPr>
      <w:r>
        <w:rPr>
          <w:rFonts w:ascii="Liberation Sans" w:hAnsi="Liberation Sans" w:eastAsia="Liberation Sans"/>
          <w:b/>
          <w:i w:val="0"/>
          <w:color w:val="1F2937"/>
          <w:sz w:val="19"/>
        </w:rPr>
        <w:t>C. A personality disorder is most likely because the symptoms followed an interpersonal loss.</w:t>
      </w:r>
    </w:p>
    <w:p>
      <w:pPr>
        <w:keepLines/>
        <w:spacing w:before="0" w:after="40" w:line="247" w:lineRule="auto"/>
        <w:ind w:left="216" w:hanging="216"/>
      </w:pPr>
      <w:r>
        <w:rPr>
          <w:rFonts w:ascii="Liberation Sans" w:hAnsi="Liberation Sans" w:eastAsia="Liberation Sans"/>
          <w:b/>
          <w:i w:val="0"/>
          <w:color w:val="1F2937"/>
          <w:sz w:val="19"/>
        </w:rPr>
        <w:t>D. The symptoms deserve continued assessment and support, but the available timeline, severity, impairment, course, and exclusions do not yet justify a definitive disorder-level conclusion.</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4 Candidate Questions</w:t>
              <w:br/>
              <w:t>Questions 5-6</w:t>
            </w:r>
          </w:p>
        </w:tc>
      </w:tr>
    </w:tbl>
    <w:p>
      <w:pPr>
        <w:keepNext/>
        <w:spacing w:before="120" w:after="60" w:line="240" w:lineRule="auto"/>
      </w:pPr>
      <w:r>
        <w:rPr>
          <w:rFonts w:ascii="Liberation Sans" w:hAnsi="Liberation Sans" w:eastAsia="Liberation Sans"/>
          <w:b/>
          <w:i w:val="0"/>
          <w:color w:val="18365B"/>
          <w:sz w:val="20"/>
        </w:rPr>
        <w:t>5. One partner in a couple meets criteria for a depressive disorder. Which formulation BEST reflects systemic diagnostic reasoning?</w:t>
      </w:r>
    </w:p>
    <w:p>
      <w:pPr>
        <w:keepLines/>
        <w:spacing w:before="0" w:after="40" w:line="247" w:lineRule="auto"/>
        <w:ind w:left="216" w:hanging="216"/>
      </w:pPr>
      <w:r>
        <w:rPr>
          <w:rFonts w:ascii="Liberation Sans" w:hAnsi="Liberation Sans" w:eastAsia="Liberation Sans"/>
          <w:b/>
          <w:i w:val="0"/>
          <w:color w:val="1F2937"/>
          <w:sz w:val="19"/>
        </w:rPr>
        <w:t>A. “The depressive pattern contributes to withdrawal and reduced follow-through; the other partner responds with criticism and overfunctioning, which increases shame and further withdrawal. Financial stress and limited support intensify the cycle, while shared commitment and prior problem-solving are strengths. Continue couple assessment while coordinating individual and medical needs.”</w:t>
      </w:r>
    </w:p>
    <w:p>
      <w:pPr>
        <w:keepLines/>
        <w:spacing w:before="0" w:after="40" w:line="247" w:lineRule="auto"/>
        <w:ind w:left="216" w:hanging="216"/>
      </w:pPr>
      <w:r>
        <w:rPr>
          <w:rFonts w:ascii="Liberation Sans" w:hAnsi="Liberation Sans" w:eastAsia="Liberation Sans"/>
          <w:b/>
          <w:i w:val="0"/>
          <w:color w:val="1F2937"/>
          <w:sz w:val="19"/>
        </w:rPr>
        <w:t>B. “The diagnosed partner is the cause of the couple's problems, so only individual treatment is appropriate.”</w:t>
      </w:r>
    </w:p>
    <w:p>
      <w:pPr>
        <w:keepLines/>
        <w:spacing w:before="0" w:after="40" w:line="247" w:lineRule="auto"/>
        <w:ind w:left="216" w:hanging="216"/>
      </w:pPr>
      <w:r>
        <w:rPr>
          <w:rFonts w:ascii="Liberation Sans" w:hAnsi="Liberation Sans" w:eastAsia="Liberation Sans"/>
          <w:b/>
          <w:i w:val="0"/>
          <w:color w:val="1F2937"/>
          <w:sz w:val="19"/>
        </w:rPr>
        <w:t>C. “Because symptoms are relationally influenced, diagnosis should be excluded from the formulation.”</w:t>
      </w:r>
    </w:p>
    <w:p>
      <w:pPr>
        <w:keepLines/>
        <w:spacing w:before="0" w:after="40" w:line="247" w:lineRule="auto"/>
        <w:ind w:left="216" w:hanging="216"/>
      </w:pPr>
      <w:r>
        <w:rPr>
          <w:rFonts w:ascii="Liberation Sans" w:hAnsi="Liberation Sans" w:eastAsia="Liberation Sans"/>
          <w:b/>
          <w:i w:val="0"/>
          <w:color w:val="1F2937"/>
          <w:sz w:val="19"/>
        </w:rPr>
        <w:t>D. “The couple has communication problems,” with no diagnostic impression, timeline, contextual factors, strengths, or next step.</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6. A client with no documented history of sustained activation develops four days of markedly reduced need for sleep, rapid speech, impulsive spending, and agitation shortly after an antidepressant dose increase and heavy use of stimulant beverages. What should the therapist do FIRST?</w:t>
      </w:r>
    </w:p>
    <w:p>
      <w:pPr>
        <w:keepLines/>
        <w:spacing w:before="0" w:after="40" w:line="247" w:lineRule="auto"/>
        <w:ind w:left="216" w:hanging="216"/>
      </w:pPr>
      <w:r>
        <w:rPr>
          <w:rFonts w:ascii="Liberation Sans" w:hAnsi="Liberation Sans" w:eastAsia="Liberation Sans"/>
          <w:b/>
          <w:i w:val="0"/>
          <w:color w:val="1F2937"/>
          <w:sz w:val="19"/>
        </w:rPr>
        <w:t>A. Confirm a bipolar disorder because reduced sleep and impulsive spending are present.</w:t>
      </w:r>
    </w:p>
    <w:p>
      <w:pPr>
        <w:keepLines/>
        <w:spacing w:before="0" w:after="40" w:line="247" w:lineRule="auto"/>
        <w:ind w:left="216" w:hanging="216"/>
      </w:pPr>
      <w:r>
        <w:rPr>
          <w:rFonts w:ascii="Liberation Sans" w:hAnsi="Liberation Sans" w:eastAsia="Liberation Sans"/>
          <w:b/>
          <w:i w:val="0"/>
          <w:color w:val="1F2937"/>
          <w:sz w:val="19"/>
        </w:rPr>
        <w:t>B. Assess immediate safety and functional impairment, clarify the exact medication, stimulant, sleep, and symptom timeline, and coordinate prompt prescriber or medical evaluation while keeping multiple explanations open.</w:t>
      </w:r>
    </w:p>
    <w:p>
      <w:pPr>
        <w:keepLines/>
        <w:spacing w:before="0" w:after="40" w:line="247" w:lineRule="auto"/>
        <w:ind w:left="216" w:hanging="216"/>
      </w:pPr>
      <w:r>
        <w:rPr>
          <w:rFonts w:ascii="Liberation Sans" w:hAnsi="Liberation Sans" w:eastAsia="Liberation Sans"/>
          <w:b/>
          <w:i w:val="0"/>
          <w:color w:val="1F2937"/>
          <w:sz w:val="19"/>
        </w:rPr>
        <w:t>C. Advise the client to stop the medication immediately and continue psychotherapy without contacting the prescriber.</w:t>
      </w:r>
    </w:p>
    <w:p>
      <w:pPr>
        <w:keepLines/>
        <w:spacing w:before="0" w:after="40" w:line="247" w:lineRule="auto"/>
        <w:ind w:left="216" w:hanging="216"/>
      </w:pPr>
      <w:r>
        <w:rPr>
          <w:rFonts w:ascii="Liberation Sans" w:hAnsi="Liberation Sans" w:eastAsia="Liberation Sans"/>
          <w:b/>
          <w:i w:val="0"/>
          <w:color w:val="1F2937"/>
          <w:sz w:val="19"/>
        </w:rPr>
        <w:t>D. Interpret the activation as resistance to treatment and confront the client about poor motivation.</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4 Candidate Questions</w:t>
              <w:br/>
              <w:t>Questions 7-8</w:t>
            </w:r>
          </w:p>
        </w:tc>
      </w:tr>
    </w:tbl>
    <w:p>
      <w:pPr>
        <w:keepNext/>
        <w:spacing w:before="120" w:after="60" w:line="240" w:lineRule="auto"/>
      </w:pPr>
      <w:r>
        <w:rPr>
          <w:rFonts w:ascii="Liberation Sans" w:hAnsi="Liberation Sans" w:eastAsia="Liberation Sans"/>
          <w:b/>
          <w:i w:val="0"/>
          <w:color w:val="18365B"/>
          <w:sz w:val="20"/>
        </w:rPr>
        <w:t>7. A trauma survivor reports hearing the abuser's voice during vivid flashbacks triggered by a specific smell. Outside these episodes, the client knows the voice is a memory, shows organized thought, and has intact reality testing. Which formulation is MOST appropriate?</w:t>
      </w:r>
    </w:p>
    <w:p>
      <w:pPr>
        <w:keepLines/>
        <w:spacing w:before="0" w:after="40" w:line="247" w:lineRule="auto"/>
        <w:ind w:left="216" w:hanging="216"/>
      </w:pPr>
      <w:r>
        <w:rPr>
          <w:rFonts w:ascii="Liberation Sans" w:hAnsi="Liberation Sans" w:eastAsia="Liberation Sans"/>
          <w:b/>
          <w:i w:val="0"/>
          <w:color w:val="1F2937"/>
          <w:sz w:val="19"/>
        </w:rPr>
        <w:t>A. Primary psychotic disorder is established because any voice-hearing experience is psychosis.</w:t>
      </w:r>
    </w:p>
    <w:p>
      <w:pPr>
        <w:keepLines/>
        <w:spacing w:before="0" w:after="40" w:line="247" w:lineRule="auto"/>
        <w:ind w:left="216" w:hanging="216"/>
      </w:pPr>
      <w:r>
        <w:rPr>
          <w:rFonts w:ascii="Liberation Sans" w:hAnsi="Liberation Sans" w:eastAsia="Liberation Sans"/>
          <w:b/>
          <w:i w:val="0"/>
          <w:color w:val="1F2937"/>
          <w:sz w:val="19"/>
        </w:rPr>
        <w:t>B. The experience should be ignored because trauma-related symptoms never require differential assessment.</w:t>
      </w:r>
    </w:p>
    <w:p>
      <w:pPr>
        <w:keepLines/>
        <w:spacing w:before="0" w:after="40" w:line="247" w:lineRule="auto"/>
        <w:ind w:left="216" w:hanging="216"/>
      </w:pPr>
      <w:r>
        <w:rPr>
          <w:rFonts w:ascii="Liberation Sans" w:hAnsi="Liberation Sans" w:eastAsia="Liberation Sans"/>
          <w:b/>
          <w:i w:val="0"/>
          <w:color w:val="1F2937"/>
          <w:sz w:val="19"/>
        </w:rPr>
        <w:t>C. Trauma intrusion or dissociative phenomena are plausible leading explanations, while the therapist should continue assessing reality testing, frequency, context, substance/medical factors, functional impact, and any psychotic symptoms outside trauma cues.</w:t>
      </w:r>
    </w:p>
    <w:p>
      <w:pPr>
        <w:keepLines/>
        <w:spacing w:before="0" w:after="40" w:line="247" w:lineRule="auto"/>
        <w:ind w:left="216" w:hanging="216"/>
      </w:pPr>
      <w:r>
        <w:rPr>
          <w:rFonts w:ascii="Liberation Sans" w:hAnsi="Liberation Sans" w:eastAsia="Liberation Sans"/>
          <w:b/>
          <w:i w:val="0"/>
          <w:color w:val="1F2937"/>
          <w:sz w:val="19"/>
        </w:rPr>
        <w:t>D. The client is fabricating symptoms because the voice occurs only during reminders.</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8. A new parent reports repeated unwanted images of harming the infant, feels horrified by them, avoids holding kitchen knives, seeks reassurance, denies desire or intent to act, and demonstrates intact reality testing. Which response is BEST?</w:t>
      </w:r>
    </w:p>
    <w:p>
      <w:pPr>
        <w:keepLines/>
        <w:spacing w:before="0" w:after="40" w:line="247" w:lineRule="auto"/>
        <w:ind w:left="216" w:hanging="216"/>
      </w:pPr>
      <w:r>
        <w:rPr>
          <w:rFonts w:ascii="Liberation Sans" w:hAnsi="Liberation Sans" w:eastAsia="Liberation Sans"/>
          <w:b/>
          <w:i w:val="0"/>
          <w:color w:val="1F2937"/>
          <w:sz w:val="19"/>
        </w:rPr>
        <w:t>A. Conclude that the parent is dangerous because the thought content involves harm.</w:t>
      </w:r>
    </w:p>
    <w:p>
      <w:pPr>
        <w:keepLines/>
        <w:spacing w:before="0" w:after="40" w:line="247" w:lineRule="auto"/>
        <w:ind w:left="216" w:hanging="216"/>
      </w:pPr>
      <w:r>
        <w:rPr>
          <w:rFonts w:ascii="Liberation Sans" w:hAnsi="Liberation Sans" w:eastAsia="Liberation Sans"/>
          <w:b/>
          <w:i w:val="0"/>
          <w:color w:val="1F2937"/>
          <w:sz w:val="19"/>
        </w:rPr>
        <w:t>B. Reassure the parent that there is no need for any direct safety assessment because the thoughts are unwanted.</w:t>
      </w:r>
    </w:p>
    <w:p>
      <w:pPr>
        <w:keepLines/>
        <w:spacing w:before="0" w:after="40" w:line="247" w:lineRule="auto"/>
        <w:ind w:left="216" w:hanging="216"/>
      </w:pPr>
      <w:r>
        <w:rPr>
          <w:rFonts w:ascii="Liberation Sans" w:hAnsi="Liberation Sans" w:eastAsia="Liberation Sans"/>
          <w:b/>
          <w:i w:val="0"/>
          <w:color w:val="1F2937"/>
          <w:sz w:val="19"/>
        </w:rPr>
        <w:t>C. Diagnose a psychotic disorder because the images are disturbing and repetitive.</w:t>
      </w:r>
    </w:p>
    <w:p>
      <w:pPr>
        <w:keepLines/>
        <w:spacing w:before="0" w:after="40" w:line="247" w:lineRule="auto"/>
        <w:ind w:left="216" w:hanging="216"/>
      </w:pPr>
      <w:r>
        <w:rPr>
          <w:rFonts w:ascii="Liberation Sans" w:hAnsi="Liberation Sans" w:eastAsia="Liberation Sans"/>
          <w:b/>
          <w:i w:val="0"/>
          <w:color w:val="1F2937"/>
          <w:sz w:val="19"/>
        </w:rPr>
        <w:t>D. Conduct direct safety and reality-testing assessment, evaluate the ego-dystonic and compulsive features, and compare obsessive, trauma-related, depressive, psychotic, and other explanations before determining diagnosis and care needs.</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4 Candidate Questions</w:t>
              <w:br/>
              <w:t>Questions 9-10</w:t>
            </w:r>
          </w:p>
        </w:tc>
      </w:tr>
    </w:tbl>
    <w:p>
      <w:pPr>
        <w:keepNext/>
        <w:spacing w:before="120" w:after="60" w:line="240" w:lineRule="auto"/>
      </w:pPr>
      <w:r>
        <w:rPr>
          <w:rFonts w:ascii="Liberation Sans" w:hAnsi="Liberation Sans" w:eastAsia="Liberation Sans"/>
          <w:b/>
          <w:i w:val="0"/>
          <w:color w:val="18365B"/>
          <w:sz w:val="20"/>
        </w:rPr>
        <w:t>9. A 62-year-old client with no prior anxiety history develops tremor, palpitations, heat intolerance, weight loss, insomnia, and increasing confusion after a thyroid-medication adjustment. What should the therapist do FIRST?</w:t>
      </w:r>
    </w:p>
    <w:p>
      <w:pPr>
        <w:keepLines/>
        <w:spacing w:before="0" w:after="40" w:line="247" w:lineRule="auto"/>
        <w:ind w:left="216" w:hanging="216"/>
      </w:pPr>
      <w:r>
        <w:rPr>
          <w:rFonts w:ascii="Liberation Sans" w:hAnsi="Liberation Sans" w:eastAsia="Liberation Sans"/>
          <w:b/>
          <w:i w:val="0"/>
          <w:color w:val="1F2937"/>
          <w:sz w:val="19"/>
        </w:rPr>
        <w:t>A. Assess immediate safety and the acute change from baseline, then arrange prompt medical evaluation and medication coordination while documenting the referral question and continuity plan.</w:t>
      </w:r>
    </w:p>
    <w:p>
      <w:pPr>
        <w:keepLines/>
        <w:spacing w:before="0" w:after="40" w:line="247" w:lineRule="auto"/>
        <w:ind w:left="216" w:hanging="216"/>
      </w:pPr>
      <w:r>
        <w:rPr>
          <w:rFonts w:ascii="Liberation Sans" w:hAnsi="Liberation Sans" w:eastAsia="Liberation Sans"/>
          <w:b/>
          <w:i w:val="0"/>
          <w:color w:val="1F2937"/>
          <w:sz w:val="19"/>
        </w:rPr>
        <w:t>B. Diagnose panic disorder and begin exposure exercises because palpitations are present.</w:t>
      </w:r>
    </w:p>
    <w:p>
      <w:pPr>
        <w:keepLines/>
        <w:spacing w:before="0" w:after="40" w:line="247" w:lineRule="auto"/>
        <w:ind w:left="216" w:hanging="216"/>
      </w:pPr>
      <w:r>
        <w:rPr>
          <w:rFonts w:ascii="Liberation Sans" w:hAnsi="Liberation Sans" w:eastAsia="Liberation Sans"/>
          <w:b/>
          <w:i w:val="0"/>
          <w:color w:val="1F2937"/>
          <w:sz w:val="19"/>
        </w:rPr>
        <w:t>C. Wait several weeks to determine whether the symptoms become chronic enough for a psychiatric diagnosis.</w:t>
      </w:r>
    </w:p>
    <w:p>
      <w:pPr>
        <w:keepLines/>
        <w:spacing w:before="0" w:after="40" w:line="247" w:lineRule="auto"/>
        <w:ind w:left="216" w:hanging="216"/>
      </w:pPr>
      <w:r>
        <w:rPr>
          <w:rFonts w:ascii="Liberation Sans" w:hAnsi="Liberation Sans" w:eastAsia="Liberation Sans"/>
          <w:b/>
          <w:i w:val="0"/>
          <w:color w:val="1F2937"/>
          <w:sz w:val="19"/>
        </w:rPr>
        <w:t>D. Ask the family to stop discussing the symptoms so attention does not reinforce them.</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10. A 10-year-old has school refusal and inattention reported by one teacher. The parent reports loud snoring and morning headaches, the child describes bullying, and prior grades suggest an emerging reading difficulty. What should the therapist do NEXT?</w:t>
      </w:r>
    </w:p>
    <w:p>
      <w:pPr>
        <w:keepLines/>
        <w:spacing w:before="0" w:after="40" w:line="247" w:lineRule="auto"/>
        <w:ind w:left="216" w:hanging="216"/>
      </w:pPr>
      <w:r>
        <w:rPr>
          <w:rFonts w:ascii="Liberation Sans" w:hAnsi="Liberation Sans" w:eastAsia="Liberation Sans"/>
          <w:b/>
          <w:i w:val="0"/>
          <w:color w:val="1F2937"/>
          <w:sz w:val="19"/>
        </w:rPr>
        <w:t>A. Diagnose ADHD because school inattention is the most objective report.</w:t>
      </w:r>
    </w:p>
    <w:p>
      <w:pPr>
        <w:keepLines/>
        <w:spacing w:before="0" w:after="40" w:line="247" w:lineRule="auto"/>
        <w:ind w:left="216" w:hanging="216"/>
      </w:pPr>
      <w:r>
        <w:rPr>
          <w:rFonts w:ascii="Liberation Sans" w:hAnsi="Liberation Sans" w:eastAsia="Liberation Sans"/>
          <w:b/>
          <w:i w:val="0"/>
          <w:color w:val="1F2937"/>
          <w:sz w:val="19"/>
        </w:rPr>
        <w:t>B. Gather cross-setting and developmental data, assess anxiety and bullying, clarify sleep and medical concerns, and coordinate appropriate school and pediatric evaluation before reaching a fixed diagnosis.</w:t>
      </w:r>
    </w:p>
    <w:p>
      <w:pPr>
        <w:keepLines/>
        <w:spacing w:before="0" w:after="40" w:line="247" w:lineRule="auto"/>
        <w:ind w:left="216" w:hanging="216"/>
      </w:pPr>
      <w:r>
        <w:rPr>
          <w:rFonts w:ascii="Liberation Sans" w:hAnsi="Liberation Sans" w:eastAsia="Liberation Sans"/>
          <w:b/>
          <w:i w:val="0"/>
          <w:color w:val="1F2937"/>
          <w:sz w:val="19"/>
        </w:rPr>
        <w:t>C. Diagnose separation anxiety because school refusal always reflects fear of leaving a caregiver.</w:t>
      </w:r>
    </w:p>
    <w:p>
      <w:pPr>
        <w:keepLines/>
        <w:spacing w:before="0" w:after="40" w:line="247" w:lineRule="auto"/>
        <w:ind w:left="216" w:hanging="216"/>
      </w:pPr>
      <w:r>
        <w:rPr>
          <w:rFonts w:ascii="Liberation Sans" w:hAnsi="Liberation Sans" w:eastAsia="Liberation Sans"/>
          <w:b/>
          <w:i w:val="0"/>
          <w:color w:val="1F2937"/>
          <w:sz w:val="19"/>
        </w:rPr>
        <w:t>D. Begin a behavior contract and postpone assessment until the child demonstrates better compliance.</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4 Candidate Questions</w:t>
              <w:br/>
              <w:t>Questions 11-12</w:t>
            </w:r>
          </w:p>
        </w:tc>
      </w:tr>
    </w:tbl>
    <w:p>
      <w:pPr>
        <w:keepNext/>
        <w:spacing w:before="120" w:after="60" w:line="240" w:lineRule="auto"/>
      </w:pPr>
      <w:r>
        <w:rPr>
          <w:rFonts w:ascii="Liberation Sans" w:hAnsi="Liberation Sans" w:eastAsia="Liberation Sans"/>
          <w:b/>
          <w:i w:val="0"/>
          <w:color w:val="18365B"/>
          <w:sz w:val="20"/>
        </w:rPr>
        <w:t>11. A therapist is considering a digital symptom measure for a bilingual client with limited literacy and a visual impairment. The only available translation has unclear validation, and the therapist has not been trained in the tool. Which plan is BEST?</w:t>
      </w:r>
    </w:p>
    <w:p>
      <w:pPr>
        <w:keepLines/>
        <w:spacing w:before="0" w:after="40" w:line="247" w:lineRule="auto"/>
        <w:ind w:left="216" w:hanging="216"/>
      </w:pPr>
      <w:r>
        <w:rPr>
          <w:rFonts w:ascii="Liberation Sans" w:hAnsi="Liberation Sans" w:eastAsia="Liberation Sans"/>
          <w:b/>
          <w:i w:val="0"/>
          <w:color w:val="1F2937"/>
          <w:sz w:val="19"/>
        </w:rPr>
        <w:t>A. Use the tool because digital administration eliminates language and disability bias.</w:t>
      </w:r>
    </w:p>
    <w:p>
      <w:pPr>
        <w:keepLines/>
        <w:spacing w:before="0" w:after="40" w:line="247" w:lineRule="auto"/>
        <w:ind w:left="216" w:hanging="216"/>
      </w:pPr>
      <w:r>
        <w:rPr>
          <w:rFonts w:ascii="Liberation Sans" w:hAnsi="Liberation Sans" w:eastAsia="Liberation Sans"/>
          <w:b/>
          <w:i w:val="0"/>
          <w:color w:val="1F2937"/>
          <w:sz w:val="19"/>
        </w:rPr>
        <w:t>B. Ask a family member to translate the items and then interpret the score as diagnostic proof.</w:t>
      </w:r>
    </w:p>
    <w:p>
      <w:pPr>
        <w:keepLines/>
        <w:spacing w:before="0" w:after="40" w:line="247" w:lineRule="auto"/>
        <w:ind w:left="216" w:hanging="216"/>
      </w:pPr>
      <w:r>
        <w:rPr>
          <w:rFonts w:ascii="Liberation Sans" w:hAnsi="Liberation Sans" w:eastAsia="Liberation Sans"/>
          <w:b/>
          <w:i w:val="0"/>
          <w:color w:val="1F2937"/>
          <w:sz w:val="19"/>
        </w:rPr>
        <w:t>C. Clarify the clinical question, select an accessible and language-appropriate validated option within competence or obtain consultation, document limits and accommodations, and integrate results with other assessment data.</w:t>
      </w:r>
    </w:p>
    <w:p>
      <w:pPr>
        <w:keepLines/>
        <w:spacing w:before="0" w:after="40" w:line="247" w:lineRule="auto"/>
        <w:ind w:left="216" w:hanging="216"/>
      </w:pPr>
      <w:r>
        <w:rPr>
          <w:rFonts w:ascii="Liberation Sans" w:hAnsi="Liberation Sans" w:eastAsia="Liberation Sans"/>
          <w:b/>
          <w:i w:val="0"/>
          <w:color w:val="1F2937"/>
          <w:sz w:val="19"/>
        </w:rPr>
        <w:t>D. Avoid all standardized measures because no instrument can be used with diverse clients.</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12. A client who abruptly stopped heavy daily alcohol use is sweating, tremulous, agitated, has slept little for two nights, and reports seeing insects on the wall. What is the PRIMARY diagnostic priority?</w:t>
      </w:r>
    </w:p>
    <w:p>
      <w:pPr>
        <w:keepLines/>
        <w:spacing w:before="0" w:after="40" w:line="247" w:lineRule="auto"/>
        <w:ind w:left="216" w:hanging="216"/>
      </w:pPr>
      <w:r>
        <w:rPr>
          <w:rFonts w:ascii="Liberation Sans" w:hAnsi="Liberation Sans" w:eastAsia="Liberation Sans"/>
          <w:b/>
          <w:i w:val="0"/>
          <w:color w:val="1F2937"/>
          <w:sz w:val="19"/>
        </w:rPr>
        <w:t>A. Determine whether the visual experience represents a longstanding primary psychotic disorder before taking any other action.</w:t>
      </w:r>
    </w:p>
    <w:p>
      <w:pPr>
        <w:keepLines/>
        <w:spacing w:before="0" w:after="40" w:line="247" w:lineRule="auto"/>
        <w:ind w:left="216" w:hanging="216"/>
      </w:pPr>
      <w:r>
        <w:rPr>
          <w:rFonts w:ascii="Liberation Sans" w:hAnsi="Liberation Sans" w:eastAsia="Liberation Sans"/>
          <w:b/>
          <w:i w:val="0"/>
          <w:color w:val="1F2937"/>
          <w:sz w:val="19"/>
        </w:rPr>
        <w:t>B. Explore childhood attachment patterns to understand why the client stopped drinking.</w:t>
      </w:r>
    </w:p>
    <w:p>
      <w:pPr>
        <w:keepLines/>
        <w:spacing w:before="0" w:after="40" w:line="247" w:lineRule="auto"/>
        <w:ind w:left="216" w:hanging="216"/>
      </w:pPr>
      <w:r>
        <w:rPr>
          <w:rFonts w:ascii="Liberation Sans" w:hAnsi="Liberation Sans" w:eastAsia="Liberation Sans"/>
          <w:b/>
          <w:i w:val="0"/>
          <w:color w:val="1F2937"/>
          <w:sz w:val="19"/>
        </w:rPr>
        <w:t>C. Begin routine outpatient relapse-prevention work and reassess the symptoms at the next visit.</w:t>
      </w:r>
    </w:p>
    <w:p>
      <w:pPr>
        <w:keepLines/>
        <w:spacing w:before="0" w:after="40" w:line="247" w:lineRule="auto"/>
        <w:ind w:left="216" w:hanging="216"/>
      </w:pPr>
      <w:r>
        <w:rPr>
          <w:rFonts w:ascii="Liberation Sans" w:hAnsi="Liberation Sans" w:eastAsia="Liberation Sans"/>
          <w:b/>
          <w:i w:val="0"/>
          <w:color w:val="1F2937"/>
          <w:sz w:val="19"/>
        </w:rPr>
        <w:t>D. Evaluate possible acute withdrawal and medical instability immediately, activate emergency or medical care as indicated, and defer routine psychiatric labeling until the acute condition is addressed.</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4 Candidate Questions</w:t>
              <w:br/>
              <w:t>Questions 13-14</w:t>
            </w:r>
          </w:p>
        </w:tc>
      </w:tr>
    </w:tbl>
    <w:p>
      <w:pPr>
        <w:keepNext/>
        <w:spacing w:before="120" w:after="60" w:line="240" w:lineRule="auto"/>
      </w:pPr>
      <w:r>
        <w:rPr>
          <w:rFonts w:ascii="Liberation Sans" w:hAnsi="Liberation Sans" w:eastAsia="Liberation Sans"/>
          <w:b/>
          <w:i w:val="0"/>
          <w:color w:val="18365B"/>
          <w:sz w:val="20"/>
        </w:rPr>
        <w:t>13. A collegiate athlete reports severe food restriction, two recent fainting episodes, chest fluttering, compulsive exercise despite a stress fracture, and intense fear of losing a scholarship if treatment affects training. What should the therapist do FIRST?</w:t>
      </w:r>
    </w:p>
    <w:p>
      <w:pPr>
        <w:keepLines/>
        <w:spacing w:before="0" w:after="40" w:line="247" w:lineRule="auto"/>
        <w:ind w:left="216" w:hanging="216"/>
      </w:pPr>
      <w:r>
        <w:rPr>
          <w:rFonts w:ascii="Liberation Sans" w:hAnsi="Liberation Sans" w:eastAsia="Liberation Sans"/>
          <w:b/>
          <w:i w:val="0"/>
          <w:color w:val="1F2937"/>
          <w:sz w:val="19"/>
        </w:rPr>
        <w:t>A. Assess immediate safety and medical stability and arrange urgent medical evaluation, while communicating nonjudgmentally, preserving continuity, and coordinating multidisciplinary care.</w:t>
      </w:r>
    </w:p>
    <w:p>
      <w:pPr>
        <w:keepLines/>
        <w:spacing w:before="0" w:after="40" w:line="247" w:lineRule="auto"/>
        <w:ind w:left="216" w:hanging="216"/>
      </w:pPr>
      <w:r>
        <w:rPr>
          <w:rFonts w:ascii="Liberation Sans" w:hAnsi="Liberation Sans" w:eastAsia="Liberation Sans"/>
          <w:b/>
          <w:i w:val="0"/>
          <w:color w:val="1F2937"/>
          <w:sz w:val="19"/>
        </w:rPr>
        <w:t>B. Complete a body-image worksheet before discussing referral so the athlete does not feel pressured.</w:t>
      </w:r>
    </w:p>
    <w:p>
      <w:pPr>
        <w:keepLines/>
        <w:spacing w:before="0" w:after="40" w:line="247" w:lineRule="auto"/>
        <w:ind w:left="216" w:hanging="216"/>
      </w:pPr>
      <w:r>
        <w:rPr>
          <w:rFonts w:ascii="Liberation Sans" w:hAnsi="Liberation Sans" w:eastAsia="Liberation Sans"/>
          <w:b/>
          <w:i w:val="0"/>
          <w:color w:val="1F2937"/>
          <w:sz w:val="19"/>
        </w:rPr>
        <w:t>C. Wait for a definitive eating-disorder diagnosis because referral before diagnostic certainty may damage alliance.</w:t>
      </w:r>
    </w:p>
    <w:p>
      <w:pPr>
        <w:keepLines/>
        <w:spacing w:before="0" w:after="40" w:line="247" w:lineRule="auto"/>
        <w:ind w:left="216" w:hanging="216"/>
      </w:pPr>
      <w:r>
        <w:rPr>
          <w:rFonts w:ascii="Liberation Sans" w:hAnsi="Liberation Sans" w:eastAsia="Liberation Sans"/>
          <w:b/>
          <w:i w:val="0"/>
          <w:color w:val="1F2937"/>
          <w:sz w:val="19"/>
        </w:rPr>
        <w:t>D. Focus first on scholarship stress because the contextual concern explains the physical symptoms.</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14. During a video session, a normally organized older client has fluctuating attention, cannot identify the date, reports seeing small animals in the room, and recently began treatment for an infection and a new medication. What should the therapist do FIRST?</w:t>
      </w:r>
    </w:p>
    <w:p>
      <w:pPr>
        <w:keepLines/>
        <w:spacing w:before="0" w:after="40" w:line="247" w:lineRule="auto"/>
        <w:ind w:left="216" w:hanging="216"/>
      </w:pPr>
      <w:r>
        <w:rPr>
          <w:rFonts w:ascii="Liberation Sans" w:hAnsi="Liberation Sans" w:eastAsia="Liberation Sans"/>
          <w:b/>
          <w:i w:val="0"/>
          <w:color w:val="1F2937"/>
          <w:sz w:val="19"/>
        </w:rPr>
        <w:t>A. Diagnose a primary psychotic disorder because visual hallucinations are present.</w:t>
      </w:r>
    </w:p>
    <w:p>
      <w:pPr>
        <w:keepLines/>
        <w:spacing w:before="0" w:after="40" w:line="247" w:lineRule="auto"/>
        <w:ind w:left="216" w:hanging="216"/>
      </w:pPr>
      <w:r>
        <w:rPr>
          <w:rFonts w:ascii="Liberation Sans" w:hAnsi="Liberation Sans" w:eastAsia="Liberation Sans"/>
          <w:b/>
          <w:i w:val="0"/>
          <w:color w:val="1F2937"/>
          <w:sz w:val="19"/>
        </w:rPr>
        <w:t>B. Maintain contact while assessing immediate safety and location, arrange urgent medical or emergency evaluation for possible delirium or other acute causes, and coordinate follow-up after stabilization.</w:t>
      </w:r>
    </w:p>
    <w:p>
      <w:pPr>
        <w:keepLines/>
        <w:spacing w:before="0" w:after="40" w:line="247" w:lineRule="auto"/>
        <w:ind w:left="216" w:hanging="216"/>
      </w:pPr>
      <w:r>
        <w:rPr>
          <w:rFonts w:ascii="Liberation Sans" w:hAnsi="Liberation Sans" w:eastAsia="Liberation Sans"/>
          <w:b/>
          <w:i w:val="0"/>
          <w:color w:val="1F2937"/>
          <w:sz w:val="19"/>
        </w:rPr>
        <w:t>C. Use grounding and schedule a longer psychotherapy session for the next day.</w:t>
      </w:r>
    </w:p>
    <w:p>
      <w:pPr>
        <w:keepLines/>
        <w:spacing w:before="0" w:after="40" w:line="247" w:lineRule="auto"/>
        <w:ind w:left="216" w:hanging="216"/>
      </w:pPr>
      <w:r>
        <w:rPr>
          <w:rFonts w:ascii="Liberation Sans" w:hAnsi="Liberation Sans" w:eastAsia="Liberation Sans"/>
          <w:b/>
          <w:i w:val="0"/>
          <w:color w:val="1F2937"/>
          <w:sz w:val="19"/>
        </w:rPr>
        <w:t>D. Ask family members to monitor the client without sharing the concern with medical providers.</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4 Candidate Questions</w:t>
              <w:br/>
              <w:t>Questions 15-16</w:t>
            </w:r>
          </w:p>
        </w:tc>
      </w:tr>
    </w:tbl>
    <w:p>
      <w:pPr>
        <w:keepNext/>
        <w:spacing w:before="120" w:after="60" w:line="240" w:lineRule="auto"/>
      </w:pPr>
      <w:r>
        <w:rPr>
          <w:rFonts w:ascii="Liberation Sans" w:hAnsi="Liberation Sans" w:eastAsia="Liberation Sans"/>
          <w:b/>
          <w:i w:val="0"/>
          <w:color w:val="18365B"/>
          <w:sz w:val="20"/>
        </w:rPr>
        <w:t>15. A client in a recently abusive relationship shows intense fear of abandonment, episodic self-injury, alcohol misuse, and rapid shifts in closeness with the therapist. Records before the relationship are limited. Which diagnostic approach is MOST appropriate?</w:t>
      </w:r>
    </w:p>
    <w:p>
      <w:pPr>
        <w:keepLines/>
        <w:spacing w:before="0" w:after="40" w:line="247" w:lineRule="auto"/>
        <w:ind w:left="216" w:hanging="216"/>
      </w:pPr>
      <w:r>
        <w:rPr>
          <w:rFonts w:ascii="Liberation Sans" w:hAnsi="Liberation Sans" w:eastAsia="Liberation Sans"/>
          <w:b/>
          <w:i w:val="0"/>
          <w:color w:val="1F2937"/>
          <w:sz w:val="19"/>
        </w:rPr>
        <w:t>A. Confirm a personality disorder immediately because abandonment fear and self-injury are present.</w:t>
      </w:r>
    </w:p>
    <w:p>
      <w:pPr>
        <w:keepLines/>
        <w:spacing w:before="0" w:after="40" w:line="247" w:lineRule="auto"/>
        <w:ind w:left="216" w:hanging="216"/>
      </w:pPr>
      <w:r>
        <w:rPr>
          <w:rFonts w:ascii="Liberation Sans" w:hAnsi="Liberation Sans" w:eastAsia="Liberation Sans"/>
          <w:b/>
          <w:i w:val="0"/>
          <w:color w:val="1F2937"/>
          <w:sz w:val="19"/>
        </w:rPr>
        <w:t>B. Exclude personality pathology because trauma and substance use can explain every symptom.</w:t>
      </w:r>
    </w:p>
    <w:p>
      <w:pPr>
        <w:keepLines/>
        <w:spacing w:before="0" w:after="40" w:line="247" w:lineRule="auto"/>
        <w:ind w:left="216" w:hanging="216"/>
      </w:pPr>
      <w:r>
        <w:rPr>
          <w:rFonts w:ascii="Liberation Sans" w:hAnsi="Liberation Sans" w:eastAsia="Liberation Sans"/>
          <w:b/>
          <w:i w:val="0"/>
          <w:color w:val="1F2937"/>
          <w:sz w:val="19"/>
        </w:rPr>
        <w:t>C. Maintain a longitudinal differential that compares pervasive cross-context personality patterns with trauma responses, mood episodes, substance effects, neurodevelopmental factors, and current relational danger while repeatedly assessing risk.</w:t>
      </w:r>
    </w:p>
    <w:p>
      <w:pPr>
        <w:keepLines/>
        <w:spacing w:before="0" w:after="40" w:line="247" w:lineRule="auto"/>
        <w:ind w:left="216" w:hanging="216"/>
      </w:pPr>
      <w:r>
        <w:rPr>
          <w:rFonts w:ascii="Liberation Sans" w:hAnsi="Liberation Sans" w:eastAsia="Liberation Sans"/>
          <w:b/>
          <w:i w:val="0"/>
          <w:color w:val="1F2937"/>
          <w:sz w:val="19"/>
        </w:rPr>
        <w:t>D. Diagnose bipolar disorder because rapid interpersonal shifts are equivalent to mood episodes.</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16. A client in couple therapy has a supported alcohol-use disorder and depressive disorder. Drinking increases after criticism, the partner monitors and threatens, conflict escalates, and both report occasional property damage but deny current interpersonal violence. Which treatment-priority statement is BEST?</w:t>
      </w:r>
    </w:p>
    <w:p>
      <w:pPr>
        <w:keepLines/>
        <w:spacing w:before="0" w:after="40" w:line="247" w:lineRule="auto"/>
        <w:ind w:left="216" w:hanging="216"/>
      </w:pPr>
      <w:r>
        <w:rPr>
          <w:rFonts w:ascii="Liberation Sans" w:hAnsi="Liberation Sans" w:eastAsia="Liberation Sans"/>
          <w:b/>
          <w:i w:val="0"/>
          <w:color w:val="1F2937"/>
          <w:sz w:val="19"/>
        </w:rPr>
        <w:t>A. Treat only the alcohol diagnosis because relational patterns are secondary and should not affect sequencing.</w:t>
      </w:r>
    </w:p>
    <w:p>
      <w:pPr>
        <w:keepLines/>
        <w:spacing w:before="0" w:after="40" w:line="247" w:lineRule="auto"/>
        <w:ind w:left="216" w:hanging="216"/>
      </w:pPr>
      <w:r>
        <w:rPr>
          <w:rFonts w:ascii="Liberation Sans" w:hAnsi="Liberation Sans" w:eastAsia="Liberation Sans"/>
          <w:b/>
          <w:i w:val="0"/>
          <w:color w:val="1F2937"/>
          <w:sz w:val="19"/>
        </w:rPr>
        <w:t>B. Begin intensive communication exercises immediately and postpone substance and safety assessment to protect the couple alliance.</w:t>
      </w:r>
    </w:p>
    <w:p>
      <w:pPr>
        <w:keepLines/>
        <w:spacing w:before="0" w:after="40" w:line="247" w:lineRule="auto"/>
        <w:ind w:left="216" w:hanging="216"/>
      </w:pPr>
      <w:r>
        <w:rPr>
          <w:rFonts w:ascii="Liberation Sans" w:hAnsi="Liberation Sans" w:eastAsia="Liberation Sans"/>
          <w:b/>
          <w:i w:val="0"/>
          <w:color w:val="1F2937"/>
          <w:sz w:val="19"/>
        </w:rPr>
        <w:t>C. End couple involvement because any individual diagnosis makes systemic treatment inappropriate.</w:t>
      </w:r>
    </w:p>
    <w:p>
      <w:pPr>
        <w:keepLines/>
        <w:spacing w:before="0" w:after="40" w:line="247" w:lineRule="auto"/>
        <w:ind w:left="216" w:hanging="216"/>
      </w:pPr>
      <w:r>
        <w:rPr>
          <w:rFonts w:ascii="Liberation Sans" w:hAnsi="Liberation Sans" w:eastAsia="Liberation Sans"/>
          <w:b/>
          <w:i w:val="0"/>
          <w:color w:val="1F2937"/>
          <w:sz w:val="19"/>
        </w:rPr>
        <w:t>D. Prioritize ongoing safety and violence assessment, substance and medical coordination, stabilization and functional goals, and a clear treatment frame; use the reciprocal cycle to guide engagement and decide when conjoint work is safe and clinically useful.</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4 Candidate Questions</w:t>
              <w:br/>
              <w:t>Question 17</w:t>
            </w:r>
          </w:p>
        </w:tc>
      </w:tr>
    </w:tbl>
    <w:p>
      <w:pPr>
        <w:keepNext/>
        <w:spacing w:before="120" w:after="60" w:line="240" w:lineRule="auto"/>
      </w:pPr>
      <w:r>
        <w:rPr>
          <w:rFonts w:ascii="Liberation Sans" w:hAnsi="Liberation Sans" w:eastAsia="Liberation Sans"/>
          <w:b/>
          <w:i w:val="0"/>
          <w:color w:val="18365B"/>
          <w:sz w:val="20"/>
        </w:rPr>
        <w:t>17. A client's self-report, partner report, and prior records conflict about memory problems and mood changes. Specialized neuropsychological testing may be useful, but the therapist is not trained to administer or interpret it, and the client is unsure what information may be shared. What should the therapist do NEXT?</w:t>
      </w:r>
    </w:p>
    <w:p>
      <w:pPr>
        <w:keepLines/>
        <w:spacing w:before="0" w:after="40" w:line="247" w:lineRule="auto"/>
        <w:ind w:left="216" w:hanging="216"/>
      </w:pPr>
      <w:r>
        <w:rPr>
          <w:rFonts w:ascii="Liberation Sans" w:hAnsi="Liberation Sans" w:eastAsia="Liberation Sans"/>
          <w:b/>
          <w:i w:val="0"/>
          <w:color w:val="1F2937"/>
          <w:sz w:val="19"/>
        </w:rPr>
        <w:t>A. Explain the uncertainty and purpose of further evaluation, clarify consent and information-sharing limits, consult or refer to a qualified evaluator with a focused question, preserve continuity, and document the conflicting data and rationale.</w:t>
      </w:r>
    </w:p>
    <w:p>
      <w:pPr>
        <w:keepLines/>
        <w:spacing w:before="0" w:after="40" w:line="247" w:lineRule="auto"/>
        <w:ind w:left="216" w:hanging="216"/>
      </w:pPr>
      <w:r>
        <w:rPr>
          <w:rFonts w:ascii="Liberation Sans" w:hAnsi="Liberation Sans" w:eastAsia="Liberation Sans"/>
          <w:b/>
          <w:i w:val="0"/>
          <w:color w:val="1F2937"/>
          <w:sz w:val="19"/>
        </w:rPr>
        <w:t>B. Administer an online cognitive test and use the generated interpretation as the diagnosis because referral may delay treatment.</w:t>
      </w:r>
    </w:p>
    <w:p>
      <w:pPr>
        <w:keepLines/>
        <w:spacing w:before="0" w:after="40" w:line="247" w:lineRule="auto"/>
        <w:ind w:left="216" w:hanging="216"/>
      </w:pPr>
      <w:r>
        <w:rPr>
          <w:rFonts w:ascii="Liberation Sans" w:hAnsi="Liberation Sans" w:eastAsia="Liberation Sans"/>
          <w:b/>
          <w:i w:val="0"/>
          <w:color w:val="1F2937"/>
          <w:sz w:val="19"/>
        </w:rPr>
        <w:t>C. Accept the partner's account as most accurate and document the client as lacking insight.</w:t>
      </w:r>
    </w:p>
    <w:p>
      <w:pPr>
        <w:keepLines/>
        <w:spacing w:before="0" w:after="40" w:line="247" w:lineRule="auto"/>
        <w:ind w:left="216" w:hanging="216"/>
      </w:pPr>
      <w:r>
        <w:rPr>
          <w:rFonts w:ascii="Liberation Sans" w:hAnsi="Liberation Sans" w:eastAsia="Liberation Sans"/>
          <w:b/>
          <w:i w:val="0"/>
          <w:color w:val="1F2937"/>
          <w:sz w:val="19"/>
        </w:rPr>
        <w:t>D. Stop treatment until the client agrees to release all records and authorize unrestricted communication.</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Candidate Reflection</w:t>
            </w:r>
            <w:r>
              <w:br/>
            </w:r>
            <w:r>
              <w:rPr>
                <w:rFonts w:ascii="Liberation Sans" w:hAnsi="Liberation Sans" w:eastAsia="Liberation Sans"/>
                <w:b w:val="0"/>
                <w:i w:val="0"/>
                <w:color w:val="FFFFFF"/>
                <w:sz w:val="18"/>
              </w:rPr>
              <w:t>Complete before opening the controlled rationale form.</w:t>
            </w:r>
          </w:p>
        </w:tc>
      </w:tr>
    </w:tbl>
    <w:tbl>
      <w:tblPr>
        <w:tblW w:type="auto" w:w="0"/>
        <w:jc w:val="center"/>
        <w:tblLayout w:type="fixed"/>
        <w:tblLook w:firstColumn="1" w:firstRow="1" w:lastColumn="0" w:lastRow="0" w:noHBand="0" w:noVBand="1" w:val="04A0"/>
      </w:tblPr>
      <w:tblGrid>
        <w:gridCol w:w="3456"/>
        <w:gridCol w:w="6912"/>
      </w:tblGrid>
      <w:tr>
        <w:trPr>
          <w:tblHeader w:val="true"/>
        </w:trP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Raw score after scoring</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 / 17</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Elapsed time</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High-confidence misses</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Low-confidence correct answers</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Primary error code(s)</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________________________________________</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One rule I will apply next time</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________________________________________</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RELEASE GATE  </w:t>
            </w:r>
            <w:r>
              <w:rPr>
                <w:rFonts w:ascii="Liberation Sans" w:hAnsi="Liberation Sans" w:eastAsia="Liberation Sans"/>
                <w:b w:val="0"/>
                <w:i w:val="0"/>
                <w:color w:val="1F2937"/>
                <w:sz w:val="19"/>
              </w:rPr>
              <w:t>Do not revise answers after opening the rationale form. Preserve the first-attempt answer, confidence, and time so remediation reflects the reasoning process that actually occurred.</w:t>
            </w:r>
          </w:p>
        </w:tc>
      </w:tr>
    </w:tbl>
    <w:p>
      <w:pPr>
        <w:pStyle w:val="Heading2"/>
      </w:pPr>
      <w:r>
        <w:t>Source-Control Note</w:t>
      </w:r>
    </w:p>
    <w:p>
      <w:pPr>
        <w:spacing w:before="0" w:after="0" w:line="240" w:lineRule="auto"/>
      </w:pPr>
      <w:r>
        <w:rPr>
          <w:rFonts w:ascii="Liberation Sans" w:hAnsi="Liberation Sans" w:eastAsia="Liberation Sans"/>
          <w:b w:val="0"/>
          <w:i w:val="0"/>
          <w:color w:val="1F2937"/>
          <w:sz w:val="17"/>
        </w:rPr>
        <w:t>Timing practice and examination references are aligned to the approved Workbook 4 source set and the corrected 2026 candidate handbook used by CTA in July 2026. Diagnostic nomenclature, assessment-instrument guidance, and examination administration rules must be verified against current official sources before testing or re-release.</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835" w:right="893" w:bottom="835" w:left="893" w:header="33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ans" w:hAnsi="Liberation Sans" w:eastAsia="Liberation Sans"/>
        <w:b w:val="0"/>
        <w:i w:val="0"/>
        <w:color w:val="667085"/>
        <w:sz w:val="16"/>
      </w:rPr>
      <w:t xml:space="preserve">CTA LMFT AMFTRB WB4 Candidate Bank v1.0 | Page </w:t>
    </w:r>
    <w:r>
      <w:rPr>
        <w:rFonts w:ascii="Liberation Sans" w:hAnsi="Liberation Sans"/>
        <w:color w:val="667085"/>
        <w:sz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2088"/>
      <w:gridCol w:w="8352"/>
    </w:tblGrid>
    <w:tr>
      <w:tc>
        <w:tcPr>
          <w:tcW w:type="dxa" w:w="2088"/>
          <w:vAlign w:val="center"/>
          <w:tcMar>
            <w:top w:w="0" w:type="dxa"/>
            <w:start w:w="0" w:type="dxa"/>
            <w:bottom w:w="0" w:type="dxa"/>
            <w:end w:w="0" w:type="dxa"/>
          </w:tcMar>
          <w:tcBorders>
            <w:bottom w:val="single" w:sz="8" w:color="1A9A96"/>
          </w:tcBorders>
        </w:tcPr>
        <w:p>
          <w:pPr>
            <w:spacing w:before="0" w:after="0" w:line="240" w:lineRule="auto"/>
            <w:jc w:val="left"/>
          </w:pPr>
          <w:r>
            <w:drawing>
              <wp:inline xmlns:a="http://schemas.openxmlformats.org/drawingml/2006/main" xmlns:pic="http://schemas.openxmlformats.org/drawingml/2006/picture">
                <wp:extent cx="1234440" cy="410368"/>
                <wp:docPr id="1" name="Picture 1" descr="Clinical Training and Supervision Academy logo" title="CTA logo"/>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234440" cy="410368"/>
                        </a:xfrm>
                        <a:prstGeom prst="rect"/>
                      </pic:spPr>
                    </pic:pic>
                  </a:graphicData>
                </a:graphic>
              </wp:inline>
            </w:drawing>
          </w:r>
        </w:p>
      </w:tc>
      <w:tc>
        <w:tcPr>
          <w:tcW w:type="dxa" w:w="8352"/>
          <w:vAlign w:val="center"/>
          <w:tcMar>
            <w:top w:w="0" w:type="dxa"/>
            <w:start w:w="0" w:type="dxa"/>
            <w:bottom w:w="0" w:type="dxa"/>
            <w:end w:w="0" w:type="dxa"/>
          </w:tcMar>
          <w:tcBorders>
            <w:bottom w:val="single" w:sz="8" w:color="1A9A96"/>
          </w:tcBorders>
        </w:tcPr>
        <w:p>
          <w:pPr>
            <w:spacing w:before="0" w:after="0" w:line="240" w:lineRule="auto"/>
            <w:jc w:val="right"/>
          </w:pPr>
          <w:r>
            <w:rPr>
              <w:rFonts w:ascii="Liberation Sans" w:hAnsi="Liberation Sans" w:eastAsia="Liberation Sans"/>
              <w:b/>
              <w:i w:val="0"/>
              <w:color w:val="1A9A96"/>
              <w:sz w:val="16"/>
            </w:rPr>
            <w:t>CLINICAL TRAINING &amp; SUPERVISION ACADEMY | LMFT AMFTRB EXAM PREPARATION</w:t>
            <w:br/>
            <w:t>Workbook 4 - 17-Question Candidate Bank</w:t>
          </w:r>
          <w:r/>
          <w:r>
            <w:rPr>
              <w:rFonts w:ascii="Liberation Sans" w:hAnsi="Liberation Sans" w:eastAsia="Liberation Sans"/>
              <w:b w:val="0"/>
              <w:i w:val="0"/>
              <w:color w:val="18365B"/>
              <w:sz w:val="16"/>
            </w:rPr>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eastAsia="Liberation Sans"/>
      <w:b/>
      <w:bCs/>
      <w:color w:val="18365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18365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1A9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eastAsia="Liberation Sans"/>
      <w:b/>
      <w:color w:val="1836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3 17-Question Candidate Bank</dc:title>
  <dc:subject>Therapeutic Alliance, Systemic Practice, and Self of the Therapist</dc:subject>
  <dc:creator>Clinical Training &amp; Supervision Academy</dc:creator>
  <cp:keywords>CTA, LMFT, AMFTRB, Workbook 3, exam preparation, therapeutic alliance, systemic practice</cp:keywords>
  <dc:description>Version 1.0 - July 2026</dc:description>
  <cp:lastModifiedBy/>
  <cp:revision>1</cp:revision>
  <dcterms:created xsi:type="dcterms:W3CDTF">2013-12-23T23:15:00Z</dcterms:created>
  <dcterms:modified xsi:type="dcterms:W3CDTF">2013-12-23T23:15:00Z</dcterms:modified>
  <cp:category/>
</cp:coreProperties>
</file>