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drawing>
          <wp:inline xmlns:a="http://schemas.openxmlformats.org/drawingml/2006/main" xmlns:pic="http://schemas.openxmlformats.org/drawingml/2006/picture">
            <wp:extent cx="4297680" cy="2956076"/>
            <wp:docPr id="1" name="Picture 1" descr="Clinical Training and Supervision Academy horizontal logo"/>
            <wp:cNvGraphicFramePr>
              <a:graphicFrameLocks noChangeAspect="1"/>
            </wp:cNvGraphicFramePr>
            <a:graphic>
              <a:graphicData uri="http://schemas.openxmlformats.org/drawingml/2006/picture">
                <pic:pic>
                  <pic:nvPicPr>
                    <pic:cNvPr id="0" name="10-Primary-Horizontal-Logo.png"/>
                    <pic:cNvPicPr/>
                  </pic:nvPicPr>
                  <pic:blipFill>
                    <a:blip r:embed="rId12"/>
                    <a:stretch>
                      <a:fillRect/>
                    </a:stretch>
                  </pic:blipFill>
                  <pic:spPr>
                    <a:xfrm>
                      <a:off x="0" y="0"/>
                      <a:ext cx="4297680" cy="2956076"/>
                    </a:xfrm>
                    <a:prstGeom prst="rect"/>
                  </pic:spPr>
                </pic:pic>
              </a:graphicData>
            </a:graphic>
          </wp:inline>
        </w:drawing>
      </w:r>
    </w:p>
    <w:p>
      <w:pPr>
        <w:spacing w:before="280" w:after="40"/>
        <w:jc w:val="center"/>
      </w:pPr>
      <w:r>
        <w:rPr>
          <w:rFonts w:ascii="Liberation Sans" w:hAnsi="Liberation Sans"/>
          <w:b/>
          <w:color w:val="12385B"/>
          <w:sz w:val="36"/>
        </w:rPr>
        <w:t>CTA LMFT AMFTRB</w:t>
      </w:r>
    </w:p>
    <w:p>
      <w:pPr>
        <w:spacing w:after="240"/>
        <w:jc w:val="center"/>
      </w:pPr>
      <w:r>
        <w:rPr>
          <w:rFonts w:ascii="Liberation Sans" w:hAnsi="Liberation Sans"/>
          <w:b/>
          <w:color w:val="13A6A6"/>
          <w:sz w:val="22"/>
        </w:rPr>
        <w:t>NATIONAL EXAM PREPARATION PROGRAM</w:t>
      </w:r>
    </w:p>
    <w:p>
      <w:pPr>
        <w:pStyle w:val="Title"/>
        <w:jc w:val="center"/>
      </w:pPr>
      <w:r>
        <w:t>17-Question Candidate Bank</w:t>
      </w:r>
    </w:p>
    <w:p>
      <w:pPr>
        <w:pStyle w:val="Subtitle"/>
        <w:jc w:val="center"/>
      </w:pPr>
      <w:r>
        <w:t>CTA LMFT AMFTRB Workbook 9</w:t>
      </w:r>
    </w:p>
    <w:p>
      <w:pPr>
        <w:spacing w:after="160"/>
        <w:jc w:val="center"/>
      </w:pPr>
      <w:r>
        <w:rPr>
          <w:rFonts w:ascii="Liberation Sans" w:hAnsi="Liberation Sans"/>
          <w:b/>
          <w:color w:val="12385B"/>
          <w:sz w:val="27"/>
        </w:rPr>
        <w:t>Complex Presentations: Substance Use, Recovery, Sexuality, Health,</w:t>
        <w:br/>
        <w:t>Development, Grief, and Integrated Care</w:t>
      </w:r>
    </w:p>
    <w:p>
      <w:pPr>
        <w:spacing w:after="160"/>
        <w:jc w:val="center"/>
      </w:pPr>
      <w:r>
        <w:rPr>
          <w:rFonts w:ascii="Liberation Sans" w:hAnsi="Liberation Sans"/>
          <w:i/>
          <w:color w:val="5A6872"/>
          <w:sz w:val="21"/>
        </w:rPr>
        <w:t>Original one-best-answer practice items for a timed first attempt</w:t>
      </w:r>
    </w:p>
    <w:p>
      <w:pPr>
        <w:jc w:val="center"/>
      </w:pPr>
      <w:r>
        <w:rPr>
          <w:rFonts w:ascii="Liberation Sans" w:hAnsi="Liberation Sans"/>
          <w:color w:val="5A6872"/>
          <w:sz w:val="19"/>
        </w:rPr>
        <w:t>Version 1.0 - August 2026</w:t>
      </w:r>
    </w:p>
    <w:p>
      <w:pPr>
        <w:jc w:val="center"/>
      </w:pPr>
      <w:r>
        <w:rPr>
          <w:rFonts w:ascii="Liberation Sans" w:hAnsi="Liberation Sans"/>
          <w:b/>
          <w:color w:val="12385B"/>
          <w:sz w:val="20"/>
        </w:rPr>
        <w:t>Clinical Training &amp; Supervision Academy</w:t>
      </w:r>
    </w:p>
    <w:p>
      <w:pPr>
        <w:pStyle w:val="Heading1"/>
        <w:pageBreakBefore/>
        <w:spacing w:before="640"/>
      </w:pPr>
      <w:r>
        <w:t>Candidate Instructions</w:t>
      </w:r>
    </w:p>
    <w:p>
      <w:pPr>
        <w:pStyle w:val="ListBullet"/>
        <w:spacing w:after="64"/>
      </w:pPr>
      <w:r>
        <w:rPr>
          <w:rFonts w:ascii="Liberation Sans" w:hAnsi="Liberation Sans"/>
          <w:color w:val="1E2D38"/>
          <w:sz w:val="19"/>
        </w:rPr>
        <w:t>Complete all 17 items before consulting any separate answer key or rationale document.</w:t>
      </w:r>
    </w:p>
    <w:p>
      <w:pPr>
        <w:pStyle w:val="ListBullet"/>
        <w:spacing w:after="64"/>
      </w:pPr>
      <w:r>
        <w:rPr>
          <w:rFonts w:ascii="Liberation Sans" w:hAnsi="Liberation Sans"/>
          <w:color w:val="1E2D38"/>
          <w:sz w:val="19"/>
        </w:rPr>
        <w:t>Suggested first-attempt time: 23 minutes (approximately 80 seconds per item). Use one uninterrupted attempt when possible.</w:t>
      </w:r>
    </w:p>
    <w:p>
      <w:pPr>
        <w:pStyle w:val="ListBullet"/>
        <w:spacing w:after="64"/>
      </w:pPr>
      <w:r>
        <w:rPr>
          <w:rFonts w:ascii="Liberation Sans" w:hAnsi="Liberation Sans"/>
          <w:color w:val="1E2D38"/>
          <w:sz w:val="19"/>
        </w:rPr>
        <w:t>Choose one best answer for each item. Base the choice on the decision required at that moment, not on every action that might eventually be useful.</w:t>
      </w:r>
    </w:p>
    <w:p>
      <w:pPr>
        <w:pStyle w:val="ListBullet"/>
        <w:spacing w:after="64"/>
      </w:pPr>
      <w:r>
        <w:rPr>
          <w:rFonts w:ascii="Liberation Sans" w:hAnsi="Liberation Sans"/>
          <w:color w:val="1E2D38"/>
          <w:sz w:val="19"/>
        </w:rPr>
        <w:t>After each answer, record confidence from 1 (guess) to 4 (high). A correct low-confidence answer still deserves review.</w:t>
      </w:r>
    </w:p>
    <w:p>
      <w:pPr>
        <w:pStyle w:val="ListBullet"/>
        <w:spacing w:after="64"/>
      </w:pPr>
      <w:r>
        <w:rPr>
          <w:rFonts w:ascii="Liberation Sans" w:hAnsi="Liberation Sans"/>
          <w:color w:val="1E2D38"/>
          <w:sz w:val="19"/>
        </w:rPr>
        <w:t>Mark uncertain items and continue. Return to them only if time remains.</w:t>
      </w:r>
    </w:p>
    <w:p>
      <w:pPr>
        <w:pStyle w:val="ListBullet"/>
        <w:spacing w:after="64"/>
      </w:pPr>
      <w:r>
        <w:rPr>
          <w:rFonts w:ascii="Liberation Sans" w:hAnsi="Liberation Sans"/>
          <w:color w:val="1E2D38"/>
          <w:sz w:val="19"/>
        </w:rPr>
        <w:t>After scoring, use the recording and remediation pages to identify reasoning patterns and plan targeted review.</w:t>
      </w:r>
    </w:p>
    <w:tbl>
      <w:tblPr>
        <w:tblW w:type="dxa" w:w="10560"/>
        <w:jc w:val="center"/>
        <w:tblLayout w:type="fixed"/>
        <w:tblLook w:firstColumn="1" w:firstRow="1" w:lastColumn="0" w:lastRow="0" w:noHBand="0" w:noVBand="1" w:val="04A0"/>
        <w:tblInd w:w="0" w:type="dxa"/>
      </w:tblPr>
      <w:tblGrid>
        <w:gridCol w:w="10560"/>
      </w:tblGrid>
      <w:tr>
        <w:trPr>
          <w:tblHeader w:val="true"/>
          <w:cantSplit/>
        </w:trPr>
        <w:tc>
          <w:tcPr>
            <w:tcW w:type="dxa" w:w="10560"/>
            <w:shd w:fill="EAF1F7"/>
            <w:tcMar>
              <w:top w:w="125" w:type="dxa"/>
              <w:start w:w="180" w:type="dxa"/>
              <w:bottom w:w="125" w:type="dxa"/>
              <w:end w:w="180" w:type="dxa"/>
            </w:tcMar>
          </w:tcPr>
          <w:p>
            <w:pPr>
              <w:spacing w:after="0" w:line="252" w:lineRule="auto"/>
            </w:pPr>
            <w:r>
              <w:rPr>
                <w:rFonts w:ascii="Liberation Sans" w:hAnsi="Liberation Sans"/>
                <w:b/>
                <w:color w:val="12385B"/>
                <w:sz w:val="18"/>
              </w:rPr>
              <w:t xml:space="preserve">CLINICAL AND JURISDICTIONAL CURRENCY:  </w:t>
            </w:r>
            <w:r>
              <w:rPr>
                <w:rFonts w:ascii="Liberation Sans" w:hAnsi="Liberation Sans"/>
                <w:color w:val="1E2D38"/>
                <w:sz w:val="18"/>
              </w:rPr>
              <w:t>These items teach transferable systemic clinical reasoning. Consent, confidentiality, privacy, reporting, protection, records, telepractice, and professional requirements vary by jurisdiction and can change. Verify current law, board guidance, organizational policy, and the official candidate handbook.</w:t>
            </w:r>
          </w:p>
        </w:tc>
      </w:tr>
    </w:tbl>
    <w:p>
      <w:pPr>
        <w:spacing w:after="40"/>
      </w:pPr>
    </w:p>
    <w:tbl>
      <w:tblPr>
        <w:tblW w:type="dxa" w:w="10560"/>
        <w:jc w:val="center"/>
        <w:tblLayout w:type="fixed"/>
        <w:tblLook w:firstColumn="1" w:firstRow="1" w:lastColumn="0" w:lastRow="0" w:noHBand="0" w:noVBand="1" w:val="04A0"/>
        <w:tblInd w:w="0" w:type="dxa"/>
      </w:tblPr>
      <w:tblGrid>
        <w:gridCol w:w="10560"/>
      </w:tblGrid>
      <w:tr>
        <w:trPr>
          <w:tblHeader w:val="true"/>
          <w:cantSplit/>
        </w:trPr>
        <w:tc>
          <w:tcPr>
            <w:tcW w:type="dxa" w:w="10560"/>
            <w:shd w:fill="E7F4F4"/>
            <w:tcMar>
              <w:top w:w="125" w:type="dxa"/>
              <w:start w:w="180" w:type="dxa"/>
              <w:bottom w:w="125" w:type="dxa"/>
              <w:end w:w="180" w:type="dxa"/>
            </w:tcMar>
          </w:tcPr>
          <w:p>
            <w:pPr>
              <w:spacing w:after="0" w:line="252" w:lineRule="auto"/>
            </w:pPr>
            <w:r>
              <w:rPr>
                <w:rFonts w:ascii="Liberation Sans" w:hAnsi="Liberation Sans"/>
                <w:b/>
                <w:color w:val="12385B"/>
                <w:sz w:val="18"/>
              </w:rPr>
              <w:t xml:space="preserve">EXAM SECURITY:  </w:t>
            </w:r>
            <w:r>
              <w:rPr>
                <w:rFonts w:ascii="Liberation Sans" w:hAnsi="Liberation Sans"/>
                <w:color w:val="1E2D38"/>
                <w:sz w:val="18"/>
              </w:rPr>
              <w:t>All questions in this bank are original CTA practice items. They are not live, recalled, leaked, retired, proprietary, or memorized AMFTRB examination content. CTA is an independent educational resource and is not affiliated with or endorsed by AMFTRB, PTC, Prometric, AAMFT, or any licensing board.</w:t>
            </w:r>
          </w:p>
        </w:tc>
      </w:tr>
    </w:tbl>
    <w:p>
      <w:pPr>
        <w:spacing w:after="40"/>
      </w:pPr>
    </w:p>
    <w:tbl>
      <w:tblPr>
        <w:tblW w:type="dxa" w:w="10560"/>
        <w:jc w:val="center"/>
        <w:tblLayout w:type="fixed"/>
        <w:tblLook w:firstColumn="1" w:firstRow="1" w:lastColumn="0" w:lastRow="0" w:noHBand="0" w:noVBand="1" w:val="04A0"/>
        <w:tblInd w:w="0" w:type="dxa"/>
      </w:tblPr>
      <w:tblGrid>
        <w:gridCol w:w="10560"/>
      </w:tblGrid>
      <w:tr>
        <w:trPr>
          <w:tblHeader w:val="true"/>
          <w:cantSplit/>
        </w:trPr>
        <w:tc>
          <w:tcPr>
            <w:tcW w:type="dxa" w:w="10560"/>
            <w:shd w:fill="F2F4F7"/>
            <w:tcMar>
              <w:top w:w="125" w:type="dxa"/>
              <w:start w:w="180" w:type="dxa"/>
              <w:bottom w:w="125" w:type="dxa"/>
              <w:end w:w="180" w:type="dxa"/>
            </w:tcMar>
          </w:tcPr>
          <w:p>
            <w:pPr>
              <w:spacing w:after="0" w:line="252" w:lineRule="auto"/>
            </w:pPr>
            <w:r>
              <w:rPr>
                <w:rFonts w:ascii="Liberation Sans" w:hAnsi="Liberation Sans"/>
                <w:b/>
                <w:color w:val="12385B"/>
                <w:sz w:val="18"/>
              </w:rPr>
              <w:t xml:space="preserve">USE AND OUTCOME NOTICE:  </w:t>
            </w:r>
            <w:r>
              <w:rPr>
                <w:rFonts w:ascii="Liberation Sans" w:hAnsi="Liberation Sans"/>
                <w:color w:val="1E2D38"/>
                <w:sz w:val="18"/>
              </w:rPr>
              <w:t>This file is for the enrolled learner's personal exam preparation. Participation does not guarantee examination passage. This program provides no continuing education (CE) credit.</w:t>
            </w:r>
          </w:p>
        </w:tc>
      </w:tr>
    </w:tbl>
    <w:p>
      <w:pPr>
        <w:spacing w:after="40"/>
      </w:pPr>
    </w:p>
    <w:p>
      <w:pPr>
        <w:pStyle w:val="Heading1"/>
        <w:pageBreakBefore/>
        <w:spacing w:before="640"/>
      </w:pPr>
      <w:r>
        <w:t>Workbook 9 Candidate Bank</w:t>
      </w:r>
    </w:p>
    <w:p>
      <w:pPr>
        <w:spacing w:after="120"/>
      </w:pPr>
      <w:r>
        <w:rPr>
          <w:rFonts w:ascii="Liberation Sans" w:hAnsi="Liberation Sans"/>
          <w:i/>
          <w:color w:val="5A6872"/>
          <w:sz w:val="19"/>
        </w:rPr>
        <w:t>Select one best answer for each item. Do not open the controlled answer key until your first attempt is complete.</w:t>
      </w:r>
    </w:p>
    <w:p>
      <w:pPr>
        <w:keepNext/>
        <w:spacing w:before="140" w:after="80" w:line="259" w:lineRule="auto"/>
        <w:ind w:left="432" w:hanging="360"/>
      </w:pPr>
      <w:r>
        <w:rPr>
          <w:rFonts w:ascii="Liberation Sans" w:hAnsi="Liberation Sans"/>
          <w:b/>
          <w:color w:val="1E2D38"/>
          <w:sz w:val="19"/>
        </w:rPr>
        <w:t xml:space="preserve">1. </w:t>
      </w:r>
      <w:r>
        <w:rPr>
          <w:rFonts w:ascii="Liberation Sans" w:hAnsi="Liberation Sans"/>
          <w:b/>
          <w:color w:val="1E2D38"/>
          <w:sz w:val="19"/>
        </w:rPr>
        <w:t>Which statement BEST describes a clinically useful provisional formulation for a complex presentation?</w:t>
      </w:r>
    </w:p>
    <w:p>
      <w:pPr>
        <w:keepNext w:val="0"/>
        <w:spacing w:after="50" w:line="252" w:lineRule="auto"/>
        <w:ind w:left="504" w:firstLine="0"/>
      </w:pPr>
      <w:r>
        <w:rPr>
          <w:rFonts w:ascii="Liberation Sans" w:hAnsi="Liberation Sans"/>
          <w:color w:val="1E2D38"/>
          <w:sz w:val="18"/>
        </w:rPr>
        <w:t>A. It connects the most relevant biological, psychological, relational, developmental, cultural, environmental, and structural factors; identifies alternatives; and states what new evidence would change the hypothesis.</w:t>
      </w:r>
    </w:p>
    <w:p>
      <w:pPr>
        <w:keepNext w:val="0"/>
        <w:spacing w:after="50" w:line="252" w:lineRule="auto"/>
        <w:ind w:left="504" w:firstLine="0"/>
      </w:pPr>
      <w:r>
        <w:rPr>
          <w:rFonts w:ascii="Liberation Sans" w:hAnsi="Liberation Sans"/>
          <w:color w:val="1E2D38"/>
          <w:sz w:val="18"/>
        </w:rPr>
        <w:t>B. It lists every possible diagnosis and contextual factor without deciding how they may interact.</w:t>
      </w:r>
    </w:p>
    <w:p>
      <w:pPr>
        <w:keepNext w:val="0"/>
        <w:spacing w:after="50" w:line="252" w:lineRule="auto"/>
        <w:ind w:left="504" w:firstLine="0"/>
      </w:pPr>
      <w:r>
        <w:rPr>
          <w:rFonts w:ascii="Liberation Sans" w:hAnsi="Liberation Sans"/>
          <w:color w:val="1E2D38"/>
          <w:sz w:val="18"/>
        </w:rPr>
        <w:t>C. It selects one primary cause early so treatment can proceed without further reassessment.</w:t>
      </w:r>
    </w:p>
    <w:p>
      <w:pPr>
        <w:keepNext w:val="0"/>
        <w:spacing w:after="100" w:line="252" w:lineRule="auto"/>
        <w:ind w:left="504" w:firstLine="0"/>
      </w:pPr>
      <w:r>
        <w:rPr>
          <w:rFonts w:ascii="Liberation Sans" w:hAnsi="Liberation Sans"/>
          <w:color w:val="1E2D38"/>
          <w:sz w:val="18"/>
        </w:rPr>
        <w:t>D. It records the family's preferred explanation as definitive because collaboration replaces differential assessment.</w:t>
      </w:r>
      <w:r>
        <w:br/>
      </w:r>
      <w:r>
        <w:rPr>
          <w:rFonts w:ascii="Liberation Sans" w:hAnsi="Liberation Sans"/>
          <w:color w:val="5A6872"/>
          <w:sz w:val="17"/>
        </w:rPr>
        <w:t>Answer: ______    Confidence:  [ ] 1 Guess    [ ] 2 Low    [ ] 3 Moderate    [ ] 4 High</w:t>
      </w:r>
    </w:p>
    <w:p>
      <w:pPr>
        <w:keepNext/>
        <w:spacing w:before="140" w:after="80" w:line="259" w:lineRule="auto"/>
        <w:ind w:left="432" w:hanging="360"/>
      </w:pPr>
      <w:r>
        <w:rPr>
          <w:rFonts w:ascii="Liberation Sans" w:hAnsi="Liberation Sans"/>
          <w:b/>
          <w:color w:val="1E2D38"/>
          <w:sz w:val="19"/>
        </w:rPr>
        <w:t xml:space="preserve">2. </w:t>
      </w:r>
      <w:r>
        <w:rPr>
          <w:rFonts w:ascii="Liberation Sans" w:hAnsi="Liberation Sans"/>
          <w:b/>
          <w:color w:val="1E2D38"/>
          <w:sz w:val="19"/>
        </w:rPr>
        <w:t>A client with chronic pain and a prior depressive disorder develops new agitation, severe insomnia, and confusion after several health and medication changes. Family members say, “It is just the depression again.” What should the therapist do NEXT?</w:t>
      </w:r>
    </w:p>
    <w:p>
      <w:pPr>
        <w:keepNext w:val="0"/>
        <w:spacing w:after="50" w:line="252" w:lineRule="auto"/>
        <w:ind w:left="504" w:firstLine="0"/>
      </w:pPr>
      <w:r>
        <w:rPr>
          <w:rFonts w:ascii="Liberation Sans" w:hAnsi="Liberation Sans"/>
          <w:color w:val="1E2D38"/>
          <w:sz w:val="18"/>
        </w:rPr>
        <w:t>A. Increase cognitive restructuring because the established diagnosis already explains the symptoms.</w:t>
      </w:r>
    </w:p>
    <w:p>
      <w:pPr>
        <w:keepNext w:val="0"/>
        <w:spacing w:after="50" w:line="252" w:lineRule="auto"/>
        <w:ind w:left="504" w:firstLine="0"/>
      </w:pPr>
      <w:r>
        <w:rPr>
          <w:rFonts w:ascii="Liberation Sans" w:hAnsi="Liberation Sans"/>
          <w:color w:val="1E2D38"/>
          <w:sz w:val="18"/>
        </w:rPr>
        <w:t>B. Clarify baseline, onset, function, safety, substances, sleep, health and medication changes; keep several hypotheses open; and coordinate timely evaluation within consent and scope.</w:t>
      </w:r>
    </w:p>
    <w:p>
      <w:pPr>
        <w:keepNext w:val="0"/>
        <w:spacing w:after="50" w:line="252" w:lineRule="auto"/>
        <w:ind w:left="504" w:firstLine="0"/>
      </w:pPr>
      <w:r>
        <w:rPr>
          <w:rFonts w:ascii="Liberation Sans" w:hAnsi="Liberation Sans"/>
          <w:color w:val="1E2D38"/>
          <w:sz w:val="18"/>
        </w:rPr>
        <w:t>C. Ask the family to stop discussing medical factors so treatment remains relational.</w:t>
      </w:r>
    </w:p>
    <w:p>
      <w:pPr>
        <w:keepNext w:val="0"/>
        <w:spacing w:after="100" w:line="252" w:lineRule="auto"/>
        <w:ind w:left="504" w:firstLine="0"/>
      </w:pPr>
      <w:r>
        <w:rPr>
          <w:rFonts w:ascii="Liberation Sans" w:hAnsi="Liberation Sans"/>
          <w:color w:val="1E2D38"/>
          <w:sz w:val="18"/>
        </w:rPr>
        <w:t>D. Refer immediately and end all MFT involvement because any medication question is outside the therapist's role.</w:t>
      </w:r>
      <w:r>
        <w:br/>
      </w:r>
      <w:r>
        <w:rPr>
          <w:rFonts w:ascii="Liberation Sans" w:hAnsi="Liberation Sans"/>
          <w:color w:val="5A6872"/>
          <w:sz w:val="17"/>
        </w:rPr>
        <w:t>Answer: ______    Confidence:  [ ] 1 Guess    [ ] 2 Low    [ ] 3 Moderate    [ ] 4 High</w:t>
      </w:r>
    </w:p>
    <w:p>
      <w:pPr>
        <w:keepNext/>
        <w:spacing w:before="140" w:after="80" w:line="259" w:lineRule="auto"/>
        <w:ind w:left="432" w:hanging="360"/>
      </w:pPr>
      <w:r>
        <w:rPr>
          <w:rFonts w:ascii="Liberation Sans" w:hAnsi="Liberation Sans"/>
          <w:b/>
          <w:color w:val="1E2D38"/>
          <w:sz w:val="19"/>
        </w:rPr>
        <w:t xml:space="preserve">3. </w:t>
      </w:r>
      <w:r>
        <w:rPr>
          <w:rFonts w:ascii="Liberation Sans" w:hAnsi="Liberation Sans"/>
          <w:b/>
          <w:color w:val="1E2D38"/>
          <w:sz w:val="19"/>
        </w:rPr>
        <w:t>An adult seeks therapy for stress and invites a sibling “to explain the family.” The sibling begins emailing privately and asks to receive progress updates. Before using the sibling as a collateral source, what should the therapist do?</w:t>
      </w:r>
    </w:p>
    <w:p>
      <w:pPr>
        <w:keepNext w:val="0"/>
        <w:spacing w:after="50" w:line="252" w:lineRule="auto"/>
        <w:ind w:left="504" w:firstLine="0"/>
      </w:pPr>
      <w:r>
        <w:rPr>
          <w:rFonts w:ascii="Liberation Sans" w:hAnsi="Liberation Sans"/>
          <w:color w:val="1E2D38"/>
          <w:sz w:val="18"/>
        </w:rPr>
        <w:t>A. Accept the sibling as a co-client because attendance establishes client status.</w:t>
      </w:r>
    </w:p>
    <w:p>
      <w:pPr>
        <w:keepNext w:val="0"/>
        <w:spacing w:after="50" w:line="252" w:lineRule="auto"/>
        <w:ind w:left="504" w:firstLine="0"/>
      </w:pPr>
      <w:r>
        <w:rPr>
          <w:rFonts w:ascii="Liberation Sans" w:hAnsi="Liberation Sans"/>
          <w:color w:val="1E2D38"/>
          <w:sz w:val="18"/>
        </w:rPr>
        <w:t>B. Receive private updates without discussion because collateral information is not confidential.</w:t>
      </w:r>
    </w:p>
    <w:p>
      <w:pPr>
        <w:keepNext w:val="0"/>
        <w:spacing w:after="50" w:line="252" w:lineRule="auto"/>
        <w:ind w:left="504" w:firstLine="0"/>
      </w:pPr>
      <w:r>
        <w:rPr>
          <w:rFonts w:ascii="Liberation Sans" w:hAnsi="Liberation Sans"/>
          <w:color w:val="1E2D38"/>
          <w:sz w:val="18"/>
        </w:rPr>
        <w:t>C. Clarify the identified client, treatment unit, sibling's role, goals, consent, confidentiality and information-flow boundaries, and how collateral information will be handled and documented.</w:t>
      </w:r>
    </w:p>
    <w:p>
      <w:pPr>
        <w:keepNext w:val="0"/>
        <w:spacing w:after="100" w:line="252" w:lineRule="auto"/>
        <w:ind w:left="504" w:firstLine="0"/>
      </w:pPr>
      <w:r>
        <w:rPr>
          <w:rFonts w:ascii="Liberation Sans" w:hAnsi="Liberation Sans"/>
          <w:color w:val="1E2D38"/>
          <w:sz w:val="18"/>
        </w:rPr>
        <w:t>D. Exclude the sibling permanently because individual referrals cannot include family participation.</w:t>
      </w:r>
      <w:r>
        <w:br/>
      </w:r>
      <w:r>
        <w:rPr>
          <w:rFonts w:ascii="Liberation Sans" w:hAnsi="Liberation Sans"/>
          <w:color w:val="5A6872"/>
          <w:sz w:val="17"/>
        </w:rPr>
        <w:t>Answer: ______    Confidence:  [ ] 1 Guess    [ ] 2 Low    [ ] 3 Moderate    [ ] 4 High</w:t>
      </w:r>
    </w:p>
    <w:p>
      <w:pPr>
        <w:keepNext/>
        <w:spacing w:before="140" w:after="80" w:line="259" w:lineRule="auto"/>
        <w:ind w:left="432" w:hanging="360"/>
      </w:pPr>
      <w:r>
        <w:rPr>
          <w:rFonts w:ascii="Liberation Sans" w:hAnsi="Liberation Sans"/>
          <w:b/>
          <w:color w:val="1E2D38"/>
          <w:sz w:val="19"/>
        </w:rPr>
        <w:t xml:space="preserve">4. </w:t>
      </w:r>
      <w:r>
        <w:rPr>
          <w:rFonts w:ascii="Liberation Sans" w:hAnsi="Liberation Sans"/>
          <w:b/>
          <w:color w:val="1E2D38"/>
          <w:sz w:val="19"/>
        </w:rPr>
        <w:t>During a telehealth couple session, one partner becomes difficult to awaken after using pills from an unmarked container. Breathing appears slow, the other partner is unsure what was taken, and their two children are in the home. What should the therapist do FIRST?</w:t>
      </w:r>
    </w:p>
    <w:p>
      <w:pPr>
        <w:keepNext w:val="0"/>
        <w:spacing w:after="50" w:line="252" w:lineRule="auto"/>
        <w:ind w:left="504" w:firstLine="0"/>
      </w:pPr>
      <w:r>
        <w:rPr>
          <w:rFonts w:ascii="Liberation Sans" w:hAnsi="Liberation Sans"/>
          <w:color w:val="1E2D38"/>
          <w:sz w:val="18"/>
        </w:rPr>
        <w:t>A. Ask the alert partner to monitor the person while the therapist completes a substance-use history.</w:t>
      </w:r>
    </w:p>
    <w:p>
      <w:pPr>
        <w:keepNext w:val="0"/>
        <w:spacing w:after="50" w:line="252" w:lineRule="auto"/>
        <w:ind w:left="504" w:firstLine="0"/>
      </w:pPr>
      <w:r>
        <w:rPr>
          <w:rFonts w:ascii="Liberation Sans" w:hAnsi="Liberation Sans"/>
          <w:color w:val="1E2D38"/>
          <w:sz w:val="18"/>
        </w:rPr>
        <w:t>B. Continue the session briefly to determine whether the couple's conflict triggered the use.</w:t>
      </w:r>
    </w:p>
    <w:p>
      <w:pPr>
        <w:keepNext w:val="0"/>
        <w:spacing w:after="50" w:line="252" w:lineRule="auto"/>
        <w:ind w:left="504" w:firstLine="0"/>
      </w:pPr>
      <w:r>
        <w:rPr>
          <w:rFonts w:ascii="Liberation Sans" w:hAnsi="Liberation Sans"/>
          <w:color w:val="1E2D38"/>
          <w:sz w:val="18"/>
        </w:rPr>
        <w:t>C. Schedule a same-week addiction referral and send a communication worksheet for the family.</w:t>
      </w:r>
    </w:p>
    <w:p>
      <w:pPr>
        <w:keepNext w:val="0"/>
        <w:spacing w:after="100" w:line="252" w:lineRule="auto"/>
        <w:ind w:left="504" w:firstLine="0"/>
      </w:pPr>
      <w:r>
        <w:rPr>
          <w:rFonts w:ascii="Liberation Sans" w:hAnsi="Liberation Sans"/>
          <w:color w:val="1E2D38"/>
          <w:sz w:val="18"/>
        </w:rPr>
        <w:t>D. Activate emergency response using the verified location, direct the alert partner to follow dispatcher guidance, address the children's immediate safety, and document and coordinate continuity after stabilization.</w:t>
      </w:r>
      <w:r>
        <w:br/>
      </w:r>
      <w:r>
        <w:rPr>
          <w:rFonts w:ascii="Liberation Sans" w:hAnsi="Liberation Sans"/>
          <w:color w:val="5A6872"/>
          <w:sz w:val="17"/>
        </w:rPr>
        <w:t>Answer: ______    Confidence:  [ ] 1 Guess    [ ] 2 Low    [ ] 3 Moderate    [ ] 4 High</w:t>
      </w:r>
    </w:p>
    <w:p>
      <w:r>
        <w:br w:type="page"/>
      </w:r>
    </w:p>
    <w:p>
      <w:pPr>
        <w:keepNext/>
        <w:spacing w:before="140" w:after="80" w:line="259" w:lineRule="auto"/>
        <w:ind w:left="432" w:hanging="360"/>
      </w:pPr>
      <w:r>
        <w:rPr>
          <w:rFonts w:ascii="Liberation Sans" w:hAnsi="Liberation Sans"/>
          <w:b/>
          <w:color w:val="1E2D38"/>
          <w:sz w:val="19"/>
        </w:rPr>
        <w:t xml:space="preserve">5. </w:t>
      </w:r>
      <w:r>
        <w:rPr>
          <w:rFonts w:ascii="Liberation Sans" w:hAnsi="Liberation Sans"/>
          <w:b/>
          <w:color w:val="1E2D38"/>
          <w:sz w:val="19"/>
        </w:rPr>
        <w:t>A client reports episodic stimulant use, panic symptoms, missed work, and conflict with a partner. The client is unsure about change but has recently reconnected with a supportive aunt and community group. What is the MOST appropriate assessment approach?</w:t>
      </w:r>
    </w:p>
    <w:p>
      <w:pPr>
        <w:keepNext w:val="0"/>
        <w:spacing w:after="50" w:line="252" w:lineRule="auto"/>
        <w:ind w:left="504" w:firstLine="0"/>
      </w:pPr>
      <w:r>
        <w:rPr>
          <w:rFonts w:ascii="Liberation Sans" w:hAnsi="Liberation Sans"/>
          <w:color w:val="1E2D38"/>
          <w:sz w:val="18"/>
        </w:rPr>
        <w:t>A. Assess substance pattern and function, intoxication and withdrawal or medical risk, co-occurring symptoms across time, readiness, family effects, recovery resources, barriers, and level-of-care indicators.</w:t>
      </w:r>
    </w:p>
    <w:p>
      <w:pPr>
        <w:keepNext w:val="0"/>
        <w:spacing w:after="50" w:line="252" w:lineRule="auto"/>
        <w:ind w:left="504" w:firstLine="0"/>
      </w:pPr>
      <w:r>
        <w:rPr>
          <w:rFonts w:ascii="Liberation Sans" w:hAnsi="Liberation Sans"/>
          <w:color w:val="1E2D38"/>
          <w:sz w:val="18"/>
        </w:rPr>
        <w:t>B. Determine whether the client accepts an addiction identity before asking about strengths or goals.</w:t>
      </w:r>
    </w:p>
    <w:p>
      <w:pPr>
        <w:keepNext w:val="0"/>
        <w:spacing w:after="50" w:line="252" w:lineRule="auto"/>
        <w:ind w:left="504" w:firstLine="0"/>
      </w:pPr>
      <w:r>
        <w:rPr>
          <w:rFonts w:ascii="Liberation Sans" w:hAnsi="Liberation Sans"/>
          <w:color w:val="1E2D38"/>
          <w:sz w:val="18"/>
        </w:rPr>
        <w:t>C. Treat the panic first because psychiatric symptoms are always the underlying cause of substance use.</w:t>
      </w:r>
    </w:p>
    <w:p>
      <w:pPr>
        <w:keepNext w:val="0"/>
        <w:spacing w:after="100" w:line="252" w:lineRule="auto"/>
        <w:ind w:left="504" w:firstLine="0"/>
      </w:pPr>
      <w:r>
        <w:rPr>
          <w:rFonts w:ascii="Liberation Sans" w:hAnsi="Liberation Sans"/>
          <w:color w:val="1E2D38"/>
          <w:sz w:val="18"/>
        </w:rPr>
        <w:t>D. Rely on the partner's description because collateral reports are more objective than client self-report.</w:t>
      </w:r>
      <w:r>
        <w:br/>
      </w:r>
      <w:r>
        <w:rPr>
          <w:rFonts w:ascii="Liberation Sans" w:hAnsi="Liberation Sans"/>
          <w:color w:val="5A6872"/>
          <w:sz w:val="17"/>
        </w:rPr>
        <w:t>Answer: ______    Confidence:  [ ] 1 Guess    [ ] 2 Low    [ ] 3 Moderate    [ ] 4 High</w:t>
      </w:r>
    </w:p>
    <w:p>
      <w:pPr>
        <w:keepNext/>
        <w:spacing w:before="140" w:after="80" w:line="259" w:lineRule="auto"/>
        <w:ind w:left="432" w:hanging="360"/>
      </w:pPr>
      <w:r>
        <w:rPr>
          <w:rFonts w:ascii="Liberation Sans" w:hAnsi="Liberation Sans"/>
          <w:b/>
          <w:color w:val="1E2D38"/>
          <w:sz w:val="19"/>
        </w:rPr>
        <w:t xml:space="preserve">6. </w:t>
      </w:r>
      <w:r>
        <w:rPr>
          <w:rFonts w:ascii="Liberation Sans" w:hAnsi="Liberation Sans"/>
          <w:b/>
          <w:color w:val="1E2D38"/>
          <w:sz w:val="19"/>
        </w:rPr>
        <w:t>Which plan BEST reflects integrated, client-aligned recovery support when no immediate instability requires emergency action?</w:t>
      </w:r>
    </w:p>
    <w:p>
      <w:pPr>
        <w:keepNext w:val="0"/>
        <w:spacing w:after="50" w:line="252" w:lineRule="auto"/>
        <w:ind w:left="504" w:firstLine="0"/>
      </w:pPr>
      <w:r>
        <w:rPr>
          <w:rFonts w:ascii="Liberation Sans" w:hAnsi="Liberation Sans"/>
          <w:color w:val="1E2D38"/>
          <w:sz w:val="18"/>
        </w:rPr>
        <w:t>A. Require the same abstinence-based peer program for every client so progress has one standard definition.</w:t>
      </w:r>
    </w:p>
    <w:p>
      <w:pPr>
        <w:keepNext w:val="0"/>
        <w:spacing w:after="50" w:line="252" w:lineRule="auto"/>
        <w:ind w:left="504" w:firstLine="0"/>
      </w:pPr>
      <w:r>
        <w:rPr>
          <w:rFonts w:ascii="Liberation Sans" w:hAnsi="Liberation Sans"/>
          <w:color w:val="1E2D38"/>
          <w:sz w:val="18"/>
        </w:rPr>
        <w:t>B. Link the client's goals and readiness with evidence-informed treatment options, recovery supports, family and environmental resources, consented coordination, measurable indicators, and a scheduled reassessment point.</w:t>
      </w:r>
    </w:p>
    <w:p>
      <w:pPr>
        <w:keepNext w:val="0"/>
        <w:spacing w:after="50" w:line="252" w:lineRule="auto"/>
        <w:ind w:left="504" w:firstLine="0"/>
      </w:pPr>
      <w:r>
        <w:rPr>
          <w:rFonts w:ascii="Liberation Sans" w:hAnsi="Liberation Sans"/>
          <w:color w:val="1E2D38"/>
          <w:sz w:val="18"/>
        </w:rPr>
        <w:t>C. Limit treatment to couple communication because recovery services may weaken the MFT relationship.</w:t>
      </w:r>
    </w:p>
    <w:p>
      <w:pPr>
        <w:keepNext w:val="0"/>
        <w:spacing w:after="100" w:line="252" w:lineRule="auto"/>
        <w:ind w:left="504" w:firstLine="0"/>
      </w:pPr>
      <w:r>
        <w:rPr>
          <w:rFonts w:ascii="Liberation Sans" w:hAnsi="Liberation Sans"/>
          <w:color w:val="1E2D38"/>
          <w:sz w:val="18"/>
        </w:rPr>
        <w:t>D. Let the family select the level of care without clinical assessment because autonomy controls placement.</w:t>
      </w:r>
      <w:r>
        <w:br/>
      </w:r>
      <w:r>
        <w:rPr>
          <w:rFonts w:ascii="Liberation Sans" w:hAnsi="Liberation Sans"/>
          <w:color w:val="5A6872"/>
          <w:sz w:val="17"/>
        </w:rPr>
        <w:t>Answer: ______    Confidence:  [ ] 1 Guess    [ ] 2 Low    [ ] 3 Moderate    [ ] 4 High</w:t>
      </w:r>
    </w:p>
    <w:p>
      <w:pPr>
        <w:keepNext/>
        <w:spacing w:before="140" w:after="80" w:line="259" w:lineRule="auto"/>
        <w:ind w:left="432" w:hanging="360"/>
      </w:pPr>
      <w:r>
        <w:rPr>
          <w:rFonts w:ascii="Liberation Sans" w:hAnsi="Liberation Sans"/>
          <w:b/>
          <w:color w:val="1E2D38"/>
          <w:sz w:val="19"/>
        </w:rPr>
        <w:t xml:space="preserve">7. </w:t>
      </w:r>
      <w:r>
        <w:rPr>
          <w:rFonts w:ascii="Liberation Sans" w:hAnsi="Liberation Sans"/>
          <w:b/>
          <w:color w:val="1E2D38"/>
          <w:sz w:val="19"/>
        </w:rPr>
        <w:t>A therapist is assessing a new sexual concern with a transgender client in a consensually nonmonogamous relationship. Which opening is BEST?</w:t>
      </w:r>
    </w:p>
    <w:p>
      <w:pPr>
        <w:keepNext w:val="0"/>
        <w:spacing w:after="50" w:line="252" w:lineRule="auto"/>
        <w:ind w:left="504" w:firstLine="0"/>
      </w:pPr>
      <w:r>
        <w:rPr>
          <w:rFonts w:ascii="Liberation Sans" w:hAnsi="Liberation Sans"/>
          <w:color w:val="1E2D38"/>
          <w:sz w:val="18"/>
        </w:rPr>
        <w:t>A. Ask which partner and body part caused the dysfunction so the therapist can choose a diagnosis.</w:t>
      </w:r>
    </w:p>
    <w:p>
      <w:pPr>
        <w:keepNext w:val="0"/>
        <w:spacing w:after="50" w:line="252" w:lineRule="auto"/>
        <w:ind w:left="504" w:firstLine="0"/>
      </w:pPr>
      <w:r>
        <w:rPr>
          <w:rFonts w:ascii="Liberation Sans" w:hAnsi="Liberation Sans"/>
          <w:color w:val="1E2D38"/>
          <w:sz w:val="18"/>
        </w:rPr>
        <w:t>B. Begin with a standard heterosexual-couple checklist to avoid making the client feel singled out.</w:t>
      </w:r>
    </w:p>
    <w:p>
      <w:pPr>
        <w:keepNext w:val="0"/>
        <w:spacing w:after="50" w:line="252" w:lineRule="auto"/>
        <w:ind w:left="504" w:firstLine="0"/>
      </w:pPr>
      <w:r>
        <w:rPr>
          <w:rFonts w:ascii="Liberation Sans" w:hAnsi="Liberation Sans"/>
          <w:color w:val="1E2D38"/>
          <w:sz w:val="18"/>
        </w:rPr>
        <w:t>C. Explain why the topic may be relevant, ask permission and privacy preferences, invite client-defined language, and distinguish the concern, goals, anatomy or health factors, behavior, desire, consent, relationships, culture, and safety without assumption.</w:t>
      </w:r>
    </w:p>
    <w:p>
      <w:pPr>
        <w:keepNext w:val="0"/>
        <w:spacing w:after="100" w:line="252" w:lineRule="auto"/>
        <w:ind w:left="504" w:firstLine="0"/>
      </w:pPr>
      <w:r>
        <w:rPr>
          <w:rFonts w:ascii="Liberation Sans" w:hAnsi="Liberation Sans"/>
          <w:color w:val="1E2D38"/>
          <w:sz w:val="18"/>
        </w:rPr>
        <w:t>D. Avoid sexuality questions unless the client first requests specialized sex therapy.</w:t>
      </w:r>
      <w:r>
        <w:br/>
      </w:r>
      <w:r>
        <w:rPr>
          <w:rFonts w:ascii="Liberation Sans" w:hAnsi="Liberation Sans"/>
          <w:color w:val="5A6872"/>
          <w:sz w:val="17"/>
        </w:rPr>
        <w:t>Answer: ______    Confidence:  [ ] 1 Guess    [ ] 2 Low    [ ] 3 Moderate    [ ] 4 High</w:t>
      </w:r>
    </w:p>
    <w:p>
      <w:pPr>
        <w:keepNext/>
        <w:spacing w:before="140" w:after="80" w:line="259" w:lineRule="auto"/>
        <w:ind w:left="432" w:hanging="360"/>
      </w:pPr>
      <w:r>
        <w:rPr>
          <w:rFonts w:ascii="Liberation Sans" w:hAnsi="Liberation Sans"/>
          <w:b/>
          <w:color w:val="1E2D38"/>
          <w:sz w:val="19"/>
        </w:rPr>
        <w:t xml:space="preserve">8. </w:t>
      </w:r>
      <w:r>
        <w:rPr>
          <w:rFonts w:ascii="Liberation Sans" w:hAnsi="Liberation Sans"/>
          <w:b/>
          <w:color w:val="1E2D38"/>
          <w:sz w:val="19"/>
        </w:rPr>
        <w:t>In conjoint therapy, one partner says privately that refusing sexual activity leads to threats, blocked access to money, and fear of retaliation. The other partner requests intimacy-building exercises at the next session. What should the therapist do FIRST?</w:t>
      </w:r>
    </w:p>
    <w:p>
      <w:pPr>
        <w:keepNext w:val="0"/>
        <w:spacing w:after="50" w:line="252" w:lineRule="auto"/>
        <w:ind w:left="504" w:firstLine="0"/>
      </w:pPr>
      <w:r>
        <w:rPr>
          <w:rFonts w:ascii="Liberation Sans" w:hAnsi="Liberation Sans"/>
          <w:color w:val="1E2D38"/>
          <w:sz w:val="18"/>
        </w:rPr>
        <w:t>A. Assign a sensate-focus exercise with a rule that either partner may stop at any time.</w:t>
      </w:r>
    </w:p>
    <w:p>
      <w:pPr>
        <w:keepNext w:val="0"/>
        <w:spacing w:after="50" w:line="252" w:lineRule="auto"/>
        <w:ind w:left="504" w:firstLine="0"/>
      </w:pPr>
      <w:r>
        <w:rPr>
          <w:rFonts w:ascii="Liberation Sans" w:hAnsi="Liberation Sans"/>
          <w:color w:val="1E2D38"/>
          <w:sz w:val="18"/>
        </w:rPr>
        <w:t>B. Ask the fearful partner to disclose the threats during the next conjoint session so both perspectives are represented.</w:t>
      </w:r>
    </w:p>
    <w:p>
      <w:pPr>
        <w:keepNext w:val="0"/>
        <w:spacing w:after="50" w:line="252" w:lineRule="auto"/>
        <w:ind w:left="504" w:firstLine="0"/>
      </w:pPr>
      <w:r>
        <w:rPr>
          <w:rFonts w:ascii="Liberation Sans" w:hAnsi="Liberation Sans"/>
          <w:color w:val="1E2D38"/>
          <w:sz w:val="18"/>
        </w:rPr>
        <w:t>C. Normalize desire differences and begin communication coaching because the concern is relational.</w:t>
      </w:r>
    </w:p>
    <w:p>
      <w:pPr>
        <w:keepNext w:val="0"/>
        <w:spacing w:after="100" w:line="252" w:lineRule="auto"/>
        <w:ind w:left="504" w:firstLine="0"/>
      </w:pPr>
      <w:r>
        <w:rPr>
          <w:rFonts w:ascii="Liberation Sans" w:hAnsi="Liberation Sans"/>
          <w:color w:val="1E2D38"/>
          <w:sz w:val="18"/>
        </w:rPr>
        <w:t>D. Assess immediate safety, coercion, retaliation, voluntariness, treatment-setting risks, and applicable protective duties; create an appropriate safety and level-of-care response before routine conjoint intimacy work.</w:t>
      </w:r>
      <w:r>
        <w:br/>
      </w:r>
      <w:r>
        <w:rPr>
          <w:rFonts w:ascii="Liberation Sans" w:hAnsi="Liberation Sans"/>
          <w:color w:val="5A6872"/>
          <w:sz w:val="17"/>
        </w:rPr>
        <w:t>Answer: ______    Confidence:  [ ] 1 Guess    [ ] 2 Low    [ ] 3 Moderate    [ ] 4 High</w:t>
      </w:r>
    </w:p>
    <w:p>
      <w:r>
        <w:br w:type="page"/>
      </w:r>
    </w:p>
    <w:p>
      <w:pPr>
        <w:keepNext/>
        <w:spacing w:before="140" w:after="80" w:line="259" w:lineRule="auto"/>
        <w:ind w:left="432" w:hanging="360"/>
      </w:pPr>
      <w:r>
        <w:rPr>
          <w:rFonts w:ascii="Liberation Sans" w:hAnsi="Liberation Sans"/>
          <w:b/>
          <w:color w:val="1E2D38"/>
          <w:sz w:val="19"/>
        </w:rPr>
        <w:t xml:space="preserve">9. </w:t>
      </w:r>
      <w:r>
        <w:rPr>
          <w:rFonts w:ascii="Liberation Sans" w:hAnsi="Liberation Sans"/>
          <w:b/>
          <w:color w:val="1E2D38"/>
          <w:sz w:val="19"/>
        </w:rPr>
        <w:t>A client with a fluctuating neurological condition misses sessions when fatigue is severe. The clinic's only evening room is not mobility accessible, family members answer questions for the client, and treatment is being labeled “noncompliant.” What is the BEST integrated response?</w:t>
      </w:r>
    </w:p>
    <w:tbl>
      <w:tblPr>
        <w:tblW w:type="dxa" w:w="9800"/>
        <w:jc w:val="left"/>
        <w:tblLayout w:type="fixed"/>
        <w:tblLook w:firstColumn="1" w:firstRow="1" w:lastColumn="0" w:lastRow="0" w:noHBand="0" w:noVBand="1" w:val="04A0"/>
        <w:tblBorders>
          <w:top w:val="nil"/>
          <w:left w:val="nil"/>
          <w:bottom w:val="nil"/>
          <w:right w:val="nil"/>
          <w:insideH w:val="nil"/>
          <w:insideV w:val="nil"/>
        </w:tblBorders>
        <w:tblInd w:w="0" w:type="dxa"/>
      </w:tblPr>
      <w:tblGrid>
        <w:gridCol w:w="9800"/>
      </w:tblGrid>
      <w:tr>
        <w:trPr>
          <w:tblHeader w:val="true"/>
          <w:cantSplit/>
        </w:trPr>
        <w:tc>
          <w:tcPr>
            <w:tcW w:type="dxa" w:w="9800"/>
            <w:tcMar>
              <w:top w:w="15" w:type="dxa"/>
              <w:start w:w="0" w:type="dxa"/>
              <w:bottom w:w="15" w:type="dxa"/>
              <w:end w:w="0" w:type="dxa"/>
            </w:tcMar>
          </w:tcPr>
          <w:p>
            <w:pPr>
              <w:spacing w:after="100" w:line="278" w:lineRule="auto"/>
              <w:ind w:left="504"/>
            </w:pPr>
            <w:r>
              <w:rPr>
                <w:rFonts w:ascii="Liberation Sans" w:hAnsi="Liberation Sans"/>
                <w:color w:val="1E2D38"/>
                <w:sz w:val="18"/>
              </w:rPr>
              <w:t>A. Engage the client directly using preferred communication, assess function and access barriers, clarify family roles and consent, offer reasonable format and pacing adaptations, coordinate health information when authorized, and track benefit and burden.</w:t>
              <w:br/>
              <w:t>B. Continue the standard schedule so clinical boundaries are identical for every client.</w:t>
              <w:br/>
              <w:t>C. Make a family member the treatment decision-maker because disability reduces the client's capacity to participate.</w:t>
              <w:br/>
              <w:t>D. Suspend therapy until the medical condition is fully resolved because MFT treatment cannot address health-related barriers.</w:t>
              <w:br/>
              <w:t>Answer: ______    Confidence:  [ ] 1 Guess    [ ] 2 Low    [ ] 3 Moderate    [ ] 4 High</w:t>
            </w:r>
          </w:p>
        </w:tc>
      </w:tr>
    </w:tbl>
    <w:p>
      <w:pPr>
        <w:keepNext/>
        <w:spacing w:before="140" w:after="80" w:line="259" w:lineRule="auto"/>
        <w:ind w:left="432" w:hanging="360"/>
      </w:pPr>
      <w:r>
        <w:rPr>
          <w:rFonts w:ascii="Liberation Sans" w:hAnsi="Liberation Sans"/>
          <w:b/>
          <w:color w:val="1E2D38"/>
          <w:sz w:val="19"/>
        </w:rPr>
        <w:t xml:space="preserve">10. </w:t>
      </w:r>
      <w:r>
        <w:rPr>
          <w:rFonts w:ascii="Liberation Sans" w:hAnsi="Liberation Sans"/>
          <w:b/>
          <w:color w:val="1E2D38"/>
          <w:sz w:val="19"/>
        </w:rPr>
        <w:t>After a recent medication adjustment, a client reports daytime sleepiness, irritability, and new driving errors. The spouse asks the therapist to tell the prescriber which medication to discontinue. What should the therapist do?</w:t>
      </w:r>
    </w:p>
    <w:p>
      <w:pPr>
        <w:keepNext w:val="0"/>
        <w:spacing w:after="50" w:line="252" w:lineRule="auto"/>
        <w:ind w:left="504" w:firstLine="0"/>
      </w:pPr>
      <w:r>
        <w:rPr>
          <w:rFonts w:ascii="Liberation Sans" w:hAnsi="Liberation Sans"/>
          <w:color w:val="1E2D38"/>
          <w:sz w:val="18"/>
        </w:rPr>
        <w:t>A. Recommend stopping the medication immediately because driving risk overrides role boundaries.</w:t>
      </w:r>
    </w:p>
    <w:p>
      <w:pPr>
        <w:keepNext w:val="0"/>
        <w:spacing w:after="50" w:line="252" w:lineRule="auto"/>
        <w:ind w:left="504" w:firstLine="0"/>
      </w:pPr>
      <w:r>
        <w:rPr>
          <w:rFonts w:ascii="Liberation Sans" w:hAnsi="Liberation Sans"/>
          <w:color w:val="1E2D38"/>
          <w:sz w:val="18"/>
        </w:rPr>
        <w:t>B. Assess immediate safety and function, clarify what is known, obtain appropriate permission, communicate relevant observations to the prescriber, and maintain MFT role clarity rather than directing medication treatment.</w:t>
      </w:r>
    </w:p>
    <w:p>
      <w:pPr>
        <w:keepNext w:val="0"/>
        <w:spacing w:after="50" w:line="252" w:lineRule="auto"/>
        <w:ind w:left="504" w:firstLine="0"/>
      </w:pPr>
      <w:r>
        <w:rPr>
          <w:rFonts w:ascii="Liberation Sans" w:hAnsi="Liberation Sans"/>
          <w:color w:val="1E2D38"/>
          <w:sz w:val="18"/>
        </w:rPr>
        <w:t>C. Decline all discussion because medication effects have no relevance to systemic therapy.</w:t>
      </w:r>
    </w:p>
    <w:p>
      <w:pPr>
        <w:keepNext w:val="0"/>
        <w:spacing w:after="100" w:line="252" w:lineRule="auto"/>
        <w:ind w:left="504" w:firstLine="0"/>
      </w:pPr>
      <w:r>
        <w:rPr>
          <w:rFonts w:ascii="Liberation Sans" w:hAnsi="Liberation Sans"/>
          <w:color w:val="1E2D38"/>
          <w:sz w:val="18"/>
        </w:rPr>
        <w:t>D. Ask the spouse to contact the prescriber secretly so the client cannot minimize the symptoms.</w:t>
      </w:r>
      <w:r>
        <w:br/>
      </w:r>
      <w:r>
        <w:rPr>
          <w:rFonts w:ascii="Liberation Sans" w:hAnsi="Liberation Sans"/>
          <w:color w:val="5A6872"/>
          <w:sz w:val="17"/>
        </w:rPr>
        <w:t>Answer: ______    Confidence:  [ ] 1 Guess    [ ] 2 Low    [ ] 3 Moderate    [ ] 4 High</w:t>
      </w:r>
    </w:p>
    <w:p>
      <w:pPr>
        <w:keepNext/>
        <w:spacing w:before="140" w:after="80" w:line="259" w:lineRule="auto"/>
        <w:ind w:left="432" w:hanging="360"/>
      </w:pPr>
      <w:r>
        <w:rPr>
          <w:rFonts w:ascii="Liberation Sans" w:hAnsi="Liberation Sans"/>
          <w:b/>
          <w:color w:val="1E2D38"/>
          <w:sz w:val="19"/>
        </w:rPr>
        <w:t xml:space="preserve">11. </w:t>
      </w:r>
      <w:r>
        <w:rPr>
          <w:rFonts w:ascii="Liberation Sans" w:hAnsi="Liberation Sans"/>
          <w:b/>
          <w:color w:val="1E2D38"/>
          <w:sz w:val="19"/>
        </w:rPr>
        <w:t>Which principle BEST guides adaptation of treatment during a family life-cycle transition?</w:t>
      </w:r>
    </w:p>
    <w:p>
      <w:pPr>
        <w:keepNext w:val="0"/>
        <w:spacing w:after="50" w:line="252" w:lineRule="auto"/>
        <w:ind w:left="504" w:firstLine="0"/>
      </w:pPr>
      <w:r>
        <w:rPr>
          <w:rFonts w:ascii="Liberation Sans" w:hAnsi="Liberation Sans"/>
          <w:color w:val="1E2D38"/>
          <w:sz w:val="18"/>
        </w:rPr>
        <w:t>A. Use chronological age as the primary indicator of what every family member should accomplish.</w:t>
      </w:r>
    </w:p>
    <w:p>
      <w:pPr>
        <w:keepNext w:val="0"/>
        <w:spacing w:after="50" w:line="252" w:lineRule="auto"/>
        <w:ind w:left="504" w:firstLine="0"/>
      </w:pPr>
      <w:r>
        <w:rPr>
          <w:rFonts w:ascii="Liberation Sans" w:hAnsi="Liberation Sans"/>
          <w:color w:val="1E2D38"/>
          <w:sz w:val="18"/>
        </w:rPr>
        <w:t>B. Treat conflict during a transition as evidence of disorder before examining context or function.</w:t>
      </w:r>
    </w:p>
    <w:p>
      <w:pPr>
        <w:keepNext w:val="0"/>
        <w:spacing w:after="50" w:line="252" w:lineRule="auto"/>
        <w:ind w:left="504" w:firstLine="0"/>
      </w:pPr>
      <w:r>
        <w:rPr>
          <w:rFonts w:ascii="Liberation Sans" w:hAnsi="Liberation Sans"/>
          <w:color w:val="1E2D38"/>
          <w:sz w:val="18"/>
        </w:rPr>
        <w:t>C. Relate tasks and symptoms to development, culture, family structure, health, function, autonomy, resources, and risk, then adapt goals and participation without assuming one universal sequence.</w:t>
      </w:r>
    </w:p>
    <w:p>
      <w:pPr>
        <w:keepNext w:val="0"/>
        <w:spacing w:after="100" w:line="252" w:lineRule="auto"/>
        <w:ind w:left="504" w:firstLine="0"/>
      </w:pPr>
      <w:r>
        <w:rPr>
          <w:rFonts w:ascii="Liberation Sans" w:hAnsi="Liberation Sans"/>
          <w:color w:val="1E2D38"/>
          <w:sz w:val="18"/>
        </w:rPr>
        <w:t>D. Avoid involving family members because developmental needs are always individual.</w:t>
      </w:r>
      <w:r>
        <w:br/>
      </w:r>
      <w:r>
        <w:rPr>
          <w:rFonts w:ascii="Liberation Sans" w:hAnsi="Liberation Sans"/>
          <w:color w:val="5A6872"/>
          <w:sz w:val="17"/>
        </w:rPr>
        <w:t>Answer: ______    Confidence:  [ ] 1 Guess    [ ] 2 Low    [ ] 3 Moderate    [ ] 4 High</w:t>
      </w:r>
    </w:p>
    <w:p>
      <w:pPr>
        <w:keepNext/>
        <w:spacing w:before="140" w:after="80" w:line="259" w:lineRule="auto"/>
        <w:ind w:left="432" w:hanging="360"/>
      </w:pPr>
      <w:r>
        <w:rPr>
          <w:rFonts w:ascii="Liberation Sans" w:hAnsi="Liberation Sans"/>
          <w:b/>
          <w:color w:val="1E2D38"/>
          <w:sz w:val="19"/>
        </w:rPr>
        <w:t xml:space="preserve">12. </w:t>
      </w:r>
      <w:r>
        <w:rPr>
          <w:rFonts w:ascii="Liberation Sans" w:hAnsi="Liberation Sans"/>
          <w:b/>
          <w:color w:val="1E2D38"/>
          <w:sz w:val="19"/>
        </w:rPr>
        <w:t>Nine months after a community disaster and the death of a close friend, a client participates in culturally meaningful remembrance rituals. The client also reports worsening nightmares, inability to work, heavy alcohol use, and thoughts of “not wanting to wake up.” What should the therapist do NEXT?</w:t>
      </w:r>
    </w:p>
    <w:p>
      <w:pPr>
        <w:keepNext w:val="0"/>
        <w:spacing w:after="50" w:line="252" w:lineRule="auto"/>
        <w:ind w:left="504" w:firstLine="0"/>
      </w:pPr>
      <w:r>
        <w:rPr>
          <w:rFonts w:ascii="Liberation Sans" w:hAnsi="Liberation Sans"/>
          <w:color w:val="1E2D38"/>
          <w:sz w:val="18"/>
        </w:rPr>
        <w:t>A. Diagnose prolonged grief solely because more than six months have passed.</w:t>
      </w:r>
    </w:p>
    <w:p>
      <w:pPr>
        <w:keepNext w:val="0"/>
        <w:spacing w:after="50" w:line="252" w:lineRule="auto"/>
        <w:ind w:left="504" w:firstLine="0"/>
      </w:pPr>
      <w:r>
        <w:rPr>
          <w:rFonts w:ascii="Liberation Sans" w:hAnsi="Liberation Sans"/>
          <w:color w:val="1E2D38"/>
          <w:sz w:val="18"/>
        </w:rPr>
        <w:t>B. Reassure the client that all reactions are normal within the client's culture and avoid risk questions.</w:t>
      </w:r>
    </w:p>
    <w:p>
      <w:pPr>
        <w:keepNext w:val="0"/>
        <w:spacing w:after="50" w:line="252" w:lineRule="auto"/>
        <w:ind w:left="504" w:firstLine="0"/>
      </w:pPr>
      <w:r>
        <w:rPr>
          <w:rFonts w:ascii="Liberation Sans" w:hAnsi="Liberation Sans"/>
          <w:color w:val="1E2D38"/>
          <w:sz w:val="18"/>
        </w:rPr>
        <w:t>C. Begin exposure work immediately so avoidance does not become permanent.</w:t>
      </w:r>
    </w:p>
    <w:p>
      <w:pPr>
        <w:keepNext w:val="0"/>
        <w:spacing w:after="100" w:line="252" w:lineRule="auto"/>
        <w:ind w:left="504" w:firstLine="0"/>
      </w:pPr>
      <w:r>
        <w:rPr>
          <w:rFonts w:ascii="Liberation Sans" w:hAnsi="Liberation Sans"/>
          <w:color w:val="1E2D38"/>
          <w:sz w:val="18"/>
        </w:rPr>
        <w:t>D. Honor the rituals and meaning while directly assessing suicide risk, trauma, depression, substance use, function, supports, and level of care, then coordinate or refer as indicated.</w:t>
      </w:r>
      <w:r>
        <w:br/>
      </w:r>
      <w:r>
        <w:rPr>
          <w:rFonts w:ascii="Liberation Sans" w:hAnsi="Liberation Sans"/>
          <w:color w:val="5A6872"/>
          <w:sz w:val="17"/>
        </w:rPr>
        <w:t>Answer: ______    Confidence:  [ ] 1 Guess    [ ] 2 Low    [ ] 3 Moderate    [ ] 4 High</w:t>
      </w:r>
    </w:p>
    <w:p>
      <w:r>
        <w:br w:type="page"/>
      </w:r>
    </w:p>
    <w:p>
      <w:pPr>
        <w:keepNext/>
        <w:spacing w:before="140" w:after="80" w:line="259" w:lineRule="auto"/>
        <w:ind w:left="432" w:hanging="360"/>
      </w:pPr>
      <w:r>
        <w:rPr>
          <w:rFonts w:ascii="Liberation Sans" w:hAnsi="Liberation Sans"/>
          <w:b/>
          <w:color w:val="1E2D38"/>
          <w:sz w:val="19"/>
        </w:rPr>
        <w:t xml:space="preserve">13. </w:t>
      </w:r>
      <w:r>
        <w:rPr>
          <w:rFonts w:ascii="Liberation Sans" w:hAnsi="Liberation Sans"/>
          <w:b/>
          <w:color w:val="1E2D38"/>
          <w:sz w:val="19"/>
        </w:rPr>
        <w:t>An older adult who previously managed finances independently now appears confused and has unpaid utilities. A caregiving relative controls the bank card, refuses private conversation, and says the client is “too old to understand.” What should the therapist do FIRST?</w:t>
      </w:r>
    </w:p>
    <w:p>
      <w:pPr>
        <w:keepNext w:val="0"/>
        <w:spacing w:after="50" w:line="252" w:lineRule="auto"/>
        <w:ind w:left="504" w:firstLine="0"/>
      </w:pPr>
      <w:r>
        <w:rPr>
          <w:rFonts w:ascii="Liberation Sans" w:hAnsi="Liberation Sans"/>
          <w:color w:val="1E2D38"/>
          <w:sz w:val="18"/>
        </w:rPr>
        <w:t>A. Assess immediate safety, decision-specific capacity and functional change within role, possible exploitation or neglect, urgent medical needs, access to private communication, and current jurisdictional protective duties and level-of-care options.</w:t>
      </w:r>
    </w:p>
    <w:p>
      <w:pPr>
        <w:keepNext w:val="0"/>
        <w:spacing w:after="50" w:line="252" w:lineRule="auto"/>
        <w:ind w:left="504" w:firstLine="0"/>
      </w:pPr>
      <w:r>
        <w:rPr>
          <w:rFonts w:ascii="Liberation Sans" w:hAnsi="Liberation Sans"/>
          <w:color w:val="1E2D38"/>
          <w:sz w:val="18"/>
        </w:rPr>
        <w:t>B. Accept the caregiver's account because the caregiver has the most daily contact.</w:t>
      </w:r>
    </w:p>
    <w:p>
      <w:pPr>
        <w:keepNext w:val="0"/>
        <w:spacing w:after="50" w:line="252" w:lineRule="auto"/>
        <w:ind w:left="504" w:firstLine="0"/>
      </w:pPr>
      <w:r>
        <w:rPr>
          <w:rFonts w:ascii="Liberation Sans" w:hAnsi="Liberation Sans"/>
          <w:color w:val="1E2D38"/>
          <w:sz w:val="18"/>
        </w:rPr>
        <w:t>C. Teach stress management to the caregiver before asking about finances or capacity.</w:t>
      </w:r>
    </w:p>
    <w:p>
      <w:pPr>
        <w:keepNext w:val="0"/>
        <w:spacing w:after="100" w:line="252" w:lineRule="auto"/>
        <w:ind w:left="504" w:firstLine="0"/>
      </w:pPr>
      <w:r>
        <w:rPr>
          <w:rFonts w:ascii="Liberation Sans" w:hAnsi="Liberation Sans"/>
          <w:color w:val="1E2D38"/>
          <w:sz w:val="18"/>
        </w:rPr>
        <w:t>D. Transfer the case immediately without assessing safety because aging and finances are outside MFT scope.</w:t>
      </w:r>
      <w:r>
        <w:br/>
      </w:r>
      <w:r>
        <w:rPr>
          <w:rFonts w:ascii="Liberation Sans" w:hAnsi="Liberation Sans"/>
          <w:color w:val="5A6872"/>
          <w:sz w:val="17"/>
        </w:rPr>
        <w:t>Answer: ______    Confidence:  [ ] 1 Guess    [ ] 2 Low    [ ] 3 Moderate    [ ] 4 High</w:t>
      </w:r>
    </w:p>
    <w:p>
      <w:pPr>
        <w:keepNext/>
        <w:spacing w:before="140" w:after="80" w:line="259" w:lineRule="auto"/>
        <w:ind w:left="432" w:hanging="360"/>
      </w:pPr>
      <w:r>
        <w:rPr>
          <w:rFonts w:ascii="Liberation Sans" w:hAnsi="Liberation Sans"/>
          <w:b/>
          <w:color w:val="1E2D38"/>
          <w:sz w:val="19"/>
        </w:rPr>
        <w:t xml:space="preserve">14. </w:t>
      </w:r>
      <w:r>
        <w:rPr>
          <w:rFonts w:ascii="Liberation Sans" w:hAnsi="Liberation Sans"/>
          <w:b/>
          <w:color w:val="1E2D38"/>
          <w:sz w:val="19"/>
        </w:rPr>
        <w:t>A client receiving MFT, addiction, and primary-care services signs a broad release stating “all information may be shared.” Team members begin copying everyone on detailed notes, and no one can state who is responsible for suicide-risk follow-up. What should the MFT do NEXT?</w:t>
      </w:r>
    </w:p>
    <w:p>
      <w:pPr>
        <w:keepNext w:val="0"/>
        <w:spacing w:after="50" w:line="252" w:lineRule="auto"/>
        <w:ind w:left="504" w:firstLine="0"/>
      </w:pPr>
      <w:r>
        <w:rPr>
          <w:rFonts w:ascii="Liberation Sans" w:hAnsi="Liberation Sans"/>
          <w:color w:val="1E2D38"/>
          <w:sz w:val="18"/>
        </w:rPr>
        <w:t>A. Continue sharing because a signed release removes the need to limit or explain disclosures.</w:t>
      </w:r>
    </w:p>
    <w:p>
      <w:pPr>
        <w:keepNext w:val="0"/>
        <w:spacing w:after="50" w:line="252" w:lineRule="auto"/>
        <w:ind w:left="504" w:firstLine="0"/>
      </w:pPr>
      <w:r>
        <w:rPr>
          <w:rFonts w:ascii="Liberation Sans" w:hAnsi="Liberation Sans"/>
          <w:color w:val="1E2D38"/>
          <w:sz w:val="18"/>
        </w:rPr>
        <w:t>B. Revisit informed permission and its limits, identify the client and each provider's role, establish minimum-necessary information flow and risk responsibilities, use secure communication, document decisions, and verify current law and policy.</w:t>
      </w:r>
    </w:p>
    <w:p>
      <w:pPr>
        <w:keepNext w:val="0"/>
        <w:spacing w:after="50" w:line="252" w:lineRule="auto"/>
        <w:ind w:left="504" w:firstLine="0"/>
      </w:pPr>
      <w:r>
        <w:rPr>
          <w:rFonts w:ascii="Liberation Sans" w:hAnsi="Liberation Sans"/>
          <w:color w:val="1E2D38"/>
          <w:sz w:val="18"/>
        </w:rPr>
        <w:t>C. Withdraw from the team so another professional becomes solely responsible for confidentiality.</w:t>
      </w:r>
    </w:p>
    <w:p>
      <w:pPr>
        <w:keepNext w:val="0"/>
        <w:spacing w:after="100" w:line="252" w:lineRule="auto"/>
        <w:ind w:left="504" w:firstLine="0"/>
      </w:pPr>
      <w:r>
        <w:rPr>
          <w:rFonts w:ascii="Liberation Sans" w:hAnsi="Liberation Sans"/>
          <w:color w:val="1E2D38"/>
          <w:sz w:val="18"/>
        </w:rPr>
        <w:t>D. Ask the client to coordinate the providers without further clinician communication.</w:t>
      </w:r>
      <w:r>
        <w:br/>
      </w:r>
      <w:r>
        <w:rPr>
          <w:rFonts w:ascii="Liberation Sans" w:hAnsi="Liberation Sans"/>
          <w:color w:val="5A6872"/>
          <w:sz w:val="17"/>
        </w:rPr>
        <w:t>Answer: ______    Confidence:  [ ] 1 Guess    [ ] 2 Low    [ ] 3 Moderate    [ ] 4 High</w:t>
      </w:r>
    </w:p>
    <w:p>
      <w:pPr>
        <w:keepNext/>
        <w:spacing w:before="140" w:after="80" w:line="259" w:lineRule="auto"/>
        <w:ind w:left="432" w:hanging="360"/>
      </w:pPr>
      <w:r>
        <w:rPr>
          <w:rFonts w:ascii="Liberation Sans" w:hAnsi="Liberation Sans"/>
          <w:b/>
          <w:color w:val="1E2D38"/>
          <w:sz w:val="19"/>
        </w:rPr>
        <w:t xml:space="preserve">15. </w:t>
      </w:r>
      <w:r>
        <w:rPr>
          <w:rFonts w:ascii="Liberation Sans" w:hAnsi="Liberation Sans"/>
          <w:b/>
          <w:color w:val="1E2D38"/>
          <w:sz w:val="19"/>
        </w:rPr>
        <w:t>A trauma-exposed client has escalating dissociation, housing instability, recurrent intoxication, and inconsistent contact with several providers. The therapist is considering a new trauma-processing protocol. What is the BEST next step?</w:t>
      </w:r>
    </w:p>
    <w:tbl>
      <w:tblPr>
        <w:tblW w:type="dxa" w:w="9800"/>
        <w:jc w:val="left"/>
        <w:tblLayout w:type="fixed"/>
        <w:tblLook w:firstColumn="1" w:firstRow="1" w:lastColumn="0" w:lastRow="0" w:noHBand="0" w:noVBand="1" w:val="04A0"/>
        <w:tblBorders>
          <w:top w:val="nil"/>
          <w:left w:val="nil"/>
          <w:bottom w:val="nil"/>
          <w:right w:val="nil"/>
          <w:insideH w:val="nil"/>
          <w:insideV w:val="nil"/>
        </w:tblBorders>
        <w:tblInd w:w="0" w:type="dxa"/>
      </w:tblPr>
      <w:tblGrid>
        <w:gridCol w:w="9800"/>
      </w:tblGrid>
      <w:tr>
        <w:trPr>
          <w:tblHeader w:val="true"/>
          <w:cantSplit/>
        </w:trPr>
        <w:tc>
          <w:tcPr>
            <w:tcW w:type="dxa" w:w="9800"/>
            <w:tcMar>
              <w:top w:w="15" w:type="dxa"/>
              <w:start w:w="0" w:type="dxa"/>
              <w:bottom w:w="15" w:type="dxa"/>
              <w:end w:w="0" w:type="dxa"/>
            </w:tcMar>
          </w:tcPr>
          <w:p>
            <w:pPr>
              <w:spacing w:after="100" w:line="278" w:lineRule="auto"/>
              <w:ind w:left="504"/>
            </w:pPr>
            <w:r>
              <w:rPr>
                <w:rFonts w:ascii="Liberation Sans" w:hAnsi="Liberation Sans"/>
                <w:color w:val="1E2D38"/>
                <w:sz w:val="18"/>
              </w:rPr>
              <w:t>A. Begin the protocol because trauma processing may resolve the other problems simultaneously.</w:t>
              <w:br/>
              <w:t>B. Increase the frequency of the same outpatient sessions without reassessing acuity or coordination.</w:t>
              <w:br/>
              <w:t>C. Pause trauma processing, reassess safety, intoxication, stability, participation capacity, supports, and level of care; clarify provider roles; and build a coordinated stabilization and continuity plan.</w:t>
              <w:br/>
              <w:t>D. Discharge immediately for nonattendance because readiness is solely the client's responsibility.</w:t>
              <w:br/>
              <w:t>Answer: ______    Confidence:  [ ] 1 Guess    [ ] 2 Low    [ ] 3 Moderate    [ ] 4 High</w:t>
            </w:r>
          </w:p>
        </w:tc>
      </w:tr>
    </w:tbl>
    <w:p>
      <w:r>
        <w:br w:type="page"/>
      </w:r>
    </w:p>
    <w:p>
      <w:pPr>
        <w:keepNext/>
        <w:spacing w:before="140" w:after="80" w:line="259" w:lineRule="auto"/>
        <w:ind w:left="432" w:hanging="360"/>
      </w:pPr>
      <w:r>
        <w:rPr>
          <w:rFonts w:ascii="Liberation Sans" w:hAnsi="Liberation Sans"/>
          <w:b/>
          <w:color w:val="1E2D38"/>
          <w:sz w:val="19"/>
        </w:rPr>
        <w:t xml:space="preserve">16. </w:t>
      </w:r>
      <w:r>
        <w:rPr>
          <w:rFonts w:ascii="Liberation Sans" w:hAnsi="Liberation Sans"/>
          <w:b/>
          <w:color w:val="1E2D38"/>
          <w:sz w:val="19"/>
        </w:rPr>
        <w:t>A therapist recognizes that a couple needs specialized sexual-pain treatment beyond the therapist's competence. Which action is MOST appropriate?</w:t>
      </w:r>
    </w:p>
    <w:p>
      <w:pPr>
        <w:keepNext w:val="0"/>
        <w:spacing w:after="50" w:line="252" w:lineRule="auto"/>
        <w:ind w:left="504" w:firstLine="0"/>
      </w:pPr>
      <w:r>
        <w:rPr>
          <w:rFonts w:ascii="Liberation Sans" w:hAnsi="Liberation Sans"/>
          <w:color w:val="1E2D38"/>
          <w:sz w:val="18"/>
        </w:rPr>
        <w:t>A. Continue using general couples techniques without discussing the competence limit.</w:t>
      </w:r>
    </w:p>
    <w:p>
      <w:pPr>
        <w:keepNext w:val="0"/>
        <w:spacing w:after="50" w:line="252" w:lineRule="auto"/>
        <w:ind w:left="504" w:firstLine="0"/>
      </w:pPr>
      <w:r>
        <w:rPr>
          <w:rFonts w:ascii="Liberation Sans" w:hAnsi="Liberation Sans"/>
          <w:color w:val="1E2D38"/>
          <w:sz w:val="18"/>
        </w:rPr>
        <w:t>B. End services immediately and give the couple a list of websites.</w:t>
      </w:r>
    </w:p>
    <w:p>
      <w:pPr>
        <w:keepNext w:val="0"/>
        <w:spacing w:after="50" w:line="252" w:lineRule="auto"/>
        <w:ind w:left="504" w:firstLine="0"/>
      </w:pPr>
      <w:r>
        <w:rPr>
          <w:rFonts w:ascii="Liberation Sans" w:hAnsi="Liberation Sans"/>
          <w:color w:val="1E2D38"/>
          <w:sz w:val="18"/>
        </w:rPr>
        <w:t>C. Ask the couple to choose whether the therapist is competent because informed consent transfers the decision.</w:t>
      </w:r>
    </w:p>
    <w:p>
      <w:pPr>
        <w:keepNext w:val="0"/>
        <w:spacing w:after="100" w:line="252" w:lineRule="auto"/>
        <w:ind w:left="504" w:firstLine="0"/>
      </w:pPr>
      <w:r>
        <w:rPr>
          <w:rFonts w:ascii="Liberation Sans" w:hAnsi="Liberation Sans"/>
          <w:color w:val="1E2D38"/>
          <w:sz w:val="18"/>
        </w:rPr>
        <w:t>D. Explain the limit and rationale, offer qualified referral options, obtain permission for a warm handoff when possible, clarify any continuing MFT role, and document continuity and follow-up.</w:t>
      </w:r>
      <w:r>
        <w:br/>
      </w:r>
      <w:r>
        <w:rPr>
          <w:rFonts w:ascii="Liberation Sans" w:hAnsi="Liberation Sans"/>
          <w:color w:val="5A6872"/>
          <w:sz w:val="17"/>
        </w:rPr>
        <w:t>Answer: ______    Confidence:  [ ] 1 Guess    [ ] 2 Low    [ ] 3 Moderate    [ ] 4 High</w:t>
      </w:r>
    </w:p>
    <w:p>
      <w:pPr>
        <w:keepNext/>
        <w:spacing w:before="140" w:after="80" w:line="259" w:lineRule="auto"/>
        <w:ind w:left="432" w:hanging="360"/>
      </w:pPr>
      <w:r>
        <w:rPr>
          <w:rFonts w:ascii="Liberation Sans" w:hAnsi="Liberation Sans"/>
          <w:b/>
          <w:color w:val="1E2D38"/>
          <w:sz w:val="19"/>
        </w:rPr>
        <w:t xml:space="preserve">17. </w:t>
      </w:r>
      <w:r>
        <w:rPr>
          <w:rFonts w:ascii="Liberation Sans" w:hAnsi="Liberation Sans"/>
          <w:b/>
          <w:color w:val="1E2D38"/>
          <w:sz w:val="19"/>
        </w:rPr>
        <w:t>After eight weeks of coordinated care, substance use is lower, but one partner reports more fear at home, the client misses medical appointments because of transportation, and the care team has not reviewed its goals. What should the therapist do NEXT?</w:t>
      </w:r>
    </w:p>
    <w:p>
      <w:pPr>
        <w:keepNext w:val="0"/>
        <w:spacing w:after="50" w:line="252" w:lineRule="auto"/>
        <w:ind w:left="504" w:firstLine="0"/>
      </w:pPr>
      <w:r>
        <w:rPr>
          <w:rFonts w:ascii="Liberation Sans" w:hAnsi="Liberation Sans"/>
          <w:color w:val="1E2D38"/>
          <w:sz w:val="18"/>
        </w:rPr>
        <w:t>A. Review safety, alliance, function, access, outcomes, burdens, and roles by participant; revisit the hypothesis and treatment unit; and collaboratively continue, adapt, step up or down, transfer, or end components with documented continuity.</w:t>
      </w:r>
    </w:p>
    <w:p>
      <w:pPr>
        <w:keepNext w:val="0"/>
        <w:spacing w:after="50" w:line="252" w:lineRule="auto"/>
        <w:ind w:left="504" w:firstLine="0"/>
      </w:pPr>
      <w:r>
        <w:rPr>
          <w:rFonts w:ascii="Liberation Sans" w:hAnsi="Liberation Sans"/>
          <w:color w:val="1E2D38"/>
          <w:sz w:val="18"/>
        </w:rPr>
        <w:t>B. Continue unchanged because improvement in substance use establishes overall success.</w:t>
      </w:r>
    </w:p>
    <w:p>
      <w:pPr>
        <w:keepNext w:val="0"/>
        <w:spacing w:after="50" w:line="252" w:lineRule="auto"/>
        <w:ind w:left="504" w:firstLine="0"/>
      </w:pPr>
      <w:r>
        <w:rPr>
          <w:rFonts w:ascii="Liberation Sans" w:hAnsi="Liberation Sans"/>
          <w:color w:val="1E2D38"/>
          <w:sz w:val="18"/>
        </w:rPr>
        <w:t>C. Remove the fearful partner from outcome review so reports do not conflict.</w:t>
      </w:r>
    </w:p>
    <w:p>
      <w:pPr>
        <w:keepNext w:val="0"/>
        <w:spacing w:after="100" w:line="252" w:lineRule="auto"/>
        <w:ind w:left="504" w:firstLine="0"/>
      </w:pPr>
      <w:r>
        <w:rPr>
          <w:rFonts w:ascii="Liberation Sans" w:hAnsi="Liberation Sans"/>
          <w:color w:val="1E2D38"/>
          <w:sz w:val="18"/>
        </w:rPr>
        <w:t>D. Add another service before clarifying why current care is not meeting all needs.</w:t>
      </w:r>
      <w:r>
        <w:br/>
      </w:r>
      <w:r>
        <w:rPr>
          <w:rFonts w:ascii="Liberation Sans" w:hAnsi="Liberation Sans"/>
          <w:color w:val="5A6872"/>
          <w:sz w:val="17"/>
        </w:rPr>
        <w:t>Answer: ______    Confidence:  [ ] 1 Guess    [ ] 2 Low    [ ] 3 Moderate    [ ] 4 High</w:t>
      </w:r>
    </w:p>
    <w:p>
      <w:pPr>
        <w:pStyle w:val="Heading1"/>
        <w:pageBreakBefore/>
        <w:spacing w:before="640"/>
      </w:pPr>
      <w:r>
        <w:t>Score Recording and Remediation</w:t>
      </w:r>
    </w:p>
    <w:tbl>
      <w:tblPr>
        <w:tblW w:type="dxa" w:w="10560"/>
        <w:jc w:val="center"/>
        <w:tblLayout w:type="fixed"/>
        <w:tblLook w:firstColumn="1" w:firstRow="1" w:lastColumn="0" w:lastRow="0" w:noHBand="0" w:noVBand="1" w:val="04A0"/>
        <w:tblInd w:w="0" w:type="dxa"/>
      </w:tblPr>
      <w:tblGrid>
        <w:gridCol w:w="10560"/>
      </w:tblGrid>
      <w:tr>
        <w:trPr>
          <w:tblHeader w:val="true"/>
          <w:cantSplit/>
        </w:trPr>
        <w:tc>
          <w:tcPr>
            <w:tcW w:type="dxa" w:w="10560"/>
            <w:shd w:fill="EAF1F7"/>
            <w:tcMar>
              <w:top w:w="125" w:type="dxa"/>
              <w:start w:w="180" w:type="dxa"/>
              <w:bottom w:w="125" w:type="dxa"/>
              <w:end w:w="180" w:type="dxa"/>
            </w:tcMar>
          </w:tcPr>
          <w:p>
            <w:pPr>
              <w:spacing w:after="0" w:line="252" w:lineRule="auto"/>
            </w:pPr>
            <w:r>
              <w:rPr>
                <w:rFonts w:ascii="Liberation Sans" w:hAnsi="Liberation Sans"/>
                <w:b/>
                <w:color w:val="12385B"/>
                <w:sz w:val="18"/>
              </w:rPr>
              <w:t xml:space="preserve">RELEASE CONTROL:  </w:t>
            </w:r>
            <w:r>
              <w:rPr>
                <w:rFonts w:ascii="Liberation Sans" w:hAnsi="Liberation Sans"/>
                <w:color w:val="1E2D38"/>
                <w:sz w:val="18"/>
              </w:rPr>
              <w:t>Record your first attempt before opening the separately controlled answer key and detailed rationales.</w:t>
            </w:r>
          </w:p>
        </w:tc>
      </w:tr>
    </w:tbl>
    <w:p>
      <w:pPr>
        <w:spacing w:after="40"/>
      </w:pPr>
    </w:p>
    <w:p>
      <w:pPr>
        <w:pStyle w:val="Heading2"/>
      </w:pPr>
      <w:r>
        <w:t>First-Attempt Record</w:t>
      </w:r>
    </w:p>
    <w:tbl>
      <w:tblPr>
        <w:tblW w:type="dxa" w:w="10560"/>
        <w:jc w:val="center"/>
        <w:tblLayout w:type="fixed"/>
        <w:tblLook w:firstColumn="1" w:firstRow="1" w:lastColumn="0" w:lastRow="0" w:noHBand="0" w:noVBand="1" w:val="04A0"/>
        <w:tblInd w:w="0" w:type="dxa"/>
      </w:tblPr>
      <w:tblGrid>
        <w:gridCol w:w="2100"/>
        <w:gridCol w:w="3180"/>
        <w:gridCol w:w="2100"/>
        <w:gridCol w:w="3180"/>
      </w:tblGrid>
      <w:tr>
        <w:trPr>
          <w:tblHeader w:val="true"/>
          <w:cantSplit/>
        </w:trPr>
        <w:tc>
          <w:tcPr>
            <w:tcW w:type="dxa" w:w="2100"/>
            <w:shd w:fill="12385B"/>
            <w:tcMar>
              <w:top w:w="90" w:type="dxa"/>
              <w:start w:w="120" w:type="dxa"/>
              <w:bottom w:w="90" w:type="dxa"/>
              <w:end w:w="120" w:type="dxa"/>
            </w:tcMar>
            <w:vAlign w:val="center"/>
          </w:tcPr>
          <w:p>
            <w:pPr>
              <w:spacing w:after="0"/>
            </w:pPr>
            <w:r/>
            <w:r>
              <w:rPr>
                <w:rFonts w:ascii="Liberation Sans" w:hAnsi="Liberation Sans"/>
                <w:b/>
                <w:color w:val="FFFFFF"/>
                <w:sz w:val="16"/>
              </w:rPr>
              <w:t>Measure</w:t>
            </w:r>
          </w:p>
        </w:tc>
        <w:tc>
          <w:tcPr>
            <w:tcW w:type="dxa" w:w="3180"/>
            <w:shd w:fill="12385B"/>
            <w:tcMar>
              <w:top w:w="90" w:type="dxa"/>
              <w:start w:w="120" w:type="dxa"/>
              <w:bottom w:w="90" w:type="dxa"/>
              <w:end w:w="120" w:type="dxa"/>
            </w:tcMar>
            <w:vAlign w:val="center"/>
          </w:tcPr>
          <w:p>
            <w:pPr>
              <w:spacing w:after="0"/>
            </w:pPr>
            <w:r/>
            <w:r>
              <w:rPr>
                <w:rFonts w:ascii="Liberation Sans" w:hAnsi="Liberation Sans"/>
                <w:b/>
                <w:color w:val="FFFFFF"/>
                <w:sz w:val="16"/>
              </w:rPr>
              <w:t>Entry</w:t>
            </w:r>
          </w:p>
        </w:tc>
        <w:tc>
          <w:tcPr>
            <w:tcW w:type="dxa" w:w="2100"/>
            <w:shd w:fill="12385B"/>
            <w:tcMar>
              <w:top w:w="90" w:type="dxa"/>
              <w:start w:w="120" w:type="dxa"/>
              <w:bottom w:w="90" w:type="dxa"/>
              <w:end w:w="120" w:type="dxa"/>
            </w:tcMar>
            <w:vAlign w:val="center"/>
          </w:tcPr>
          <w:p>
            <w:pPr>
              <w:spacing w:after="0"/>
            </w:pPr>
            <w:r/>
            <w:r>
              <w:rPr>
                <w:rFonts w:ascii="Liberation Sans" w:hAnsi="Liberation Sans"/>
                <w:b/>
                <w:color w:val="FFFFFF"/>
                <w:sz w:val="16"/>
              </w:rPr>
              <w:t>Measure</w:t>
            </w:r>
          </w:p>
        </w:tc>
        <w:tc>
          <w:tcPr>
            <w:tcW w:type="dxa" w:w="3180"/>
            <w:shd w:fill="12385B"/>
            <w:tcMar>
              <w:top w:w="90" w:type="dxa"/>
              <w:start w:w="120" w:type="dxa"/>
              <w:bottom w:w="90" w:type="dxa"/>
              <w:end w:w="120" w:type="dxa"/>
            </w:tcMar>
            <w:vAlign w:val="center"/>
          </w:tcPr>
          <w:p>
            <w:pPr>
              <w:spacing w:after="0"/>
            </w:pPr>
            <w:r/>
            <w:r>
              <w:rPr>
                <w:rFonts w:ascii="Liberation Sans" w:hAnsi="Liberation Sans"/>
                <w:b/>
                <w:color w:val="FFFFFF"/>
                <w:sz w:val="16"/>
              </w:rPr>
              <w:t>Entry</w:t>
            </w:r>
          </w:p>
        </w:tc>
      </w:tr>
      <w:tr>
        <w:trPr>
          <w:cantSplit/>
        </w:trPr>
        <w:tc>
          <w:tcPr>
            <w:tcW w:type="dxa" w:w="2100"/>
            <w:tcMar>
              <w:top w:w="85" w:type="dxa"/>
              <w:start w:w="120" w:type="dxa"/>
              <w:bottom w:w="85" w:type="dxa"/>
              <w:end w:w="120" w:type="dxa"/>
            </w:tcMar>
            <w:vAlign w:val="center"/>
          </w:tcPr>
          <w:p>
            <w:pPr>
              <w:spacing w:after="0" w:line="240" w:lineRule="auto"/>
            </w:pPr>
            <w:r/>
            <w:r>
              <w:rPr>
                <w:rFonts w:ascii="Liberation Sans" w:hAnsi="Liberation Sans"/>
                <w:color w:val="1E2D38"/>
                <w:sz w:val="16"/>
              </w:rPr>
              <w:t>Correct</w:t>
            </w:r>
          </w:p>
        </w:tc>
        <w:tc>
          <w:tcPr>
            <w:tcW w:type="dxa" w:w="3180"/>
            <w:tcMar>
              <w:top w:w="85" w:type="dxa"/>
              <w:start w:w="120" w:type="dxa"/>
              <w:bottom w:w="85" w:type="dxa"/>
              <w:end w:w="120" w:type="dxa"/>
            </w:tcMar>
            <w:vAlign w:val="center"/>
          </w:tcPr>
          <w:p>
            <w:pPr>
              <w:spacing w:after="0" w:line="240" w:lineRule="auto"/>
            </w:pPr>
            <w:r/>
            <w:r>
              <w:rPr>
                <w:rFonts w:ascii="Liberation Sans" w:hAnsi="Liberation Sans"/>
                <w:color w:val="1E2D38"/>
                <w:sz w:val="16"/>
              </w:rPr>
              <w:t>____ / 17</w:t>
            </w:r>
          </w:p>
        </w:tc>
        <w:tc>
          <w:tcPr>
            <w:tcW w:type="dxa" w:w="2100"/>
            <w:tcMar>
              <w:top w:w="85" w:type="dxa"/>
              <w:start w:w="120" w:type="dxa"/>
              <w:bottom w:w="85" w:type="dxa"/>
              <w:end w:w="120" w:type="dxa"/>
            </w:tcMar>
            <w:vAlign w:val="center"/>
          </w:tcPr>
          <w:p>
            <w:pPr>
              <w:spacing w:after="0" w:line="240" w:lineRule="auto"/>
            </w:pPr>
            <w:r/>
            <w:r>
              <w:rPr>
                <w:rFonts w:ascii="Liberation Sans" w:hAnsi="Liberation Sans"/>
                <w:color w:val="1E2D38"/>
                <w:sz w:val="16"/>
              </w:rPr>
              <w:t>Percentage</w:t>
            </w:r>
          </w:p>
        </w:tc>
        <w:tc>
          <w:tcPr>
            <w:tcW w:type="dxa" w:w="3180"/>
            <w:tcMar>
              <w:top w:w="85" w:type="dxa"/>
              <w:start w:w="120" w:type="dxa"/>
              <w:bottom w:w="85" w:type="dxa"/>
              <w:end w:w="120" w:type="dxa"/>
            </w:tcMar>
            <w:vAlign w:val="center"/>
          </w:tcPr>
          <w:p>
            <w:pPr>
              <w:spacing w:after="0" w:line="240" w:lineRule="auto"/>
            </w:pPr>
            <w:r/>
            <w:r>
              <w:rPr>
                <w:rFonts w:ascii="Liberation Sans" w:hAnsi="Liberation Sans"/>
                <w:color w:val="1E2D38"/>
                <w:sz w:val="16"/>
              </w:rPr>
              <w:t>________ %</w:t>
            </w:r>
          </w:p>
        </w:tc>
      </w:tr>
      <w:tr>
        <w:trPr>
          <w:cantSplit/>
        </w:trPr>
        <w:tc>
          <w:tcPr>
            <w:tcW w:type="dxa" w:w="210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6"/>
              </w:rPr>
              <w:t>Time used</w:t>
            </w:r>
          </w:p>
        </w:tc>
        <w:tc>
          <w:tcPr>
            <w:tcW w:type="dxa" w:w="318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6"/>
              </w:rPr>
              <w:t>________ minutes</w:t>
            </w:r>
          </w:p>
        </w:tc>
        <w:tc>
          <w:tcPr>
            <w:tcW w:type="dxa" w:w="210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6"/>
              </w:rPr>
              <w:t>Within 23 min?</w:t>
            </w:r>
          </w:p>
        </w:tc>
        <w:tc>
          <w:tcPr>
            <w:tcW w:type="dxa" w:w="318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6"/>
              </w:rPr>
              <w:t>[ ] Yes  [ ] No</w:t>
            </w:r>
          </w:p>
        </w:tc>
      </w:tr>
      <w:tr>
        <w:trPr>
          <w:cantSplit/>
        </w:trPr>
        <w:tc>
          <w:tcPr>
            <w:tcW w:type="dxa" w:w="2100"/>
            <w:tcMar>
              <w:top w:w="85" w:type="dxa"/>
              <w:start w:w="120" w:type="dxa"/>
              <w:bottom w:w="85" w:type="dxa"/>
              <w:end w:w="120" w:type="dxa"/>
            </w:tcMar>
            <w:vAlign w:val="center"/>
          </w:tcPr>
          <w:p>
            <w:pPr>
              <w:spacing w:after="0" w:line="240" w:lineRule="auto"/>
            </w:pPr>
            <w:r/>
            <w:r>
              <w:rPr>
                <w:rFonts w:ascii="Liberation Sans" w:hAnsi="Liberation Sans"/>
                <w:color w:val="1E2D38"/>
                <w:sz w:val="16"/>
              </w:rPr>
              <w:t>High-confidence correct</w:t>
            </w:r>
          </w:p>
        </w:tc>
        <w:tc>
          <w:tcPr>
            <w:tcW w:type="dxa" w:w="3180"/>
            <w:tcMar>
              <w:top w:w="85" w:type="dxa"/>
              <w:start w:w="120" w:type="dxa"/>
              <w:bottom w:w="85" w:type="dxa"/>
              <w:end w:w="120" w:type="dxa"/>
            </w:tcMar>
            <w:vAlign w:val="center"/>
          </w:tcPr>
          <w:p>
            <w:pPr>
              <w:spacing w:after="0" w:line="240" w:lineRule="auto"/>
            </w:pPr>
            <w:r/>
            <w:r>
              <w:rPr>
                <w:rFonts w:ascii="Liberation Sans" w:hAnsi="Liberation Sans"/>
                <w:color w:val="1E2D38"/>
                <w:sz w:val="16"/>
              </w:rPr>
              <w:t>________</w:t>
            </w:r>
          </w:p>
        </w:tc>
        <w:tc>
          <w:tcPr>
            <w:tcW w:type="dxa" w:w="2100"/>
            <w:tcMar>
              <w:top w:w="85" w:type="dxa"/>
              <w:start w:w="120" w:type="dxa"/>
              <w:bottom w:w="85" w:type="dxa"/>
              <w:end w:w="120" w:type="dxa"/>
            </w:tcMar>
            <w:vAlign w:val="center"/>
          </w:tcPr>
          <w:p>
            <w:pPr>
              <w:spacing w:after="0" w:line="240" w:lineRule="auto"/>
            </w:pPr>
            <w:r/>
            <w:r>
              <w:rPr>
                <w:rFonts w:ascii="Liberation Sans" w:hAnsi="Liberation Sans"/>
                <w:color w:val="1E2D38"/>
                <w:sz w:val="16"/>
              </w:rPr>
              <w:t>Low-confidence correct</w:t>
            </w:r>
          </w:p>
        </w:tc>
        <w:tc>
          <w:tcPr>
            <w:tcW w:type="dxa" w:w="3180"/>
            <w:tcMar>
              <w:top w:w="85" w:type="dxa"/>
              <w:start w:w="120" w:type="dxa"/>
              <w:bottom w:w="85" w:type="dxa"/>
              <w:end w:w="120" w:type="dxa"/>
            </w:tcMar>
            <w:vAlign w:val="center"/>
          </w:tcPr>
          <w:p>
            <w:pPr>
              <w:spacing w:after="0" w:line="240" w:lineRule="auto"/>
            </w:pPr>
            <w:r/>
            <w:r>
              <w:rPr>
                <w:rFonts w:ascii="Liberation Sans" w:hAnsi="Liberation Sans"/>
                <w:color w:val="1E2D38"/>
                <w:sz w:val="16"/>
              </w:rPr>
              <w:t>________</w:t>
            </w:r>
          </w:p>
        </w:tc>
      </w:tr>
      <w:tr>
        <w:trPr>
          <w:cantSplit/>
        </w:trPr>
        <w:tc>
          <w:tcPr>
            <w:tcW w:type="dxa" w:w="210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6"/>
              </w:rPr>
              <w:t>Incorrect</w:t>
            </w:r>
          </w:p>
        </w:tc>
        <w:tc>
          <w:tcPr>
            <w:tcW w:type="dxa" w:w="318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6"/>
              </w:rPr>
              <w:t>________</w:t>
            </w:r>
          </w:p>
        </w:tc>
        <w:tc>
          <w:tcPr>
            <w:tcW w:type="dxa" w:w="210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6"/>
              </w:rPr>
              <w:t>Unanswered</w:t>
            </w:r>
          </w:p>
        </w:tc>
        <w:tc>
          <w:tcPr>
            <w:tcW w:type="dxa" w:w="318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6"/>
              </w:rPr>
              <w:t>________</w:t>
            </w:r>
          </w:p>
        </w:tc>
      </w:tr>
      <w:tr>
        <w:trPr>
          <w:cantSplit/>
        </w:trPr>
        <w:tc>
          <w:tcPr>
            <w:tcW w:type="dxa" w:w="2100"/>
            <w:tcMar>
              <w:top w:w="85" w:type="dxa"/>
              <w:start w:w="120" w:type="dxa"/>
              <w:bottom w:w="85" w:type="dxa"/>
              <w:end w:w="120" w:type="dxa"/>
            </w:tcMar>
            <w:vAlign w:val="center"/>
          </w:tcPr>
          <w:p>
            <w:pPr>
              <w:spacing w:after="0" w:line="240" w:lineRule="auto"/>
            </w:pPr>
            <w:r/>
            <w:r>
              <w:rPr>
                <w:rFonts w:ascii="Liberation Sans" w:hAnsi="Liberation Sans"/>
                <w:color w:val="1E2D38"/>
                <w:sz w:val="16"/>
              </w:rPr>
              <w:t>Retake date</w:t>
            </w:r>
          </w:p>
        </w:tc>
        <w:tc>
          <w:tcPr>
            <w:tcW w:type="dxa" w:w="3180"/>
            <w:tcMar>
              <w:top w:w="85" w:type="dxa"/>
              <w:start w:w="120" w:type="dxa"/>
              <w:bottom w:w="85" w:type="dxa"/>
              <w:end w:w="120" w:type="dxa"/>
            </w:tcMar>
            <w:vAlign w:val="center"/>
          </w:tcPr>
          <w:p>
            <w:pPr>
              <w:spacing w:after="0" w:line="240" w:lineRule="auto"/>
            </w:pPr>
            <w:r/>
            <w:r>
              <w:rPr>
                <w:rFonts w:ascii="Liberation Sans" w:hAnsi="Liberation Sans"/>
                <w:color w:val="1E2D38"/>
                <w:sz w:val="16"/>
              </w:rPr>
              <w:t>________________</w:t>
            </w:r>
          </w:p>
        </w:tc>
        <w:tc>
          <w:tcPr>
            <w:tcW w:type="dxa" w:w="2100"/>
            <w:tcMar>
              <w:top w:w="85" w:type="dxa"/>
              <w:start w:w="120" w:type="dxa"/>
              <w:bottom w:w="85" w:type="dxa"/>
              <w:end w:w="120" w:type="dxa"/>
            </w:tcMar>
            <w:vAlign w:val="center"/>
          </w:tcPr>
          <w:p>
            <w:pPr>
              <w:spacing w:after="0" w:line="240" w:lineRule="auto"/>
            </w:pPr>
            <w:r/>
            <w:r>
              <w:rPr>
                <w:rFonts w:ascii="Liberation Sans" w:hAnsi="Liberation Sans"/>
                <w:color w:val="1E2D38"/>
                <w:sz w:val="16"/>
              </w:rPr>
              <w:t>Retake score</w:t>
            </w:r>
          </w:p>
        </w:tc>
        <w:tc>
          <w:tcPr>
            <w:tcW w:type="dxa" w:w="3180"/>
            <w:tcMar>
              <w:top w:w="85" w:type="dxa"/>
              <w:start w:w="120" w:type="dxa"/>
              <w:bottom w:w="85" w:type="dxa"/>
              <w:end w:w="120" w:type="dxa"/>
            </w:tcMar>
            <w:vAlign w:val="center"/>
          </w:tcPr>
          <w:p>
            <w:pPr>
              <w:spacing w:after="0" w:line="240" w:lineRule="auto"/>
            </w:pPr>
            <w:r/>
            <w:r>
              <w:rPr>
                <w:rFonts w:ascii="Liberation Sans" w:hAnsi="Liberation Sans"/>
                <w:color w:val="1E2D38"/>
                <w:sz w:val="16"/>
              </w:rPr>
              <w:t>____ / 17</w:t>
            </w:r>
          </w:p>
        </w:tc>
      </w:tr>
    </w:tbl>
    <w:p>
      <w:pPr>
        <w:spacing w:after="40"/>
      </w:pPr>
    </w:p>
    <w:p>
      <w:pPr>
        <w:pStyle w:val="Heading2"/>
      </w:pPr>
      <w:r>
        <w:t>Item Review Log</w:t>
      </w:r>
    </w:p>
    <w:tbl>
      <w:tblPr>
        <w:tblW w:type="dxa" w:w="10560"/>
        <w:jc w:val="center"/>
        <w:tblLayout w:type="fixed"/>
        <w:tblLook w:firstColumn="1" w:firstRow="1" w:lastColumn="0" w:lastRow="0" w:noHBand="0" w:noVBand="1" w:val="04A0"/>
        <w:tblInd w:w="0" w:type="dxa"/>
      </w:tblPr>
      <w:tblGrid>
        <w:gridCol w:w="700"/>
        <w:gridCol w:w="1250"/>
        <w:gridCol w:w="1500"/>
        <w:gridCol w:w="2700"/>
        <w:gridCol w:w="4410"/>
      </w:tblGrid>
      <w:tr>
        <w:trPr>
          <w:tblHeader w:val="true"/>
          <w:cantSplit/>
        </w:trPr>
        <w:tc>
          <w:tcPr>
            <w:tcW w:type="dxa" w:w="700"/>
            <w:shd w:fill="12385B"/>
            <w:tcMar>
              <w:top w:w="90" w:type="dxa"/>
              <w:start w:w="120" w:type="dxa"/>
              <w:bottom w:w="90" w:type="dxa"/>
              <w:end w:w="120" w:type="dxa"/>
            </w:tcMar>
            <w:vAlign w:val="center"/>
          </w:tcPr>
          <w:p>
            <w:pPr>
              <w:spacing w:after="0"/>
            </w:pPr>
            <w:r/>
            <w:r>
              <w:rPr>
                <w:rFonts w:ascii="Liberation Sans" w:hAnsi="Liberation Sans"/>
                <w:b/>
                <w:color w:val="FFFFFF"/>
                <w:sz w:val="16"/>
              </w:rPr>
              <w:t>Item</w:t>
            </w:r>
          </w:p>
        </w:tc>
        <w:tc>
          <w:tcPr>
            <w:tcW w:type="dxa" w:w="1250"/>
            <w:shd w:fill="12385B"/>
            <w:tcMar>
              <w:top w:w="90" w:type="dxa"/>
              <w:start w:w="120" w:type="dxa"/>
              <w:bottom w:w="90" w:type="dxa"/>
              <w:end w:w="120" w:type="dxa"/>
            </w:tcMar>
            <w:vAlign w:val="center"/>
          </w:tcPr>
          <w:p>
            <w:pPr>
              <w:spacing w:after="0"/>
            </w:pPr>
            <w:r/>
            <w:r>
              <w:rPr>
                <w:rFonts w:ascii="Liberation Sans" w:hAnsi="Liberation Sans"/>
                <w:b/>
                <w:color w:val="FFFFFF"/>
                <w:sz w:val="16"/>
              </w:rPr>
              <w:t>Result</w:t>
            </w:r>
          </w:p>
        </w:tc>
        <w:tc>
          <w:tcPr>
            <w:tcW w:type="dxa" w:w="1500"/>
            <w:shd w:fill="12385B"/>
            <w:tcMar>
              <w:top w:w="90" w:type="dxa"/>
              <w:start w:w="120" w:type="dxa"/>
              <w:bottom w:w="90" w:type="dxa"/>
              <w:end w:w="120" w:type="dxa"/>
            </w:tcMar>
            <w:vAlign w:val="center"/>
          </w:tcPr>
          <w:p>
            <w:pPr>
              <w:spacing w:after="0"/>
            </w:pPr>
            <w:r/>
            <w:r>
              <w:rPr>
                <w:rFonts w:ascii="Liberation Sans" w:hAnsi="Liberation Sans"/>
                <w:b/>
                <w:color w:val="FFFFFF"/>
                <w:sz w:val="16"/>
              </w:rPr>
              <w:t>Confidence</w:t>
            </w:r>
          </w:p>
        </w:tc>
        <w:tc>
          <w:tcPr>
            <w:tcW w:type="dxa" w:w="2700"/>
            <w:shd w:fill="12385B"/>
            <w:tcMar>
              <w:top w:w="90" w:type="dxa"/>
              <w:start w:w="120" w:type="dxa"/>
              <w:bottom w:w="90" w:type="dxa"/>
              <w:end w:w="120" w:type="dxa"/>
            </w:tcMar>
            <w:vAlign w:val="center"/>
          </w:tcPr>
          <w:p>
            <w:pPr>
              <w:spacing w:after="0"/>
            </w:pPr>
            <w:r/>
            <w:r>
              <w:rPr>
                <w:rFonts w:ascii="Liberation Sans" w:hAnsi="Liberation Sans"/>
                <w:b/>
                <w:color w:val="FFFFFF"/>
                <w:sz w:val="16"/>
              </w:rPr>
              <w:t>Reasoning pattern</w:t>
            </w:r>
          </w:p>
        </w:tc>
        <w:tc>
          <w:tcPr>
            <w:tcW w:type="dxa" w:w="4410"/>
            <w:shd w:fill="12385B"/>
            <w:tcMar>
              <w:top w:w="90" w:type="dxa"/>
              <w:start w:w="120" w:type="dxa"/>
              <w:bottom w:w="90" w:type="dxa"/>
              <w:end w:w="120" w:type="dxa"/>
            </w:tcMar>
            <w:vAlign w:val="center"/>
          </w:tcPr>
          <w:p>
            <w:pPr>
              <w:spacing w:after="0"/>
            </w:pPr>
            <w:r/>
            <w:r>
              <w:rPr>
                <w:rFonts w:ascii="Liberation Sans" w:hAnsi="Liberation Sans"/>
                <w:b/>
                <w:color w:val="FFFFFF"/>
                <w:sz w:val="16"/>
              </w:rPr>
              <w:t>Transfer rule / next action</w:t>
            </w:r>
          </w:p>
        </w:tc>
      </w:tr>
      <w:tr>
        <w:trPr>
          <w:cantSplit/>
        </w:trPr>
        <w:tc>
          <w:tcPr>
            <w:tcW w:type="dxa" w:w="700"/>
            <w:tcMar>
              <w:top w:w="35" w:type="dxa"/>
              <w:start w:w="120" w:type="dxa"/>
              <w:bottom w:w="35" w:type="dxa"/>
              <w:end w:w="120" w:type="dxa"/>
            </w:tcMar>
            <w:vAlign w:val="center"/>
          </w:tcPr>
          <w:p>
            <w:pPr>
              <w:spacing w:after="0" w:line="240" w:lineRule="auto"/>
            </w:pPr>
            <w:r/>
            <w:r>
              <w:rPr>
                <w:rFonts w:ascii="Liberation Sans" w:hAnsi="Liberation Sans"/>
                <w:color w:val="1E2D38"/>
                <w:sz w:val="15"/>
              </w:rPr>
              <w:t>1</w:t>
            </w:r>
          </w:p>
        </w:tc>
        <w:tc>
          <w:tcPr>
            <w:tcW w:type="dxa" w:w="125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t>2</w:t>
            </w:r>
          </w:p>
        </w:tc>
        <w:tc>
          <w:tcPr>
            <w:tcW w:type="dxa" w:w="125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tcPr>
          <w:p>
            <w:pPr>
              <w:spacing w:after="0" w:line="240" w:lineRule="auto"/>
            </w:pPr>
            <w:r/>
            <w:r>
              <w:rPr>
                <w:rFonts w:ascii="Liberation Sans" w:hAnsi="Liberation Sans"/>
                <w:color w:val="1E2D38"/>
                <w:sz w:val="15"/>
              </w:rPr>
              <w:t>3</w:t>
            </w:r>
          </w:p>
        </w:tc>
        <w:tc>
          <w:tcPr>
            <w:tcW w:type="dxa" w:w="125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t>4</w:t>
            </w:r>
          </w:p>
        </w:tc>
        <w:tc>
          <w:tcPr>
            <w:tcW w:type="dxa" w:w="125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tcPr>
          <w:p>
            <w:pPr>
              <w:spacing w:after="0" w:line="240" w:lineRule="auto"/>
            </w:pPr>
            <w:r/>
            <w:r>
              <w:rPr>
                <w:rFonts w:ascii="Liberation Sans" w:hAnsi="Liberation Sans"/>
                <w:color w:val="1E2D38"/>
                <w:sz w:val="15"/>
              </w:rPr>
              <w:t>5</w:t>
            </w:r>
          </w:p>
        </w:tc>
        <w:tc>
          <w:tcPr>
            <w:tcW w:type="dxa" w:w="125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t>6</w:t>
            </w:r>
          </w:p>
        </w:tc>
        <w:tc>
          <w:tcPr>
            <w:tcW w:type="dxa" w:w="125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tcPr>
          <w:p>
            <w:pPr>
              <w:spacing w:after="0" w:line="240" w:lineRule="auto"/>
            </w:pPr>
            <w:r/>
            <w:r>
              <w:rPr>
                <w:rFonts w:ascii="Liberation Sans" w:hAnsi="Liberation Sans"/>
                <w:color w:val="1E2D38"/>
                <w:sz w:val="15"/>
              </w:rPr>
              <w:t>7</w:t>
            </w:r>
          </w:p>
        </w:tc>
        <w:tc>
          <w:tcPr>
            <w:tcW w:type="dxa" w:w="125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t>8</w:t>
            </w:r>
          </w:p>
        </w:tc>
        <w:tc>
          <w:tcPr>
            <w:tcW w:type="dxa" w:w="125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tcPr>
          <w:p>
            <w:pPr>
              <w:spacing w:after="0" w:line="240" w:lineRule="auto"/>
            </w:pPr>
            <w:r/>
            <w:r>
              <w:rPr>
                <w:rFonts w:ascii="Liberation Sans" w:hAnsi="Liberation Sans"/>
                <w:color w:val="1E2D38"/>
                <w:sz w:val="15"/>
              </w:rPr>
              <w:t>9</w:t>
            </w:r>
          </w:p>
        </w:tc>
        <w:tc>
          <w:tcPr>
            <w:tcW w:type="dxa" w:w="125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t>10</w:t>
            </w:r>
          </w:p>
        </w:tc>
        <w:tc>
          <w:tcPr>
            <w:tcW w:type="dxa" w:w="125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tcPr>
          <w:p>
            <w:pPr>
              <w:spacing w:after="0" w:line="240" w:lineRule="auto"/>
            </w:pPr>
            <w:r/>
            <w:r>
              <w:rPr>
                <w:rFonts w:ascii="Liberation Sans" w:hAnsi="Liberation Sans"/>
                <w:color w:val="1E2D38"/>
                <w:sz w:val="15"/>
              </w:rPr>
              <w:t>11</w:t>
            </w:r>
          </w:p>
        </w:tc>
        <w:tc>
          <w:tcPr>
            <w:tcW w:type="dxa" w:w="125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t>12</w:t>
            </w:r>
          </w:p>
        </w:tc>
        <w:tc>
          <w:tcPr>
            <w:tcW w:type="dxa" w:w="125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tcPr>
          <w:p>
            <w:pPr>
              <w:spacing w:after="0" w:line="240" w:lineRule="auto"/>
            </w:pPr>
            <w:r/>
            <w:r>
              <w:rPr>
                <w:rFonts w:ascii="Liberation Sans" w:hAnsi="Liberation Sans"/>
                <w:color w:val="1E2D38"/>
                <w:sz w:val="15"/>
              </w:rPr>
              <w:t>13</w:t>
            </w:r>
          </w:p>
        </w:tc>
        <w:tc>
          <w:tcPr>
            <w:tcW w:type="dxa" w:w="125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t>14</w:t>
            </w:r>
          </w:p>
        </w:tc>
        <w:tc>
          <w:tcPr>
            <w:tcW w:type="dxa" w:w="125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tcPr>
          <w:p>
            <w:pPr>
              <w:spacing w:after="0" w:line="240" w:lineRule="auto"/>
            </w:pPr>
            <w:r/>
            <w:r>
              <w:rPr>
                <w:rFonts w:ascii="Liberation Sans" w:hAnsi="Liberation Sans"/>
                <w:color w:val="1E2D38"/>
                <w:sz w:val="15"/>
              </w:rPr>
              <w:t>15</w:t>
            </w:r>
          </w:p>
        </w:tc>
        <w:tc>
          <w:tcPr>
            <w:tcW w:type="dxa" w:w="125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t>16</w:t>
            </w:r>
          </w:p>
        </w:tc>
        <w:tc>
          <w:tcPr>
            <w:tcW w:type="dxa" w:w="125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tcPr>
          <w:p>
            <w:pPr>
              <w:spacing w:after="0" w:line="240" w:lineRule="auto"/>
            </w:pPr>
            <w:r/>
            <w:r>
              <w:rPr>
                <w:rFonts w:ascii="Liberation Sans" w:hAnsi="Liberation Sans"/>
                <w:color w:val="1E2D38"/>
                <w:sz w:val="15"/>
              </w:rPr>
              <w:t>17</w:t>
            </w:r>
          </w:p>
        </w:tc>
        <w:tc>
          <w:tcPr>
            <w:tcW w:type="dxa" w:w="125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r>
    </w:tbl>
    <w:p>
      <w:pPr>
        <w:spacing w:after="40"/>
      </w:pPr>
    </w:p>
    <w:p>
      <w:pPr>
        <w:pStyle w:val="Heading2"/>
        <w:pageBreakBefore/>
        <w:spacing w:before="640"/>
      </w:pPr>
      <w:r>
        <w:t>Remediation and Readiness Plan</w:t>
      </w:r>
    </w:p>
    <w:p>
      <w:pPr>
        <w:spacing w:after="40"/>
      </w:pPr>
      <w:r>
        <w:rPr>
          <w:rFonts w:ascii="Liberation Sans" w:hAnsi="Liberation Sans"/>
          <w:b/>
          <w:color w:val="12385B"/>
          <w:sz w:val="18"/>
        </w:rPr>
        <w:t>Items missed or answered with confidence 1-2:</w:t>
      </w:r>
    </w:p>
    <w:p>
      <w:pPr>
        <w:spacing w:after="120"/>
      </w:pPr>
      <w:r>
        <w:rPr>
          <w:rFonts w:ascii="Liberation Sans" w:hAnsi="Liberation Sans"/>
          <w:color w:val="5A6872"/>
          <w:sz w:val="18"/>
        </w:rPr>
        <w:t>______________________________________________________________________________________</w:t>
      </w:r>
    </w:p>
    <w:p>
      <w:pPr>
        <w:spacing w:after="40"/>
      </w:pPr>
      <w:r>
        <w:rPr>
          <w:rFonts w:ascii="Liberation Sans" w:hAnsi="Liberation Sans"/>
          <w:b/>
          <w:color w:val="12385B"/>
          <w:sz w:val="18"/>
        </w:rPr>
        <w:t>Most frequent reasoning error:</w:t>
      </w:r>
    </w:p>
    <w:p>
      <w:pPr>
        <w:spacing w:after="120"/>
      </w:pPr>
      <w:r>
        <w:rPr>
          <w:rFonts w:ascii="Liberation Sans" w:hAnsi="Liberation Sans"/>
          <w:color w:val="5A6872"/>
          <w:sz w:val="18"/>
        </w:rPr>
        <w:t>______________________________________________________________________________________</w:t>
      </w:r>
    </w:p>
    <w:p>
      <w:pPr>
        <w:spacing w:after="40"/>
      </w:pPr>
      <w:r>
        <w:rPr>
          <w:rFonts w:ascii="Liberation Sans" w:hAnsi="Liberation Sans"/>
          <w:b/>
          <w:color w:val="12385B"/>
          <w:sz w:val="18"/>
        </w:rPr>
        <w:t>Workbook chapter or CTA tool to review:</w:t>
      </w:r>
    </w:p>
    <w:p>
      <w:pPr>
        <w:spacing w:after="120"/>
      </w:pPr>
      <w:r>
        <w:rPr>
          <w:rFonts w:ascii="Liberation Sans" w:hAnsi="Liberation Sans"/>
          <w:color w:val="5A6872"/>
          <w:sz w:val="18"/>
        </w:rPr>
        <w:t>______________________________________________________________________________________</w:t>
      </w:r>
    </w:p>
    <w:p>
      <w:pPr>
        <w:spacing w:after="40"/>
      </w:pPr>
      <w:r>
        <w:rPr>
          <w:rFonts w:ascii="Liberation Sans" w:hAnsi="Liberation Sans"/>
          <w:b/>
          <w:color w:val="12385B"/>
          <w:sz w:val="18"/>
        </w:rPr>
        <w:t>Specific repair rule I will apply:</w:t>
      </w:r>
    </w:p>
    <w:p>
      <w:pPr>
        <w:spacing w:after="120"/>
      </w:pPr>
      <w:r>
        <w:rPr>
          <w:rFonts w:ascii="Liberation Sans" w:hAnsi="Liberation Sans"/>
          <w:color w:val="5A6872"/>
          <w:sz w:val="18"/>
        </w:rPr>
        <w:t>______________________________________________________________________________________</w:t>
      </w:r>
    </w:p>
    <w:p>
      <w:pPr>
        <w:spacing w:after="40"/>
      </w:pPr>
      <w:r>
        <w:rPr>
          <w:rFonts w:ascii="Liberation Sans" w:hAnsi="Liberation Sans"/>
          <w:b/>
          <w:color w:val="12385B"/>
          <w:sz w:val="18"/>
        </w:rPr>
        <w:t>Practice action before retake:</w:t>
      </w:r>
    </w:p>
    <w:p>
      <w:pPr>
        <w:spacing w:after="120"/>
      </w:pPr>
      <w:r>
        <w:rPr>
          <w:rFonts w:ascii="Liberation Sans" w:hAnsi="Liberation Sans"/>
          <w:color w:val="5A6872"/>
          <w:sz w:val="18"/>
        </w:rPr>
        <w:t>______________________________________________________________________________________</w:t>
      </w:r>
    </w:p>
    <w:p>
      <w:pPr>
        <w:spacing w:after="40"/>
      </w:pPr>
      <w:r>
        <w:rPr>
          <w:rFonts w:ascii="Liberation Sans" w:hAnsi="Liberation Sans"/>
          <w:b/>
          <w:color w:val="12385B"/>
          <w:sz w:val="18"/>
        </w:rPr>
        <w:t>Evidence I am ready to retake:</w:t>
      </w:r>
    </w:p>
    <w:p>
      <w:pPr>
        <w:spacing w:after="120"/>
      </w:pPr>
      <w:r>
        <w:rPr>
          <w:rFonts w:ascii="Liberation Sans" w:hAnsi="Liberation Sans"/>
          <w:color w:val="5A6872"/>
          <w:sz w:val="18"/>
        </w:rPr>
        <w:t>______________________________________________________________________________________</w:t>
      </w:r>
    </w:p>
    <w:tbl>
      <w:tblPr>
        <w:tblW w:type="dxa" w:w="10560"/>
        <w:jc w:val="center"/>
        <w:tblLayout w:type="fixed"/>
        <w:tblLook w:firstColumn="1" w:firstRow="1" w:lastColumn="0" w:lastRow="0" w:noHBand="0" w:noVBand="1" w:val="04A0"/>
        <w:tblInd w:w="0" w:type="dxa"/>
      </w:tblPr>
      <w:tblGrid>
        <w:gridCol w:w="10560"/>
      </w:tblGrid>
      <w:tr>
        <w:trPr>
          <w:tblHeader w:val="true"/>
          <w:cantSplit/>
        </w:trPr>
        <w:tc>
          <w:tcPr>
            <w:tcW w:type="dxa" w:w="10560"/>
            <w:shd w:fill="E7F4F4"/>
            <w:tcMar>
              <w:top w:w="125" w:type="dxa"/>
              <w:start w:w="180" w:type="dxa"/>
              <w:bottom w:w="125" w:type="dxa"/>
              <w:end w:w="180" w:type="dxa"/>
            </w:tcMar>
          </w:tcPr>
          <w:p>
            <w:pPr>
              <w:spacing w:after="0" w:line="252" w:lineRule="auto"/>
            </w:pPr>
            <w:r>
              <w:rPr>
                <w:rFonts w:ascii="Liberation Sans" w:hAnsi="Liberation Sans"/>
                <w:b/>
                <w:color w:val="12385B"/>
                <w:sz w:val="18"/>
              </w:rPr>
              <w:t xml:space="preserve">READINESS GATE:  </w:t>
            </w:r>
            <w:r>
              <w:rPr>
                <w:rFonts w:ascii="Liberation Sans" w:hAnsi="Liberation Sans"/>
                <w:color w:val="1E2D38"/>
                <w:sz w:val="18"/>
              </w:rPr>
              <w:t>Do not rely on score alone. Review every incorrect response and every correct response marked with confidence 1 or 2. Retake after you can state the decision point, explain why the best option comes first, and identify the reasoning error in competing options.</w:t>
            </w:r>
          </w:p>
        </w:tc>
      </w:tr>
    </w:tbl>
    <w:p>
      <w:pPr>
        <w:spacing w:after="40"/>
      </w:pPr>
    </w:p>
    <w:p>
      <w:pPr>
        <w:jc w:val="center"/>
      </w:pPr>
      <w:r>
        <w:rPr>
          <w:rFonts w:ascii="Liberation Sans" w:hAnsi="Liberation Sans"/>
          <w:i/>
          <w:color w:val="5A6872"/>
          <w:sz w:val="17"/>
        </w:rPr>
        <w:t>Exam preparation only | No CE credit | Consult current official and jurisdictional sources</w:t>
      </w:r>
    </w:p>
    <w:sectPr w:rsidR="00FC693F" w:rsidRPr="0006063C" w:rsidSect="00034616">
      <w:headerReference w:type="default" r:id="rId9"/>
      <w:headerReference w:type="even" r:id="rId10"/>
      <w:footerReference w:type="default" r:id="rId11"/>
      <w:pgSz w:w="12240" w:h="15840"/>
      <w:pgMar w:top="1037" w:right="835" w:bottom="749" w:left="835" w:header="259"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A6872"/>
        <w:sz w:val="15"/>
      </w:rPr>
      <w:t xml:space="preserve">Exam preparation only | No CE credit | Workbook 9 Candidate Bank v1.0 | Page </w:t>
    </w:r>
    <w:r>
      <w:rPr>
        <w:rFonts w:ascii="Liberation Sans" w:hAnsi="Liberation Sans"/>
        <w:color w:val="5A6872"/>
        <w:sz w:val="15"/>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color w:val="1E2D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Liberation Sans" w:hAnsi="Liberation Sans"/>
      <w:b/>
      <w:bCs/>
      <w:color w:val="12385B"/>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13A6A6"/>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b/>
      <w:bCs/>
      <w:color w:val="12385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12385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Liberation Sans" w:hAnsi="Liberation Sans"/>
      <w:b w:val="0"/>
      <w:i/>
      <w:iCs/>
      <w:color w:val="13A6A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4" w:line="259" w:lineRule="auto"/>
      <w:contextualSpacing/>
    </w:pPr>
    <w:rPr>
      <w:rFonts w:ascii="Liberation Sans" w:hAnsi="Liberation Sans"/>
      <w:color w:val="1E2D38"/>
      <w:sz w:val="19"/>
    </w:rPr>
  </w:style>
  <w:style w:type="paragraph" w:styleId="ListBullet2">
    <w:name w:val="List Bullet 2"/>
    <w:basedOn w:val="Normal"/>
    <w:uiPriority w:val="99"/>
    <w:unhideWhenUsed/>
    <w:rsid w:val="00326F90"/>
    <w:pPr>
      <w:numPr>
        <w:numId w:val="2"/>
      </w:numPr>
      <w:spacing w:after="64" w:line="259" w:lineRule="auto"/>
      <w:contextualSpacing/>
    </w:pPr>
    <w:rPr>
      <w:rFonts w:ascii="Liberation Sans" w:hAnsi="Liberation Sans"/>
      <w:color w:val="1E2D38"/>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4" w:line="259" w:lineRule="auto"/>
      <w:contextualSpacing/>
    </w:pPr>
    <w:rPr>
      <w:rFonts w:ascii="Liberation Sans" w:hAnsi="Liberation Sans"/>
      <w:color w:val="1E2D38"/>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AMFTRB Workbook 9 17-Question Candidate Bank</dc:title>
  <dc:subject>Original one-best-answer exam-preparation items; no CE credit</dc:subject>
  <dc:creator>Clinical Training and Supervision Academy</dc:creator>
  <cp:keywords>LMFT, AMFTRB, exam preparation, complex presentations, substance use, recovery, sexuality, health, development, grief, integrated care</cp:keywords>
  <dc:description>Learner candidate bank. Answers and rationales are maintained in a separate controlled file.</dc:description>
  <cp:lastModifiedBy/>
  <cp:revision>1</cp:revision>
  <dcterms:created xsi:type="dcterms:W3CDTF">2013-12-23T23:15:00Z</dcterms:created>
  <dcterms:modified xsi:type="dcterms:W3CDTF">2013-12-23T23:15:00Z</dcterms:modified>
  <cp:category/>
</cp:coreProperties>
</file>