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jc w:val="center"/>
      </w:pPr>
      <w:r>
        <w:drawing>
          <wp:inline xmlns:a="http://schemas.openxmlformats.org/drawingml/2006/main" xmlns:pic="http://schemas.openxmlformats.org/drawingml/2006/picture">
            <wp:extent cx="1298448" cy="938579"/>
            <wp:docPr id="1" name="Picture 1" descr="Clinical Training and Supervision Academy stacked logo with tree, people, and shield" title="Clinical Training and Supervision Academy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1298448" cy="938579"/>
                    </a:xfrm>
                    <a:prstGeom prst="rect"/>
                  </pic:spPr>
                </pic:pic>
              </a:graphicData>
            </a:graphic>
          </wp:inline>
        </w:drawing>
      </w:r>
    </w:p>
    <w:p>
      <w:pPr>
        <w:spacing w:after="60"/>
        <w:jc w:val="center"/>
      </w:pPr>
      <w:r>
        <w:rPr>
          <w:rFonts w:ascii="Calibri" w:hAnsi="Calibri"/>
          <w:b/>
          <w:color w:val="0B2545"/>
          <w:sz w:val="40"/>
        </w:rPr>
        <w:t>CTA LMFT AMFTRB</w:t>
      </w:r>
    </w:p>
    <w:p>
      <w:pPr>
        <w:spacing w:after="280"/>
        <w:jc w:val="center"/>
      </w:pPr>
      <w:r>
        <w:rPr>
          <w:rFonts w:ascii="Calibri" w:hAnsi="Calibri"/>
          <w:b/>
          <w:color w:val="087E76"/>
          <w:sz w:val="21"/>
        </w:rPr>
        <w:t>NATIONAL EXAM PREPARATION PROGRAM</w:t>
      </w:r>
    </w:p>
    <w:p>
      <w:pPr>
        <w:pStyle w:val="Title"/>
        <w:jc w:val="center"/>
      </w:pPr>
      <w:r>
        <w:t>Checkpoint 2</w:t>
        <w:br/>
        <w:t>Controlled Answer Key and Detailed Rationales</w:t>
      </w:r>
    </w:p>
    <w:p>
      <w:pPr>
        <w:pStyle w:val="Subtitle"/>
        <w:jc w:val="center"/>
      </w:pPr>
      <w:r>
        <w:t>60 synchronized items | 240 option-specific rationales | 80-minute first-attempt form</w:t>
      </w:r>
    </w:p>
    <w:p>
      <w:pPr>
        <w:spacing w:before="40" w:after="10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20"/>
        </w:rPr>
        <w:t xml:space="preserve">CONTROLLED USE  </w:t>
      </w:r>
      <w:r>
        <w:rPr>
          <w:rFonts w:ascii="Calibri" w:hAnsi="Calibri"/>
          <w:color w:val="1D2939"/>
          <w:sz w:val="20"/>
        </w:rPr>
        <w:t>Release only after the candidate completes and preserves the timed first attempt. Do not place this file in an unrestricted learner area, public website, or shared answer-visible folder.</w:t>
      </w:r>
    </w:p>
    <w:p>
      <w:pPr>
        <w:spacing w:before="40" w:after="10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PROGRAM DESIGNATION  </w:t>
      </w:r>
      <w:r>
        <w:rPr>
          <w:rFonts w:ascii="Calibri" w:hAnsi="Calibri"/>
          <w:color w:val="1D2939"/>
          <w:sz w:val="20"/>
        </w:rPr>
        <w:t>Original CTA national-exam practice support | Separate from California Clinical and California Law and Ethics products | Editable Word document | No CE credit.</w:t>
      </w:r>
    </w:p>
    <w:p>
      <w:pPr>
        <w:spacing w:before="40" w:after="100" w:line="250" w:lineRule="auto"/>
        <w:ind w:left="86" w:right="86"/>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SCORE INTERPRETATION  </w:t>
      </w:r>
      <w:r>
        <w:rPr>
          <w:rFonts w:ascii="Calibri" w:hAnsi="Calibri"/>
          <w:color w:val="1D2939"/>
          <w:sz w:val="20"/>
        </w:rPr>
        <w:t>Report raw performance only. This CTA checkpoint does not establish, estimate, or predict an official AMFTRB passing score or scaled score.</w:t>
      </w:r>
    </w:p>
    <w:p>
      <w:pPr>
        <w:spacing w:before="120"/>
        <w:jc w:val="center"/>
      </w:pPr>
      <w:r>
        <w:rPr>
          <w:rFonts w:ascii="Calibri" w:hAnsi="Calibri"/>
          <w:i/>
          <w:color w:val="667085"/>
          <w:sz w:val="18"/>
        </w:rPr>
        <w:t>Version 1.0 | August 3, 2026 | Internal Controlled Use | Exam Preparation Only | No CE Credit</w:t>
      </w:r>
    </w:p>
    <w:p>
      <w:r>
        <w:br w:type="page"/>
      </w:r>
    </w:p>
    <w:p>
      <w:pPr>
        <w:pStyle w:val="Heading1"/>
      </w:pPr>
      <w:r>
        <w:t>Scoring and Controlled Review</w:t>
      </w:r>
    </w:p>
    <w:p>
      <w:pPr>
        <w:spacing w:after="100"/>
      </w:pPr>
      <w:r>
        <w:rPr>
          <w:rFonts w:ascii="Calibri" w:hAnsi="Calibri"/>
          <w:b/>
          <w:color w:val="0B2545"/>
          <w:sz w:val="20"/>
        </w:rPr>
        <w:t xml:space="preserve">1. </w:t>
      </w:r>
      <w:r>
        <w:rPr>
          <w:rFonts w:ascii="Calibri" w:hAnsi="Calibri"/>
          <w:color w:val="1D2939"/>
          <w:sz w:val="20"/>
        </w:rPr>
        <w:t>Score the preserved first attempt using the compact key. Record the raw total, time used, confidence profile, and raw domain profile.</w:t>
      </w:r>
    </w:p>
    <w:p>
      <w:pPr>
        <w:spacing w:after="100"/>
      </w:pPr>
      <w:r>
        <w:rPr>
          <w:rFonts w:ascii="Calibri" w:hAnsi="Calibri"/>
          <w:b/>
          <w:color w:val="0B2545"/>
          <w:sz w:val="20"/>
        </w:rPr>
        <w:t xml:space="preserve">2. </w:t>
      </w:r>
      <w:r>
        <w:rPr>
          <w:rFonts w:ascii="Calibri" w:hAnsi="Calibri"/>
          <w:color w:val="1D2939"/>
          <w:sz w:val="20"/>
        </w:rPr>
        <w:t>Review every incorrect response and every correct response marked confidence 1 or 2. Read all four option rationales before writing a repair rule.</w:t>
      </w:r>
    </w:p>
    <w:p>
      <w:pPr>
        <w:spacing w:after="100"/>
      </w:pPr>
      <w:r>
        <w:rPr>
          <w:rFonts w:ascii="Calibri" w:hAnsi="Calibri"/>
          <w:b/>
          <w:color w:val="0B2545"/>
          <w:sz w:val="20"/>
        </w:rPr>
        <w:t xml:space="preserve">3. </w:t>
      </w:r>
      <w:r>
        <w:rPr>
          <w:rFonts w:ascii="Calibri" w:hAnsi="Calibri"/>
          <w:color w:val="1D2939"/>
          <w:sz w:val="20"/>
        </w:rPr>
        <w:t>Assign the blueprint remediation code and any recurring secondary reasoning pattern. Remediate the decision process, not only the content fact.</w:t>
      </w:r>
    </w:p>
    <w:p>
      <w:pPr>
        <w:spacing w:after="100"/>
      </w:pPr>
      <w:r>
        <w:rPr>
          <w:rFonts w:ascii="Calibri" w:hAnsi="Calibri"/>
          <w:b/>
          <w:color w:val="0B2545"/>
          <w:sz w:val="20"/>
        </w:rPr>
        <w:t xml:space="preserve">4. </w:t>
      </w:r>
      <w:r>
        <w:rPr>
          <w:rFonts w:ascii="Calibri" w:hAnsi="Calibri"/>
          <w:color w:val="1D2939"/>
          <w:sz w:val="20"/>
        </w:rPr>
        <w:t>Return to the named workbook, task, and knowledge areas. Continue to Workbook 9 only after the required repair and progression decision are documented.</w:t>
      </w:r>
    </w:p>
    <w:p>
      <w:pPr>
        <w:pStyle w:val="Heading2"/>
      </w:pPr>
      <w:r>
        <w:t>Compact Answer Key</w:t>
      </w:r>
    </w:p>
    <w:tbl>
      <w:tblPr>
        <w:tblW w:type="dxa" w:w="9240"/>
        <w:jc w:val="left"/>
        <w:tblLayout w:type="fixed"/>
        <w:tblLook w:firstColumn="1" w:firstRow="1" w:lastColumn="0" w:lastRow="0" w:noHBand="0" w:noVBand="1" w:val="04A0"/>
        <w:tblInd w:w="120" w:type="dxa"/>
      </w:tblPr>
      <w:tblGrid>
        <w:gridCol w:w="1100"/>
        <w:gridCol w:w="748"/>
        <w:gridCol w:w="1100"/>
        <w:gridCol w:w="748"/>
        <w:gridCol w:w="1100"/>
        <w:gridCol w:w="748"/>
        <w:gridCol w:w="1100"/>
        <w:gridCol w:w="748"/>
        <w:gridCol w:w="1100"/>
        <w:gridCol w:w="748"/>
      </w:tblGrid>
      <w:tr>
        <w:trPr>
          <w:cantSplit/>
          <w:tblHeader w:val="true"/>
        </w:trPr>
        <w:tc>
          <w:tcPr>
            <w:tcW w:type="dxa" w:w="11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Item</w:t>
            </w:r>
          </w:p>
        </w:tc>
        <w:tc>
          <w:tcPr>
            <w:tcW w:type="dxa" w:w="748"/>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Key</w:t>
            </w:r>
          </w:p>
        </w:tc>
        <w:tc>
          <w:tcPr>
            <w:tcW w:type="dxa" w:w="11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Item</w:t>
            </w:r>
          </w:p>
        </w:tc>
        <w:tc>
          <w:tcPr>
            <w:tcW w:type="dxa" w:w="748"/>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Key</w:t>
            </w:r>
          </w:p>
        </w:tc>
        <w:tc>
          <w:tcPr>
            <w:tcW w:type="dxa" w:w="11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Item</w:t>
            </w:r>
          </w:p>
        </w:tc>
        <w:tc>
          <w:tcPr>
            <w:tcW w:type="dxa" w:w="748"/>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Key</w:t>
            </w:r>
          </w:p>
        </w:tc>
        <w:tc>
          <w:tcPr>
            <w:tcW w:type="dxa" w:w="11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Item</w:t>
            </w:r>
          </w:p>
        </w:tc>
        <w:tc>
          <w:tcPr>
            <w:tcW w:type="dxa" w:w="748"/>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Key</w:t>
            </w:r>
          </w:p>
        </w:tc>
        <w:tc>
          <w:tcPr>
            <w:tcW w:type="dxa" w:w="11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Item</w:t>
            </w:r>
          </w:p>
        </w:tc>
        <w:tc>
          <w:tcPr>
            <w:tcW w:type="dxa" w:w="748"/>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Key</w:t>
            </w:r>
          </w:p>
        </w:tc>
      </w:tr>
      <w:tr>
        <w:trPr>
          <w:cantSplit/>
        </w:trPr>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13</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25</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37</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49</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r>
      <w:tr>
        <w:trPr>
          <w:cantSplit/>
        </w:trPr>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2</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14</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26</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38</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50</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r>
      <w:tr>
        <w:trPr>
          <w:cantSplit/>
        </w:trPr>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3</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15</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27</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39</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51</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r>
      <w:tr>
        <w:trPr>
          <w:cantSplit/>
        </w:trPr>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4</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16</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28</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40</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52</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r>
      <w:tr>
        <w:trPr>
          <w:cantSplit/>
        </w:trPr>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5</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17</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29</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41</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53</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r>
      <w:tr>
        <w:trPr>
          <w:cantSplit/>
        </w:trPr>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6</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18</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30</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42</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54</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r>
      <w:tr>
        <w:trPr>
          <w:cantSplit/>
        </w:trPr>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7</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19</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31</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43</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55</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r>
      <w:tr>
        <w:trPr>
          <w:cantSplit/>
        </w:trPr>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8</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20</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32</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44</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56</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r>
      <w:tr>
        <w:trPr>
          <w:cantSplit/>
        </w:trPr>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9</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21</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33</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45</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57</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A</w:t>
            </w:r>
          </w:p>
        </w:tc>
      </w:tr>
      <w:tr>
        <w:trPr>
          <w:cantSplit/>
        </w:trPr>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10</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22</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34</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46</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58</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B</w:t>
            </w:r>
          </w:p>
        </w:tc>
      </w:tr>
      <w:tr>
        <w:trPr>
          <w:cantSplit/>
        </w:trPr>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11</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23</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35</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47</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c>
          <w:tcPr>
            <w:tcW w:type="dxa" w:w="11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59</w:t>
            </w:r>
          </w:p>
        </w:tc>
        <w:tc>
          <w:tcPr>
            <w:tcW w:type="dxa" w:w="748"/>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C</w:t>
            </w:r>
          </w:p>
        </w:tc>
      </w:tr>
      <w:tr>
        <w:trPr>
          <w:cantSplit/>
        </w:trPr>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12</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24</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36</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48</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c>
          <w:tcPr>
            <w:tcW w:type="dxa" w:w="11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60</w:t>
            </w:r>
          </w:p>
        </w:tc>
        <w:tc>
          <w:tcPr>
            <w:tcW w:type="dxa" w:w="748"/>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w:t>
            </w:r>
          </w:p>
        </w:tc>
      </w:tr>
    </w:tbl>
    <w:p>
      <w:pPr>
        <w:spacing w:after="20"/>
      </w:pPr>
    </w:p>
    <w:p>
      <w:pPr>
        <w:pStyle w:val="Heading2"/>
      </w:pPr>
      <w:r>
        <w:t>Blueprint Synchronization Audit</w:t>
      </w:r>
    </w:p>
    <w:tbl>
      <w:tblPr>
        <w:tblW w:type="dxa" w:w="9240"/>
        <w:jc w:val="left"/>
        <w:tblLayout w:type="fixed"/>
        <w:tblLook w:firstColumn="1" w:firstRow="1" w:lastColumn="0" w:lastRow="0" w:noHBand="0" w:noVBand="1" w:val="04A0"/>
        <w:tblInd w:w="120" w:type="dxa"/>
      </w:tblPr>
      <w:tblGrid>
        <w:gridCol w:w="1500"/>
        <w:gridCol w:w="2950"/>
        <w:gridCol w:w="3290"/>
        <w:gridCol w:w="1500"/>
      </w:tblGrid>
      <w:tr>
        <w:trPr>
          <w:cantSplit/>
          <w:tblHeader w:val="true"/>
        </w:trPr>
        <w:tc>
          <w:tcPr>
            <w:tcW w:type="dxa" w:w="15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Dimension</w:t>
            </w:r>
          </w:p>
        </w:tc>
        <w:tc>
          <w:tcPr>
            <w:tcW w:type="dxa" w:w="29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Approved control</w:t>
            </w:r>
          </w:p>
        </w:tc>
        <w:tc>
          <w:tcPr>
            <w:tcW w:type="dxa" w:w="32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Controlled result</w:t>
            </w:r>
          </w:p>
        </w:tc>
        <w:tc>
          <w:tcPr>
            <w:tcW w:type="dxa" w:w="15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Status</w:t>
            </w:r>
          </w:p>
        </w:tc>
      </w:tr>
      <w:tr>
        <w:trPr>
          <w:cantSplit/>
        </w:trPr>
        <w:tc>
          <w:tcPr>
            <w:tcW w:type="dxa" w:w="15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Total items</w:t>
            </w:r>
          </w:p>
        </w:tc>
        <w:tc>
          <w:tcPr>
            <w:tcW w:type="dxa" w:w="29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60</w:t>
            </w:r>
          </w:p>
        </w:tc>
        <w:tc>
          <w:tcPr>
            <w:tcW w:type="dxa" w:w="32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60</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r>
        <w:trPr>
          <w:cantSplit/>
        </w:trPr>
        <w:tc>
          <w:tcPr>
            <w:tcW w:type="dxa" w:w="15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Domains</w:t>
            </w:r>
          </w:p>
        </w:tc>
        <w:tc>
          <w:tcPr>
            <w:tcW w:type="dxa" w:w="295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10 / 10 / 10 / 9 / 10 / 11</w:t>
            </w:r>
          </w:p>
        </w:tc>
        <w:tc>
          <w:tcPr>
            <w:tcW w:type="dxa" w:w="329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10 / 10 / 10 / 9 / 10 / 11</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r>
        <w:trPr>
          <w:cantSplit/>
        </w:trPr>
        <w:tc>
          <w:tcPr>
            <w:tcW w:type="dxa" w:w="15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Difficulty</w:t>
            </w:r>
          </w:p>
        </w:tc>
        <w:tc>
          <w:tcPr>
            <w:tcW w:type="dxa" w:w="29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18 Easy / 24 Moderate / 18 Difficult</w:t>
            </w:r>
          </w:p>
        </w:tc>
        <w:tc>
          <w:tcPr>
            <w:tcW w:type="dxa" w:w="32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18 / 24 / 18</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r>
        <w:trPr>
          <w:cantSplit/>
        </w:trPr>
        <w:tc>
          <w:tcPr>
            <w:tcW w:type="dxa" w:w="15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Cognitive type</w:t>
            </w:r>
          </w:p>
        </w:tc>
        <w:tc>
          <w:tcPr>
            <w:tcW w:type="dxa" w:w="295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K11 / A18 / S20 / I11</w:t>
            </w:r>
          </w:p>
        </w:tc>
        <w:tc>
          <w:tcPr>
            <w:tcW w:type="dxa" w:w="329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11 / 18 / 20 / 11</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r>
        <w:trPr>
          <w:cantSplit/>
        </w:trPr>
        <w:tc>
          <w:tcPr>
            <w:tcW w:type="dxa" w:w="15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Key positions</w:t>
            </w:r>
          </w:p>
        </w:tc>
        <w:tc>
          <w:tcPr>
            <w:tcW w:type="dxa" w:w="29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A15 / B15 / C15 / D15</w:t>
            </w:r>
          </w:p>
        </w:tc>
        <w:tc>
          <w:tcPr>
            <w:tcW w:type="dxa" w:w="32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15 / 15 / 15 / 15</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r>
        <w:trPr>
          <w:cantSplit/>
        </w:trPr>
        <w:tc>
          <w:tcPr>
            <w:tcW w:type="dxa" w:w="15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Decision words</w:t>
            </w:r>
          </w:p>
        </w:tc>
        <w:tc>
          <w:tcPr>
            <w:tcW w:type="dxa" w:w="295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15 each FIRST / NEXT / MOST / BEST</w:t>
            </w:r>
          </w:p>
        </w:tc>
        <w:tc>
          <w:tcPr>
            <w:tcW w:type="dxa" w:w="329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15 / 15 / 15 / 15</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r>
        <w:trPr>
          <w:cantSplit/>
        </w:trPr>
        <w:tc>
          <w:tcPr>
            <w:tcW w:type="dxa" w:w="15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Traceability</w:t>
            </w:r>
          </w:p>
        </w:tc>
        <w:tc>
          <w:tcPr>
            <w:tcW w:type="dxa" w:w="29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79 tasks / 68 knowledge areas / WB1-WB8</w:t>
            </w:r>
          </w:p>
        </w:tc>
        <w:tc>
          <w:tcPr>
            <w:tcW w:type="dxa" w:w="32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All routed by approved blueprint</w:t>
            </w:r>
          </w:p>
        </w:tc>
        <w:tc>
          <w:tcPr>
            <w:tcW w:type="dxa" w:w="1500"/>
            <w:tcMar>
              <w:top w:w="65" w:type="dxa"/>
              <w:start w:w="110" w:type="dxa"/>
              <w:bottom w:w="65" w:type="dxa"/>
              <w:end w:w="110" w:type="dxa"/>
            </w:tcMar>
            <w:vAlign w:val="center"/>
            <w:shd w:fill="EAF7EF"/>
          </w:tcPr>
          <w:p>
            <w:pPr>
              <w:spacing w:before="0" w:after="30" w:line="240" w:lineRule="auto"/>
              <w:jc w:val="center"/>
            </w:pPr>
            <w:r>
              <w:rPr>
                <w:rFonts w:ascii="Calibri" w:hAnsi="Calibri"/>
                <w:b/>
                <w:color w:val="19734A"/>
                <w:sz w:val="17"/>
              </w:rPr>
            </w:r>
            <w:r>
              <w:rPr>
                <w:rFonts w:ascii="Calibri" w:hAnsi="Calibri"/>
                <w:b/>
                <w:color w:val="19734A"/>
                <w:sz w:val="17"/>
              </w:rPr>
              <w:t>PASS</w:t>
            </w:r>
          </w:p>
        </w:tc>
      </w:tr>
    </w:tbl>
    <w:p>
      <w:pPr>
        <w:spacing w:after="20"/>
      </w:pPr>
    </w:p>
    <w:p>
      <w:r>
        <w:br w:type="page"/>
      </w:r>
    </w:p>
    <w:p>
      <w:pPr>
        <w:pStyle w:val="Heading1"/>
      </w:pPr>
      <w:r>
        <w:t>Remediation Code Profiles</w:t>
      </w:r>
    </w:p>
    <w:tbl>
      <w:tblPr>
        <w:tblW w:type="dxa" w:w="9240"/>
        <w:jc w:val="left"/>
        <w:tblLayout w:type="fixed"/>
        <w:tblLook w:firstColumn="1" w:firstRow="1" w:lastColumn="0" w:lastRow="0" w:noHBand="0" w:noVBand="1" w:val="04A0"/>
        <w:tblInd w:w="120" w:type="dxa"/>
      </w:tblPr>
      <w:tblGrid>
        <w:gridCol w:w="900"/>
        <w:gridCol w:w="2700"/>
        <w:gridCol w:w="5640"/>
      </w:tblGrid>
      <w:tr>
        <w:trPr>
          <w:cantSplit/>
          <w:tblHeader w:val="true"/>
        </w:trPr>
        <w:tc>
          <w:tcPr>
            <w:tcW w:type="dxa" w:w="9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Code</w:t>
            </w:r>
          </w:p>
        </w:tc>
        <w:tc>
          <w:tcPr>
            <w:tcW w:type="dxa" w:w="27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Reasoning defect</w:t>
            </w:r>
          </w:p>
        </w:tc>
        <w:tc>
          <w:tcPr>
            <w:tcW w:type="dxa" w:w="56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Required repair</w:t>
            </w:r>
          </w:p>
        </w:tc>
      </w:tr>
      <w:tr>
        <w:trPr>
          <w:cantSplit/>
        </w:trPr>
        <w:tc>
          <w:tcPr>
            <w:tcW w:type="dxa" w:w="9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TASK</w:t>
            </w:r>
          </w:p>
        </w:tc>
        <w:tc>
          <w:tcPr>
            <w:tcW w:type="dxa" w:w="27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Misread the task or decision qualifier</w:t>
            </w:r>
          </w:p>
        </w:tc>
        <w:tc>
          <w:tcPr>
            <w:tcW w:type="dxa" w:w="56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Underline the qualifier, state the present decision point in one sentence, and reject options that answer a later or different question.</w:t>
            </w:r>
          </w:p>
        </w:tc>
      </w:tr>
      <w:tr>
        <w:trPr>
          <w:cantSplit/>
        </w:trPr>
        <w:tc>
          <w:tcPr>
            <w:tcW w:type="dxa" w:w="9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6"/>
              </w:rPr>
              <w:t>STAGE</w:t>
            </w:r>
          </w:p>
        </w:tc>
        <w:tc>
          <w:tcPr>
            <w:tcW w:type="dxa" w:w="27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Acted at the wrong stage of care</w:t>
            </w:r>
          </w:p>
        </w:tc>
        <w:tc>
          <w:tcPr>
            <w:tcW w:type="dxa" w:w="56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Stabilize, assess, and clarify roles first; complete required precursors before returning to routine treatment or a later-phase technique.</w:t>
            </w:r>
          </w:p>
        </w:tc>
      </w:tr>
      <w:tr>
        <w:trPr>
          <w:cantSplit/>
        </w:trPr>
        <w:tc>
          <w:tcPr>
            <w:tcW w:type="dxa" w:w="9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SYSTEM</w:t>
            </w:r>
          </w:p>
        </w:tc>
        <w:tc>
          <w:tcPr>
            <w:tcW w:type="dxa" w:w="27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Used linear rather than reciprocal reasoning</w:t>
            </w:r>
          </w:p>
        </w:tc>
        <w:tc>
          <w:tcPr>
            <w:tcW w:type="dxa" w:w="56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Map the symptom, reciprocal sequence, meanings, context, strengths, and attempted solutions before choosing a systemic intervention.</w:t>
            </w:r>
          </w:p>
        </w:tc>
      </w:tr>
      <w:tr>
        <w:trPr>
          <w:cantSplit/>
        </w:trPr>
        <w:tc>
          <w:tcPr>
            <w:tcW w:type="dxa" w:w="9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6"/>
              </w:rPr>
              <w:t>ASSESS</w:t>
            </w:r>
          </w:p>
        </w:tc>
        <w:tc>
          <w:tcPr>
            <w:tcW w:type="dxa" w:w="27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Reached a conclusion before integrating assessment data</w:t>
            </w:r>
          </w:p>
        </w:tc>
        <w:tc>
          <w:tcPr>
            <w:tcW w:type="dxa" w:w="56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Integrate interview, observation, history, valid measures, functioning, context, strengths, and collateral data before concluding.</w:t>
            </w:r>
          </w:p>
        </w:tc>
      </w:tr>
      <w:tr>
        <w:trPr>
          <w:cantSplit/>
        </w:trPr>
        <w:tc>
          <w:tcPr>
            <w:tcW w:type="dxa" w:w="9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SAFETY</w:t>
            </w:r>
          </w:p>
        </w:tc>
        <w:tc>
          <w:tcPr>
            <w:tcW w:type="dxa" w:w="27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Underprioritized immediate safety or level of care</w:t>
            </w:r>
          </w:p>
        </w:tc>
        <w:tc>
          <w:tcPr>
            <w:tcW w:type="dxa" w:w="56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When supported danger or medical urgency appears, assess directly and select the indicated protection or level of care before routine technique.</w:t>
            </w:r>
          </w:p>
        </w:tc>
      </w:tr>
      <w:tr>
        <w:trPr>
          <w:cantSplit/>
        </w:trPr>
        <w:tc>
          <w:tcPr>
            <w:tcW w:type="dxa" w:w="9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6"/>
              </w:rPr>
              <w:t>SCOPE</w:t>
            </w:r>
          </w:p>
        </w:tc>
        <w:tc>
          <w:tcPr>
            <w:tcW w:type="dxa" w:w="27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Exceeded or failed to verify competence, role, or authority</w:t>
            </w:r>
          </w:p>
        </w:tc>
        <w:tc>
          <w:tcPr>
            <w:tcW w:type="dxa" w:w="56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Verify competence, role, jurisdiction, and governing authority; consult, limit, train, coordinate, or refer before exceeding a defensible boundary.</w:t>
            </w:r>
          </w:p>
        </w:tc>
      </w:tr>
      <w:tr>
        <w:trPr>
          <w:cantSplit/>
        </w:trPr>
        <w:tc>
          <w:tcPr>
            <w:tcW w:type="dxa" w:w="9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CONTEXT</w:t>
            </w:r>
          </w:p>
        </w:tc>
        <w:tc>
          <w:tcPr>
            <w:tcW w:type="dxa" w:w="27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Underweighted culture, power, access, identity, or autonomy</w:t>
            </w:r>
          </w:p>
        </w:tc>
        <w:tc>
          <w:tcPr>
            <w:tcW w:type="dxa" w:w="56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Ask how identity, power, access, culture, structural conditions, and client meaning change the formulation and feasible response.</w:t>
            </w:r>
          </w:p>
        </w:tc>
      </w:tr>
      <w:tr>
        <w:trPr>
          <w:cantSplit/>
        </w:trPr>
        <w:tc>
          <w:tcPr>
            <w:tcW w:type="dxa" w:w="9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6"/>
              </w:rPr>
              <w:t>PLAN</w:t>
            </w:r>
          </w:p>
        </w:tc>
        <w:tc>
          <w:tcPr>
            <w:tcW w:type="dxa" w:w="27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Selected action without collaborative goals, sequence, or fit</w:t>
            </w:r>
          </w:p>
        </w:tc>
        <w:tc>
          <w:tcPr>
            <w:tcW w:type="dxa" w:w="56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Connect every intervention to a shared goal, systemic hypothesis, change mechanism, treatment unit, sequence, and observable outcome.</w:t>
            </w:r>
          </w:p>
        </w:tc>
      </w:tr>
      <w:tr>
        <w:trPr>
          <w:cantSplit/>
        </w:trPr>
        <w:tc>
          <w:tcPr>
            <w:tcW w:type="dxa" w:w="9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EVAL</w:t>
            </w:r>
          </w:p>
        </w:tc>
        <w:tc>
          <w:tcPr>
            <w:tcW w:type="dxa" w:w="27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Relied on one outcome signal or skipped collaborative review</w:t>
            </w:r>
          </w:p>
        </w:tc>
        <w:tc>
          <w:tcPr>
            <w:tcW w:type="dxa" w:w="56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Review outcome, alliance, implementation, barriers, unintended effects, and client meaning together before continuing, adapting, or ending.</w:t>
            </w:r>
          </w:p>
        </w:tc>
      </w:tr>
      <w:tr>
        <w:trPr>
          <w:cantSplit/>
        </w:trPr>
        <w:tc>
          <w:tcPr>
            <w:tcW w:type="dxa" w:w="9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6"/>
              </w:rPr>
              <w:t>ETHICS</w:t>
            </w:r>
          </w:p>
        </w:tc>
        <w:tc>
          <w:tcPr>
            <w:tcW w:type="dxa" w:w="27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Confused law, ethics, policy, rights, or documentation duties</w:t>
            </w:r>
          </w:p>
        </w:tc>
        <w:tc>
          <w:tcPr>
            <w:tcW w:type="dxa" w:w="56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Separate law, regulation, ethics, policy, contract, and client rights; verify current authority, act proportionately, and document the reasoning.</w:t>
            </w:r>
          </w:p>
        </w:tc>
      </w:tr>
      <w:tr>
        <w:trPr>
          <w:cantSplit/>
        </w:trPr>
        <w:tc>
          <w:tcPr>
            <w:tcW w:type="dxa" w:w="9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OVER</w:t>
            </w:r>
          </w:p>
        </w:tc>
        <w:tc>
          <w:tcPr>
            <w:tcW w:type="dxa" w:w="27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Overreacted, overgeneralized, or chose an unsupported restriction</w:t>
            </w:r>
          </w:p>
        </w:tc>
        <w:tc>
          <w:tcPr>
            <w:tcW w:type="dxa" w:w="56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Reject automatic, universal, coercive, or maximum-restriction responses unless the facts and governing authority specifically support them.</w:t>
            </w:r>
          </w:p>
        </w:tc>
      </w:tr>
      <w:tr>
        <w:trPr>
          <w:cantSplit/>
        </w:trPr>
        <w:tc>
          <w:tcPr>
            <w:tcW w:type="dxa" w:w="9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6"/>
              </w:rPr>
              <w:t>UNDER</w:t>
            </w:r>
          </w:p>
        </w:tc>
        <w:tc>
          <w:tcPr>
            <w:tcW w:type="dxa" w:w="27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Delayed, minimized, or chose an incomplete response</w:t>
            </w:r>
          </w:p>
        </w:tc>
        <w:tc>
          <w:tcPr>
            <w:tcW w:type="dxa" w:w="56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6"/>
              </w:rPr>
              <w:t>Do not delay, minimize, or rely on reassurance when the vignette already supports direct assessment, clarification, repair, or protective action.</w:t>
            </w:r>
          </w:p>
        </w:tc>
      </w:tr>
    </w:tbl>
    <w:p>
      <w:pPr>
        <w:spacing w:after="20"/>
      </w:pPr>
    </w:p>
    <w:p>
      <w:pPr>
        <w:spacing w:before="40" w:after="10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8"/>
        </w:rPr>
        <w:t xml:space="preserve">REVIEW RULE  </w:t>
      </w:r>
      <w:r>
        <w:rPr>
          <w:rFonts w:ascii="Calibri" w:hAnsi="Calibri"/>
          <w:color w:val="1D2939"/>
          <w:sz w:val="18"/>
        </w:rPr>
        <w:t>Assign the item blueprint's primary code first. Add a secondary code only when the learner's written explanation demonstrates that additional reasoning defect.</w:t>
      </w:r>
    </w:p>
    <w:p>
      <w:r>
        <w:br w:type="page"/>
      </w:r>
    </w:p>
    <w:p>
      <w:pPr>
        <w:pStyle w:val="Heading1"/>
      </w:pPr>
      <w:r>
        <w:t>Item 1 -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is designing a treatment plan for a client who lives in one jurisdiction and will spend three months working from another. Which action is MOST appropriate before including continued teletherapy in the plan?</w:t>
      </w:r>
    </w:p>
    <w:p>
      <w:pPr>
        <w:spacing w:after="44" w:line="240" w:lineRule="auto"/>
        <w:ind w:left="173" w:hanging="173"/>
      </w:pPr>
      <w:r>
        <w:rPr>
          <w:rFonts w:ascii="Calibri" w:hAnsi="Calibri"/>
          <w:b/>
          <w:color w:val="0B2545"/>
          <w:sz w:val="18"/>
        </w:rPr>
        <w:t xml:space="preserve">A. </w:t>
      </w:r>
      <w:r>
        <w:rPr>
          <w:rFonts w:ascii="Calibri" w:hAnsi="Calibri"/>
          <w:color w:val="1D2939"/>
          <w:sz w:val="18"/>
        </w:rPr>
        <w:t>Verify authorization in each jurisdiction, then resolve competence, consent, emergency, and continuity requirements before proceeding.</w:t>
      </w:r>
    </w:p>
    <w:p>
      <w:pPr>
        <w:spacing w:after="44" w:line="240" w:lineRule="auto"/>
        <w:ind w:left="173" w:hanging="173"/>
      </w:pPr>
      <w:r>
        <w:rPr>
          <w:rFonts w:ascii="Calibri" w:hAnsi="Calibri"/>
          <w:b/>
          <w:color w:val="0B2545"/>
          <w:sz w:val="18"/>
        </w:rPr>
        <w:t xml:space="preserve">B. </w:t>
      </w:r>
      <w:r>
        <w:rPr>
          <w:rFonts w:ascii="Calibri" w:hAnsi="Calibri"/>
          <w:color w:val="1D2939"/>
          <w:sz w:val="18"/>
        </w:rPr>
        <w:t>Continue services under the rules of the therapist's home jurisdiction because the therapeutic relationship began there and the move is temporary.</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the client to sign a statement accepting all legal responsibility for receiving services while away and proceed under the existing plan.</w:t>
      </w:r>
    </w:p>
    <w:p>
      <w:pPr>
        <w:spacing w:after="44" w:line="240" w:lineRule="auto"/>
        <w:ind w:left="173" w:hanging="173"/>
      </w:pPr>
      <w:r>
        <w:rPr>
          <w:rFonts w:ascii="Calibri" w:hAnsi="Calibri"/>
          <w:b/>
          <w:color w:val="0B2545"/>
          <w:sz w:val="18"/>
        </w:rPr>
        <w:t xml:space="preserve">D. </w:t>
      </w:r>
      <w:r>
        <w:rPr>
          <w:rFonts w:ascii="Calibri" w:hAnsi="Calibri"/>
          <w:color w:val="1D2939"/>
          <w:sz w:val="18"/>
        </w:rPr>
        <w:t>Delay reviewing jurisdictional requirements until a clinical or billing problem occurs because advance verification could interrupt continuity.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jurisdiction-aware legal competence in treatment planning at the MOST decision point. The supported action is: Verify authorization in each jurisdiction, then resolve competence, consent, emergency, and continuity requirements before proceeding.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exceeded or failed to verify competence, role, or authority. This choice proposes: continue services under the rules of the therapist's home jurisdiction. It assumes competence, authority, jurisdiction, or role instead of verifying the boundary and obtaining consultation, coordination, or referral as needed. It therefore does not resolve jurisdiction-aware legal competence in treatment planning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exceeded or failed to verify competence, role, or authority. This choice proposes: ask the client to sign a statement accepting all legal responsibility for receiving services while away and proceed under the existing plan. It assumes competence, authority, jurisdiction, or role instead of verifying the boundary and obtaining consultation, coordination, or referral as needed. It therefore does not resolve jurisdiction-aware legal competence in treatment planning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delay reviewing jurisdictional requirements until a clinical or billing problem occurs. It delays, minimizes, conceals, or leaves the supported concern unresolved when direct action is already indicated. It therefore does not resolve jurisdiction-aware legal competence in treatment planning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jurisdiction-aware legal competence in treatment planning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KA58</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SCOPE, UNDER</w:t>
            </w:r>
          </w:p>
        </w:tc>
      </w:tr>
    </w:tbl>
    <w:p>
      <w:pPr>
        <w:spacing w:after="20"/>
      </w:pPr>
    </w:p>
    <w:p>
      <w:r>
        <w:br w:type="page"/>
      </w:r>
    </w:p>
    <w:p>
      <w:pPr>
        <w:pStyle w:val="Heading1"/>
      </w:pPr>
      <w:r>
        <w:t>Item 2 - Controlled Rationale</w:t>
      </w:r>
    </w:p>
    <w:p>
      <w:pPr>
        <w:spacing w:after="80" w:line="245" w:lineRule="auto"/>
      </w:pPr>
      <w:r>
        <w:rPr>
          <w:rFonts w:ascii="Calibri" w:hAnsi="Calibri"/>
          <w:b/>
          <w:color w:val="0B2545"/>
          <w:sz w:val="18"/>
        </w:rPr>
        <w:t xml:space="preserve">Stem: </w:t>
      </w:r>
      <w:r>
        <w:rPr>
          <w:rFonts w:ascii="Calibri" w:hAnsi="Calibri"/>
          <w:color w:val="1D2939"/>
          <w:sz w:val="18"/>
        </w:rPr>
        <w:t>During an intake, an adult is confused about the date, has difficulty remaining awake, and reports abruptly stopping heavy alcohol use yesterday.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Complete a detailed family history to determine whether relatives have reinforced the client's alcohol use.</w:t>
      </w:r>
    </w:p>
    <w:p>
      <w:pPr>
        <w:spacing w:after="44" w:line="240" w:lineRule="auto"/>
        <w:ind w:left="173" w:hanging="173"/>
      </w:pPr>
      <w:r>
        <w:rPr>
          <w:rFonts w:ascii="Calibri" w:hAnsi="Calibri"/>
          <w:b/>
          <w:color w:val="0B2545"/>
          <w:sz w:val="18"/>
        </w:rPr>
        <w:t xml:space="preserve">B. </w:t>
      </w:r>
      <w:r>
        <w:rPr>
          <w:rFonts w:ascii="Calibri" w:hAnsi="Calibri"/>
          <w:color w:val="1D2939"/>
          <w:sz w:val="18"/>
        </w:rPr>
        <w:t>Treat this as a possible medical emergency, assess immediate safety, and arrange urgent medical evaluation.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Begin motivational interviewing so the client can identify personal reasons to remain abstinent.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Schedule a conjoint session with a support person before making any change to the outpatient plan.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complete a detailed family history to determine whether relatives have reinforced the client's alcohol use. It does not directly assess or respond to the supported risk, medical urgency, access, protection, or level-of-care question. It therefore does not resolve crisis acuity, impairment, and immediate intervention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crisis acuity, impairment, and immediate intervention at the FIRST decision point. The supported action is: Treat this as a possible medical emergency, assess immediate safety, and arrange urgent medical evaluation. This integrates direct risk or medical assessment, immediacy, intent, means or access, protection, level of care, local resources,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begin motivational interviewing. It does not directly assess or respond to the supported risk, medical urgency, access, protection, or level-of-care question. It therefore does not resolve crisis acuity, impairment, and immediate intervention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schedule a conjoint session with a support person before making any change to the outpatient plan. It does not directly assess or respond to the supported risk, medical urgency, access, protection, or level-of-care question. It therefore does not resolve crisis acuity, impairment, and immediate intervention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crisis acuity, impairment, and immediate intervention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KA21, KA52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r>
    </w:tbl>
    <w:p>
      <w:pPr>
        <w:spacing w:after="20"/>
      </w:pPr>
    </w:p>
    <w:p>
      <w:r>
        <w:br w:type="page"/>
      </w:r>
    </w:p>
    <w:p>
      <w:pPr>
        <w:pStyle w:val="Heading1"/>
      </w:pPr>
      <w:r>
        <w:t>Item 3 - Controlled Rationale</w:t>
      </w:r>
    </w:p>
    <w:p>
      <w:pPr>
        <w:spacing w:after="80" w:line="245" w:lineRule="auto"/>
      </w:pPr>
      <w:r>
        <w:rPr>
          <w:rFonts w:ascii="Calibri" w:hAnsi="Calibri"/>
          <w:b/>
          <w:color w:val="0B2545"/>
          <w:sz w:val="18"/>
        </w:rPr>
        <w:t xml:space="preserve">Stem: </w:t>
      </w:r>
      <w:r>
        <w:rPr>
          <w:rFonts w:ascii="Calibri" w:hAnsi="Calibri"/>
          <w:color w:val="1D2939"/>
          <w:sz w:val="18"/>
        </w:rPr>
        <w:t>When selecting an intervention for a couple, which approach BEST integrates research support with the therapeutic alliance?</w:t>
      </w:r>
    </w:p>
    <w:p>
      <w:pPr>
        <w:spacing w:after="44" w:line="240" w:lineRule="auto"/>
        <w:ind w:left="173" w:hanging="173"/>
      </w:pPr>
      <w:r>
        <w:rPr>
          <w:rFonts w:ascii="Calibri" w:hAnsi="Calibri"/>
          <w:b/>
          <w:color w:val="0B2545"/>
          <w:sz w:val="18"/>
        </w:rPr>
        <w:t xml:space="preserve">A. </w:t>
      </w:r>
      <w:r>
        <w:rPr>
          <w:rFonts w:ascii="Calibri" w:hAnsi="Calibri"/>
          <w:color w:val="1D2939"/>
          <w:sz w:val="18"/>
        </w:rPr>
        <w:t>Choose the model with the largest research literature and use it exactly as written regardless of the couple's goals or concerns.</w:t>
      </w:r>
    </w:p>
    <w:p>
      <w:pPr>
        <w:spacing w:after="44" w:line="240" w:lineRule="auto"/>
        <w:ind w:left="173" w:hanging="173"/>
      </w:pPr>
      <w:r>
        <w:rPr>
          <w:rFonts w:ascii="Calibri" w:hAnsi="Calibri"/>
          <w:b/>
          <w:color w:val="0B2545"/>
          <w:sz w:val="18"/>
        </w:rPr>
        <w:t xml:space="preserve">B. </w:t>
      </w:r>
      <w:r>
        <w:rPr>
          <w:rFonts w:ascii="Calibri" w:hAnsi="Calibri"/>
          <w:color w:val="1D2939"/>
          <w:sz w:val="18"/>
        </w:rPr>
        <w:t>Use only the intervention the couple requests because client preference should replace clinical assessment and evidence review.</w:t>
      </w:r>
    </w:p>
    <w:p>
      <w:pPr>
        <w:spacing w:after="44" w:line="240" w:lineRule="auto"/>
        <w:ind w:left="173" w:hanging="173"/>
      </w:pPr>
      <w:r>
        <w:rPr>
          <w:rFonts w:ascii="Calibri" w:hAnsi="Calibri"/>
          <w:b/>
          <w:color w:val="0B2545"/>
          <w:sz w:val="18"/>
        </w:rPr>
        <w:t xml:space="preserve">C. </w:t>
      </w:r>
      <w:r>
        <w:rPr>
          <w:rFonts w:ascii="Calibri" w:hAnsi="Calibri"/>
          <w:color w:val="1D2939"/>
          <w:sz w:val="18"/>
        </w:rPr>
        <w:t>Discuss formulation, goals, evidence, preferences, culture, and practical fit, then reach a collaborative intervention plan.</w:t>
      </w:r>
    </w:p>
    <w:p>
      <w:pPr>
        <w:spacing w:after="44" w:line="240" w:lineRule="auto"/>
        <w:ind w:left="173" w:hanging="173"/>
      </w:pPr>
      <w:r>
        <w:rPr>
          <w:rFonts w:ascii="Calibri" w:hAnsi="Calibri"/>
          <w:b/>
          <w:color w:val="0B2545"/>
          <w:sz w:val="18"/>
        </w:rPr>
        <w:t xml:space="preserve">D. </w:t>
      </w:r>
      <w:r>
        <w:rPr>
          <w:rFonts w:ascii="Calibri" w:hAnsi="Calibri"/>
          <w:color w:val="1D2939"/>
          <w:sz w:val="18"/>
        </w:rPr>
        <w:t>Delay intervention selection until the couple agrees that the therapist's preferred theory fully explains their relationship.</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choose the model with the largest research literature and use it exactly as written regardless of the couple's goals or concerns. It selects an action without a shared goal, coherent formulation, treatment-unit decision, sequence, or observable outcome. It therefore does not resolve alliance-informed, evidence-supported intervention selection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use only the intervention the couple requests. It uses an automatic, universal, coercive, or unnecessarily restrictive response that the stated facts do not justify. It therefore does not resolve alliance-informed, evidence-supported intervention selection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alliance-informed, evidence-supported intervention selection at the BEST decision point. The supported action is: Discuss formulation, goals, evidence, preferences, culture, and practical fit, then reach a collaborative intervention plan.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delay intervention selection until the couple agrees that the therapist's preferred theory fully explains their relationship. It delays, minimizes, conceals, or leaves the supported concern unresolved when direct action is already indicated. It therefore does not resolve alliance-informed, evidence-supported intervention selection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alliance-informed, evidence-supported intervention selection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03.01, 03.08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KA01, KA09</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PLAN, OVER, UNDER</w:t>
            </w:r>
          </w:p>
        </w:tc>
      </w:tr>
    </w:tbl>
    <w:p>
      <w:pPr>
        <w:spacing w:after="20"/>
      </w:pPr>
    </w:p>
    <w:p>
      <w:r>
        <w:br w:type="page"/>
      </w:r>
    </w:p>
    <w:p>
      <w:pPr>
        <w:pStyle w:val="Heading1"/>
      </w:pPr>
      <w:r>
        <w:t>Item 4 - Controlled Rationale</w:t>
      </w:r>
    </w:p>
    <w:p>
      <w:pPr>
        <w:spacing w:after="80" w:line="245" w:lineRule="auto"/>
      </w:pPr>
      <w:r>
        <w:rPr>
          <w:rFonts w:ascii="Calibri" w:hAnsi="Calibri"/>
          <w:b/>
          <w:color w:val="0B2545"/>
          <w:sz w:val="18"/>
        </w:rPr>
        <w:t xml:space="preserve">Stem: </w:t>
      </w:r>
      <w:r>
        <w:rPr>
          <w:rFonts w:ascii="Calibri" w:hAnsi="Calibri"/>
          <w:color w:val="1D2939"/>
          <w:sz w:val="18"/>
        </w:rPr>
        <w:t>A family describes a recurring argument but also reports that conflict decreases when one caregiver pauses, names the tension, and asks each person what would help.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Assign the recurring conflict to the family member who raises their voice most often.</w:t>
      </w:r>
    </w:p>
    <w:p>
      <w:pPr>
        <w:spacing w:after="44" w:line="240" w:lineRule="auto"/>
        <w:ind w:left="173" w:hanging="173"/>
      </w:pPr>
      <w:r>
        <w:rPr>
          <w:rFonts w:ascii="Calibri" w:hAnsi="Calibri"/>
          <w:b/>
          <w:color w:val="0B2545"/>
          <w:sz w:val="18"/>
        </w:rPr>
        <w:t xml:space="preserve">B. </w:t>
      </w:r>
      <w:r>
        <w:rPr>
          <w:rFonts w:ascii="Calibri" w:hAnsi="Calibri"/>
          <w:color w:val="1D2939"/>
          <w:sz w:val="18"/>
        </w:rPr>
        <w:t>Focus on symptom frequency and exclude the family's coping responses from the assessment.</w:t>
      </w:r>
    </w:p>
    <w:p>
      <w:pPr>
        <w:spacing w:after="44" w:line="240" w:lineRule="auto"/>
        <w:ind w:left="173" w:hanging="173"/>
      </w:pPr>
      <w:r>
        <w:rPr>
          <w:rFonts w:ascii="Calibri" w:hAnsi="Calibri"/>
          <w:b/>
          <w:color w:val="0B2545"/>
          <w:sz w:val="18"/>
        </w:rPr>
        <w:t xml:space="preserve">C. </w:t>
      </w:r>
      <w:r>
        <w:rPr>
          <w:rFonts w:ascii="Calibri" w:hAnsi="Calibri"/>
          <w:color w:val="1D2939"/>
          <w:sz w:val="18"/>
        </w:rPr>
        <w:t>Select a diagnosis before exploring the interaction because diagnostic certainty must precede systemic assessment.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Map the reciprocal sequence and examine how reported exceptions demonstrate coping, strengths, and resilience.</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assign the recurring conflict to the family member who raises their voice most often. It reaches a conclusion or selects a response before integrating the clinical, relational, contextual, and functional data needed for this decision. It therefore does not resolve reciprocal patterns, strengths, coping, and resilience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focus on symptom frequency and exclude the family's coping responses from the assessment. It reaches a conclusion or selects a response before integrating the clinical, relational, contextual, and functional data needed for this decision. It therefore does not resolve reciprocal patterns, strengths, coping, and resilience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select a diagnosis before exploring the interaction. It reaches a conclusion or selects a response before integrating the clinical, relational, contextual, and functional data needed for this decision. It therefore does not resolve reciprocal patterns, strengths, coping, and resilience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reciprocal patterns, strengths, coping, and resilience at the NEXT decision point. The supported action is: Map the reciprocal sequence and examine how reported exceptions demonstrate coping, strengths, and resilience. This integrates interview, observation, history, mental status, functioning, valid measures, context, and revisable hypotheses.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reciprocal patterns, strengths, coping, and resilience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02.01, 02.15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KA14, KA32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WB3</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r>
    </w:tbl>
    <w:p>
      <w:pPr>
        <w:spacing w:after="20"/>
      </w:pPr>
    </w:p>
    <w:p>
      <w:r>
        <w:br w:type="page"/>
      </w:r>
    </w:p>
    <w:p>
      <w:pPr>
        <w:pStyle w:val="Heading1"/>
      </w:pPr>
      <w:r>
        <w:t>Item 5 - Controlled Rationale</w:t>
      </w:r>
    </w:p>
    <w:p>
      <w:pPr>
        <w:spacing w:after="80" w:line="245" w:lineRule="auto"/>
      </w:pPr>
      <w:r>
        <w:rPr>
          <w:rFonts w:ascii="Calibri" w:hAnsi="Calibri"/>
          <w:b/>
          <w:color w:val="0B2545"/>
          <w:sz w:val="18"/>
        </w:rPr>
        <w:t xml:space="preserve">Stem: </w:t>
      </w:r>
      <w:r>
        <w:rPr>
          <w:rFonts w:ascii="Calibri" w:hAnsi="Calibri"/>
          <w:color w:val="1D2939"/>
          <w:sz w:val="18"/>
        </w:rPr>
        <w:t>Which formulation MOST clearly reflects systemic conceptualization before intervention selection?</w:t>
      </w:r>
    </w:p>
    <w:p>
      <w:pPr>
        <w:spacing w:after="44" w:line="240" w:lineRule="auto"/>
        <w:ind w:left="173" w:hanging="173"/>
      </w:pPr>
      <w:r>
        <w:rPr>
          <w:rFonts w:ascii="Calibri" w:hAnsi="Calibri"/>
          <w:b/>
          <w:color w:val="0B2545"/>
          <w:sz w:val="18"/>
        </w:rPr>
        <w:t xml:space="preserve">A. </w:t>
      </w:r>
      <w:r>
        <w:rPr>
          <w:rFonts w:ascii="Calibri" w:hAnsi="Calibri"/>
          <w:color w:val="1D2939"/>
          <w:sz w:val="18"/>
        </w:rPr>
        <w:t>The symptom is embedded in reciprocal responses, meanings, context, and attempted solutions that may maintain the pattern.</w:t>
      </w:r>
    </w:p>
    <w:p>
      <w:pPr>
        <w:spacing w:after="44" w:line="240" w:lineRule="auto"/>
        <w:ind w:left="173" w:hanging="173"/>
      </w:pPr>
      <w:r>
        <w:rPr>
          <w:rFonts w:ascii="Calibri" w:hAnsi="Calibri"/>
          <w:b/>
          <w:color w:val="0B2545"/>
          <w:sz w:val="18"/>
        </w:rPr>
        <w:t xml:space="preserve">B. </w:t>
      </w:r>
      <w:r>
        <w:rPr>
          <w:rFonts w:ascii="Calibri" w:hAnsi="Calibri"/>
          <w:color w:val="1D2939"/>
          <w:sz w:val="18"/>
        </w:rPr>
        <w:t>The most visibly distressed person is the sole cause of the family's difficulty and should be treated separately first.</w:t>
      </w:r>
    </w:p>
    <w:p>
      <w:pPr>
        <w:spacing w:after="44" w:line="240" w:lineRule="auto"/>
        <w:ind w:left="173" w:hanging="173"/>
      </w:pPr>
      <w:r>
        <w:rPr>
          <w:rFonts w:ascii="Calibri" w:hAnsi="Calibri"/>
          <w:b/>
          <w:color w:val="0B2545"/>
          <w:sz w:val="18"/>
        </w:rPr>
        <w:t xml:space="preserve">C. </w:t>
      </w:r>
      <w:r>
        <w:rPr>
          <w:rFonts w:ascii="Calibri" w:hAnsi="Calibri"/>
          <w:color w:val="1D2939"/>
          <w:sz w:val="18"/>
        </w:rPr>
        <w:t>The therapist's preferred technique should determine which family facts are relevant to the case.</w:t>
      </w:r>
    </w:p>
    <w:p>
      <w:pPr>
        <w:spacing w:after="44" w:line="240" w:lineRule="auto"/>
        <w:ind w:left="173" w:hanging="173"/>
      </w:pPr>
      <w:r>
        <w:rPr>
          <w:rFonts w:ascii="Calibri" w:hAnsi="Calibri"/>
          <w:b/>
          <w:color w:val="0B2545"/>
          <w:sz w:val="18"/>
        </w:rPr>
        <w:t xml:space="preserve">D. </w:t>
      </w:r>
      <w:r>
        <w:rPr>
          <w:rFonts w:ascii="Calibri" w:hAnsi="Calibri"/>
          <w:color w:val="1D2939"/>
          <w:sz w:val="18"/>
        </w:rPr>
        <w:t>The family member with the strongest account should define the objective truth of the interaction.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systemic conceptualization before selecting an action at the MOST decision point. The supported action is: The symptom is embedded in reciprocal responses, meanings, context, and attempted solutions that may maintain the pattern.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the most visibly distressed person is the sole cause of the family's difficulty and should be treated separately first. It uses an automatic, universal, coercive, or unnecessarily restrictive response that the stated facts do not justify. It therefore does not resolve systemic conceptualization before selecting an action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the therapist's preferred technique should determine which family facts are relevant to the case. It reduces a reciprocal relational pattern to one person, one cause, or one account and therefore loses the systemic formulation. It therefore does not resolve systemic conceptualization before selecting an action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the family member with the strongest account should define the objective truth of the interaction. It reduces a reciprocal relational pattern to one person, one cause, or one account and therefore loses the systemic formulation. It therefore does not resolve systemic conceptualization before selecting an action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systemic conceptualization before selecting an action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WB1</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SYSTEM</w:t>
            </w:r>
          </w:p>
        </w:tc>
      </w:tr>
    </w:tbl>
    <w:p>
      <w:pPr>
        <w:spacing w:after="20"/>
      </w:pPr>
    </w:p>
    <w:p>
      <w:r>
        <w:br w:type="page"/>
      </w:r>
    </w:p>
    <w:p>
      <w:pPr>
        <w:pStyle w:val="Heading1"/>
      </w:pPr>
      <w:r>
        <w:t>Item 6 - Controlled Rationale</w:t>
      </w:r>
    </w:p>
    <w:p>
      <w:pPr>
        <w:spacing w:after="80" w:line="245" w:lineRule="auto"/>
      </w:pPr>
      <w:r>
        <w:rPr>
          <w:rFonts w:ascii="Calibri" w:hAnsi="Calibri"/>
          <w:b/>
          <w:color w:val="0B2545"/>
          <w:sz w:val="18"/>
        </w:rPr>
        <w:t xml:space="preserve">Stem: </w:t>
      </w:r>
      <w:r>
        <w:rPr>
          <w:rFonts w:ascii="Calibri" w:hAnsi="Calibri"/>
          <w:color w:val="1D2939"/>
          <w:sz w:val="18"/>
        </w:rPr>
        <w:t>A treatment plan includes a goal of reducing destructive conflict and improving repair. What should the therapist establish FIRST to evaluate early process and outcome?</w:t>
      </w:r>
    </w:p>
    <w:p>
      <w:pPr>
        <w:spacing w:after="44" w:line="240" w:lineRule="auto"/>
        <w:ind w:left="173" w:hanging="173"/>
      </w:pPr>
      <w:r>
        <w:rPr>
          <w:rFonts w:ascii="Calibri" w:hAnsi="Calibri"/>
          <w:b/>
          <w:color w:val="0B2545"/>
          <w:sz w:val="18"/>
        </w:rPr>
        <w:t xml:space="preserve">A. </w:t>
      </w:r>
      <w:r>
        <w:rPr>
          <w:rFonts w:ascii="Calibri" w:hAnsi="Calibri"/>
          <w:color w:val="1D2939"/>
          <w:sz w:val="18"/>
        </w:rPr>
        <w:t>A final termination date that will remain unchanged regardless of the couple's response.</w:t>
      </w:r>
    </w:p>
    <w:p>
      <w:pPr>
        <w:spacing w:after="44" w:line="240" w:lineRule="auto"/>
        <w:ind w:left="173" w:hanging="173"/>
      </w:pPr>
      <w:r>
        <w:rPr>
          <w:rFonts w:ascii="Calibri" w:hAnsi="Calibri"/>
          <w:b/>
          <w:color w:val="0B2545"/>
          <w:sz w:val="18"/>
        </w:rPr>
        <w:t xml:space="preserve">B. </w:t>
      </w:r>
      <w:r>
        <w:rPr>
          <w:rFonts w:ascii="Calibri" w:hAnsi="Calibri"/>
          <w:color w:val="1D2939"/>
          <w:sz w:val="18"/>
        </w:rPr>
        <w:t>Establish baseline data, observable indicators, appropriate measures, and a collaborative review schedule.</w:t>
      </w:r>
    </w:p>
    <w:p>
      <w:pPr>
        <w:spacing w:after="44" w:line="240" w:lineRule="auto"/>
        <w:ind w:left="173" w:hanging="173"/>
      </w:pPr>
      <w:r>
        <w:rPr>
          <w:rFonts w:ascii="Calibri" w:hAnsi="Calibri"/>
          <w:b/>
          <w:color w:val="0B2545"/>
          <w:sz w:val="18"/>
        </w:rPr>
        <w:t xml:space="preserve">C. </w:t>
      </w:r>
      <w:r>
        <w:rPr>
          <w:rFonts w:ascii="Calibri" w:hAnsi="Calibri"/>
          <w:color w:val="1D2939"/>
          <w:sz w:val="18"/>
        </w:rPr>
        <w:t>A requirement that both partners report identical satisfaction ratings before progress is recognized.</w:t>
      </w:r>
    </w:p>
    <w:p>
      <w:pPr>
        <w:spacing w:after="44" w:line="240" w:lineRule="auto"/>
        <w:ind w:left="173" w:hanging="173"/>
      </w:pPr>
      <w:r>
        <w:rPr>
          <w:rFonts w:ascii="Calibri" w:hAnsi="Calibri"/>
          <w:b/>
          <w:color w:val="0B2545"/>
          <w:sz w:val="18"/>
        </w:rPr>
        <w:t xml:space="preserve">D. </w:t>
      </w:r>
      <w:r>
        <w:rPr>
          <w:rFonts w:ascii="Calibri" w:hAnsi="Calibri"/>
          <w:color w:val="1D2939"/>
          <w:sz w:val="18"/>
        </w:rPr>
        <w:t>A single symptom score that will replace alliance, context, functioning, and client feedback.</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a final termination date that will remain unchanged regardless of the couple's response. It dismisses, isolates, or fails to integrate outcome, alliance, implementation, and client-feedback data before modifying the plan. It therefore does not resolve using planned measures to evaluate early process and outcome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using planned measures to evaluate early process and outcome at the FIRST decision point. The supported action is: Establish baseline data, observable indicators, appropriate measures, and a collaborative review schedule. This integrates baseline, outcome and alliance data, implementation, barriers, client meaning, collaborative review, adaptation, and continuity.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a requirement that both partners report identical satisfaction ratings before progress is recognized. It uses an automatic, universal, coercive, or unnecessarily restrictive response that the stated facts do not justify. It therefore does not resolve using planned measures to evaluate early process and outcome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a single symptom score that will replace alliance, context, functioning, and client feedback. It dismisses, isolates, or fails to integrate outcome, alliance, implementation, and client-feedback data before modifying the plan. It therefore does not resolve using planned measures to evaluate early process and outcome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using planned measures to evaluate early process and outcome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KA56</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 OVER</w:t>
            </w:r>
          </w:p>
        </w:tc>
      </w:tr>
    </w:tbl>
    <w:p>
      <w:pPr>
        <w:spacing w:after="20"/>
      </w:pPr>
    </w:p>
    <w:p>
      <w:r>
        <w:br w:type="page"/>
      </w:r>
    </w:p>
    <w:p>
      <w:pPr>
        <w:pStyle w:val="Heading1"/>
      </w:pPr>
      <w:r>
        <w:t>Item 7 - Controlled Rationale</w:t>
      </w:r>
    </w:p>
    <w:p>
      <w:pPr>
        <w:spacing w:after="80" w:line="245" w:lineRule="auto"/>
      </w:pPr>
      <w:r>
        <w:rPr>
          <w:rFonts w:ascii="Calibri" w:hAnsi="Calibri"/>
          <w:b/>
          <w:color w:val="0B2545"/>
          <w:sz w:val="18"/>
        </w:rPr>
        <w:t xml:space="preserve">Stem: </w:t>
      </w:r>
      <w:r>
        <w:rPr>
          <w:rFonts w:ascii="Calibri" w:hAnsi="Calibri"/>
          <w:color w:val="1D2939"/>
          <w:sz w:val="18"/>
        </w:rPr>
        <w:t>An agency policy permits an intervention that applicable law allows, but the current professional ethics code requires additional safeguards. Which response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Follow the agency policy because employment rules supersede professional responsibilities during agency work.</w:t>
      </w:r>
    </w:p>
    <w:p>
      <w:pPr>
        <w:spacing w:after="44" w:line="240" w:lineRule="auto"/>
        <w:ind w:left="173" w:hanging="173"/>
      </w:pPr>
      <w:r>
        <w:rPr>
          <w:rFonts w:ascii="Calibri" w:hAnsi="Calibri"/>
          <w:b/>
          <w:color w:val="0B2545"/>
          <w:sz w:val="18"/>
        </w:rPr>
        <w:t xml:space="preserve">B. </w:t>
      </w:r>
      <w:r>
        <w:rPr>
          <w:rFonts w:ascii="Calibri" w:hAnsi="Calibri"/>
          <w:color w:val="1D2939"/>
          <w:sz w:val="18"/>
        </w:rPr>
        <w:t>Use the least restrictive requirement because legal permission makes further ethical analysis unnecessary.</w:t>
      </w:r>
    </w:p>
    <w:p>
      <w:pPr>
        <w:spacing w:after="44" w:line="240" w:lineRule="auto"/>
        <w:ind w:left="173" w:hanging="173"/>
      </w:pPr>
      <w:r>
        <w:rPr>
          <w:rFonts w:ascii="Calibri" w:hAnsi="Calibri"/>
          <w:b/>
          <w:color w:val="0B2545"/>
          <w:sz w:val="18"/>
        </w:rPr>
        <w:t xml:space="preserve">C. </w:t>
      </w:r>
      <w:r>
        <w:rPr>
          <w:rFonts w:ascii="Calibri" w:hAnsi="Calibri"/>
          <w:color w:val="1D2939"/>
          <w:sz w:val="18"/>
        </w:rPr>
        <w:t>Map all applicable duties, meet compatible higher protections, and seek consultation when obligations conflict.</w:t>
      </w:r>
    </w:p>
    <w:p>
      <w:pPr>
        <w:spacing w:after="44" w:line="240" w:lineRule="auto"/>
        <w:ind w:left="173" w:hanging="173"/>
      </w:pPr>
      <w:r>
        <w:rPr>
          <w:rFonts w:ascii="Calibri" w:hAnsi="Calibri"/>
          <w:b/>
          <w:color w:val="0B2545"/>
          <w:sz w:val="18"/>
        </w:rPr>
        <w:t xml:space="preserve">D. </w:t>
      </w:r>
      <w:r>
        <w:rPr>
          <w:rFonts w:ascii="Calibri" w:hAnsi="Calibri"/>
          <w:color w:val="1D2939"/>
          <w:sz w:val="18"/>
        </w:rPr>
        <w:t>Avoid documenting the analysis because a written record could reveal uncertainty about the decision.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exceeded or failed to verify competence, role, or authority. This choice proposes: follow the agency policy. It assumes competence, authority, jurisdiction, or role instead of verifying the boundary and obtaining consultation, coordination, or referral as needed. It therefore does not resolve resolving policy, law, and ethics conflicts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use the least restrictive requirement. It treats policy, payment, convenience, or a signature as a substitute for verified legal, ethical, consent, privacy, record, or client-rights duties. It therefore does not resolve resolving policy, law, and ethics conflicts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resolving policy, law, and ethics conflicts at the BEST decision point. The supported action is: Map all applicable duties, meet compatible higher protections, and seek consultation when obligations conflict.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avoid documenting the analysis. It treats policy, payment, convenience, or a signature as a substitute for verified legal, ethical, consent, privacy, record, or client-rights duties. It therefore does not resolve resolving policy, law, and ethics conflicts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resolving policy, law, and ethics conflicts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KA59</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SCOPE, ETHICS</w:t>
            </w:r>
          </w:p>
        </w:tc>
      </w:tr>
    </w:tbl>
    <w:p>
      <w:pPr>
        <w:spacing w:after="20"/>
      </w:pPr>
    </w:p>
    <w:p>
      <w:r>
        <w:br w:type="page"/>
      </w:r>
    </w:p>
    <w:p>
      <w:pPr>
        <w:pStyle w:val="Heading1"/>
      </w:pPr>
      <w:r>
        <w:t>Item 8 -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reports suicidal thoughts, has identified a method, and says the means are available at home. The client is uncertain about acting today.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Ask the client to promise not to act and continue the planned session if the promise is given.</w:t>
      </w:r>
    </w:p>
    <w:p>
      <w:pPr>
        <w:spacing w:after="44" w:line="240" w:lineRule="auto"/>
        <w:ind w:left="173" w:hanging="173"/>
      </w:pPr>
      <w:r>
        <w:rPr>
          <w:rFonts w:ascii="Calibri" w:hAnsi="Calibri"/>
          <w:b/>
          <w:color w:val="0B2545"/>
          <w:sz w:val="18"/>
        </w:rPr>
        <w:t xml:space="preserve">B. </w:t>
      </w:r>
      <w:r>
        <w:rPr>
          <w:rFonts w:ascii="Calibri" w:hAnsi="Calibri"/>
          <w:color w:val="1D2939"/>
          <w:sz w:val="18"/>
        </w:rPr>
        <w:t>Postpone further assessment until a family member can verify whether the means are actually available.</w:t>
      </w:r>
    </w:p>
    <w:p>
      <w:pPr>
        <w:spacing w:after="44" w:line="240" w:lineRule="auto"/>
        <w:ind w:left="173" w:hanging="173"/>
      </w:pPr>
      <w:r>
        <w:rPr>
          <w:rFonts w:ascii="Calibri" w:hAnsi="Calibri"/>
          <w:b/>
          <w:color w:val="0B2545"/>
          <w:sz w:val="18"/>
        </w:rPr>
        <w:t xml:space="preserve">C. </w:t>
      </w:r>
      <w:r>
        <w:rPr>
          <w:rFonts w:ascii="Calibri" w:hAnsi="Calibri"/>
          <w:color w:val="1D2939"/>
          <w:sz w:val="18"/>
        </w:rPr>
        <w:t>Begin cognitive restructuring because uncertainty about acting indicates that outpatient treatment is sufficient.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Complete focused risk assessment, restrict access, establish supervision, and initiate the indicated safety intervention.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ask the client to promise not to act and continue the planned session if the promise is given. It does not directly assess or respond to the supported risk, medical urgency, access, protection, or level-of-care question. It therefore does not resolve suicide risk and intervention level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postpone further assessment until a family member can verify whether the means are actually available. It delays, minimizes, conceals, or leaves the supported concern unresolved when direct action is already indicated. It therefore does not resolve suicide risk and intervention level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begin cognitive restructuring. It does not directly assess or respond to the supported risk, medical urgency, access, protection, or level-of-care question. It therefore does not resolve suicide risk and intervention level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suicide risk and intervention level at the NEXT decision point. The supported action is: Complete focused risk assessment, restrict access, establish supervision, and initiate the indicated safety intervention. This integrates direct risk or medical assessment, immediacy, intent, means or access, protection, level of care, local resources, and documentation.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suicide risk and intervention level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KA23, KA48</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SAFETY, UNDER</w:t>
            </w:r>
          </w:p>
        </w:tc>
      </w:tr>
    </w:tbl>
    <w:p>
      <w:pPr>
        <w:spacing w:after="20"/>
      </w:pPr>
    </w:p>
    <w:p>
      <w:r>
        <w:br w:type="page"/>
      </w:r>
    </w:p>
    <w:p>
      <w:pPr>
        <w:pStyle w:val="Heading1"/>
      </w:pPr>
      <w:r>
        <w:t>Item 9 - Controlled Rationale</w:t>
      </w:r>
    </w:p>
    <w:p>
      <w:pPr>
        <w:spacing w:after="80" w:line="245" w:lineRule="auto"/>
      </w:pPr>
      <w:r>
        <w:rPr>
          <w:rFonts w:ascii="Calibri" w:hAnsi="Calibri"/>
          <w:b/>
          <w:color w:val="0B2545"/>
          <w:sz w:val="18"/>
        </w:rPr>
        <w:t xml:space="preserve">Stem: </w:t>
      </w:r>
      <w:r>
        <w:rPr>
          <w:rFonts w:ascii="Calibri" w:hAnsi="Calibri"/>
          <w:color w:val="1D2939"/>
          <w:sz w:val="18"/>
        </w:rPr>
        <w:t>Parents want therapy to stop their adult child's independent decisions, while the adult child wants fewer arguments and safer communication. Which treatment contract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Define observable communication and safety goals, clarify roles, and preserve the adult client's decision-making autonomy.</w:t>
      </w:r>
    </w:p>
    <w:p>
      <w:pPr>
        <w:spacing w:after="44" w:line="240" w:lineRule="auto"/>
        <w:ind w:left="173" w:hanging="173"/>
      </w:pPr>
      <w:r>
        <w:rPr>
          <w:rFonts w:ascii="Calibri" w:hAnsi="Calibri"/>
          <w:b/>
          <w:color w:val="0B2545"/>
          <w:sz w:val="18"/>
        </w:rPr>
        <w:t xml:space="preserve">B. </w:t>
      </w:r>
      <w:r>
        <w:rPr>
          <w:rFonts w:ascii="Calibri" w:hAnsi="Calibri"/>
          <w:color w:val="1D2939"/>
          <w:sz w:val="18"/>
        </w:rPr>
        <w:t>Accept the parents' goal because the people paying for therapy should control the treatment outcome.</w:t>
      </w:r>
    </w:p>
    <w:p>
      <w:pPr>
        <w:spacing w:after="44" w:line="240" w:lineRule="auto"/>
        <w:ind w:left="173" w:hanging="173"/>
      </w:pPr>
      <w:r>
        <w:rPr>
          <w:rFonts w:ascii="Calibri" w:hAnsi="Calibri"/>
          <w:b/>
          <w:color w:val="0B2545"/>
          <w:sz w:val="18"/>
        </w:rPr>
        <w:t xml:space="preserve">C. </w:t>
      </w:r>
      <w:r>
        <w:rPr>
          <w:rFonts w:ascii="Calibri" w:hAnsi="Calibri"/>
          <w:color w:val="1D2939"/>
          <w:sz w:val="18"/>
        </w:rPr>
        <w:t>Exclude the parents from treatment immediately because their preferred outcome conflicts with the adult child's autonomy.</w:t>
      </w:r>
    </w:p>
    <w:p>
      <w:pPr>
        <w:spacing w:after="44" w:line="240" w:lineRule="auto"/>
        <w:ind w:left="173" w:hanging="173"/>
      </w:pPr>
      <w:r>
        <w:rPr>
          <w:rFonts w:ascii="Calibri" w:hAnsi="Calibri"/>
          <w:b/>
          <w:color w:val="0B2545"/>
          <w:sz w:val="18"/>
        </w:rPr>
        <w:t xml:space="preserve">D. </w:t>
      </w:r>
      <w:r>
        <w:rPr>
          <w:rFonts w:ascii="Calibri" w:hAnsi="Calibri"/>
          <w:color w:val="1D2939"/>
          <w:sz w:val="18"/>
        </w:rPr>
        <w:t>Postpone contracting until every family member agrees about who is responsible for the conflict.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therapeutic contracts, homeostasis, and goal attainment at the MOST decision point. The supported action is: Define observable communication and safety goals, clarify roles, and preserve the adult client's decision-making autonomy.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underweighted culture, power, access, identity, or autonomy. This choice proposes: accept the parents' goal. It underweights culture, power, access, identity, autonomy, or the client's meaning and makes participation less safe or feasible. It therefore does not resolve therapeutic contracts, homeostasis, and goal attainment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exclude the parents from treatment immediately. It selects an action without a shared goal, coherent formulation, treatment-unit decision, sequence, or observable outcome. It therefore does not resolve therapeutic contracts, homeostasis, and goal attainment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postpone contracting until every family member agrees about who is responsible for the conflict. It delays, minimizes, conceals, or leaves the supported concern unresolved when direct action is already indicated. It therefore does not resolve therapeutic contracts, homeostasis, and goal attainment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therapeutic contracts, homeostasis, and goal attainment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CTA-LMFT-AMFTRB-CP2-Q009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03.02, 03.16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CONTEXT, PLAN, UNDER</w:t>
            </w:r>
          </w:p>
        </w:tc>
      </w:tr>
    </w:tbl>
    <w:p>
      <w:pPr>
        <w:spacing w:after="20"/>
      </w:pPr>
    </w:p>
    <w:p>
      <w:r>
        <w:br w:type="page"/>
      </w:r>
    </w:p>
    <w:p>
      <w:pPr>
        <w:pStyle w:val="Heading1"/>
      </w:pPr>
      <w:r>
        <w:t>Item 10 - Controlled Rationale</w:t>
      </w:r>
    </w:p>
    <w:p>
      <w:pPr>
        <w:spacing w:after="80" w:line="245" w:lineRule="auto"/>
      </w:pPr>
      <w:r>
        <w:rPr>
          <w:rFonts w:ascii="Calibri" w:hAnsi="Calibri"/>
          <w:b/>
          <w:color w:val="0B2545"/>
          <w:sz w:val="18"/>
        </w:rPr>
        <w:t xml:space="preserve">Stem: </w:t>
      </w:r>
      <w:r>
        <w:rPr>
          <w:rFonts w:ascii="Calibri" w:hAnsi="Calibri"/>
          <w:color w:val="1D2939"/>
          <w:sz w:val="18"/>
        </w:rPr>
        <w:t>A partner reports that the other has slept two hours nightly for a week, speaks rapidly, spends impulsively, and is behaving very differently from baseline.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Interpret the spending as an attempt to rebalance power in the relationship and begin a communication exercise.</w:t>
      </w:r>
    </w:p>
    <w:p>
      <w:pPr>
        <w:spacing w:after="44" w:line="240" w:lineRule="auto"/>
        <w:ind w:left="173" w:hanging="173"/>
      </w:pPr>
      <w:r>
        <w:rPr>
          <w:rFonts w:ascii="Calibri" w:hAnsi="Calibri"/>
          <w:b/>
          <w:color w:val="0B2545"/>
          <w:sz w:val="18"/>
        </w:rPr>
        <w:t xml:space="preserve">B. </w:t>
      </w:r>
      <w:r>
        <w:rPr>
          <w:rFonts w:ascii="Calibri" w:hAnsi="Calibri"/>
          <w:color w:val="1D2939"/>
          <w:sz w:val="18"/>
        </w:rPr>
        <w:t>Assess mental status, functioning, safety, substances and medications, and need for urgent outside evaluation.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the reporting partner to stop monitoring the behavior because collateral information may bias the assessment.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Wait for the next scheduled session to determine whether the change resolves without intervention.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interpret the spending as an attempt to rebalance power in the relationship and begin a communication exercise. It reaches a conclusion or selects a response before integrating the clinical, relational, contextual, and functional data needed for this decision. It therefore does not resolve mental-status findings, baseline change, and functioning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mental-status findings, baseline change, and functioning at the FIRST decision point. The supported action is: Assess mental status, functioning, safety, substances and medications, and need for urgent outside evaluation. This integrates interview, observation, history, mental status, functioning, valid measures, context, and revisable hypotheses.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ask the reporting partner to stop monitoring the behavior. It reaches a conclusion or selects a response before integrating the clinical, relational, contextual, and functional data needed for this decision. It therefore does not resolve mental-status findings, baseline change, and functioning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for the next scheduled session to determine whether the change resolves without intervention. It delays, minimizes, conceals, or leaves the supported concern unresolved when direct action is already indicated. It therefore does not resolve mental-status findings, baseline change, and functioning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mental-status findings, baseline change, and functioning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02.02, 02.08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KA18, KA36</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WB3</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ASSESS, UNDER</w:t>
            </w:r>
          </w:p>
        </w:tc>
      </w:tr>
    </w:tbl>
    <w:p>
      <w:pPr>
        <w:spacing w:after="20"/>
      </w:pPr>
    </w:p>
    <w:p>
      <w:r>
        <w:br w:type="page"/>
      </w:r>
    </w:p>
    <w:p>
      <w:pPr>
        <w:pStyle w:val="Heading1"/>
      </w:pPr>
      <w:r>
        <w:t>Item 11 -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using a solution-focused approach repeatedly interprets childhood causes and assigns insight-oriented dream analysis, although the clients want observable near-term change. Which revision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Keep the interventions and relabel them as solution-focused so the written plan remains internally consistent.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Ask the clients to adopt the therapist's theory before discussing goals or preferred outcomes.</w:t>
      </w:r>
    </w:p>
    <w:p>
      <w:pPr>
        <w:spacing w:after="44" w:line="240" w:lineRule="auto"/>
        <w:ind w:left="173" w:hanging="173"/>
      </w:pPr>
      <w:r>
        <w:rPr>
          <w:rFonts w:ascii="Calibri" w:hAnsi="Calibri"/>
          <w:b/>
          <w:color w:val="0B2545"/>
          <w:sz w:val="18"/>
        </w:rPr>
        <w:t xml:space="preserve">C. </w:t>
      </w:r>
      <w:r>
        <w:rPr>
          <w:rFonts w:ascii="Calibri" w:hAnsi="Calibri"/>
          <w:color w:val="1D2939"/>
          <w:sz w:val="18"/>
        </w:rPr>
        <w:t>Align stance, language, goals, and interventions around exceptions, preferred outcomes, strengths, and observable next steps.</w:t>
      </w:r>
    </w:p>
    <w:p>
      <w:pPr>
        <w:spacing w:after="44" w:line="240" w:lineRule="auto"/>
        <w:ind w:left="173" w:hanging="173"/>
      </w:pPr>
      <w:r>
        <w:rPr>
          <w:rFonts w:ascii="Calibri" w:hAnsi="Calibri"/>
          <w:b/>
          <w:color w:val="0B2545"/>
          <w:sz w:val="18"/>
        </w:rPr>
        <w:t xml:space="preserve">D. </w:t>
      </w:r>
      <w:r>
        <w:rPr>
          <w:rFonts w:ascii="Calibri" w:hAnsi="Calibri"/>
          <w:color w:val="1D2939"/>
          <w:sz w:val="18"/>
        </w:rPr>
        <w:t>Use techniques from several models without explaining how any of them connect to the formulation.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keep the interventions and relabel them as solution-focused. It reduces a reciprocal relational pattern to one person, one cause, or one account and therefore loses the systemic formulation. It therefore does not resolve consistency among theory, stance, language, goals, and action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ask the clients to adopt the therapist's theory before discussing goals or preferred outcomes. It reduces a reciprocal relational pattern to one person, one cause, or one account and therefore loses the systemic formulation. It therefore does not resolve consistency among theory, stance, language, goals, and action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consistency among theory, stance, language, goals, and action at the BEST decision point. The supported action is: Align stance, language, goals, and interventions around exceptions, preferred outcomes, strengths, and observable next steps.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use techniques from several models without explaining how any of them connect to the formulation. It reduces a reciprocal relational pattern to one person, one cause, or one account and therefore loses the systemic formulation. It therefore does not resolve consistency among theory, stance, language, goals, and action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consistency among theory, stance, language, goals, and action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KA03</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WB1</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r>
    </w:tbl>
    <w:p>
      <w:pPr>
        <w:spacing w:after="20"/>
      </w:pPr>
    </w:p>
    <w:p>
      <w:r>
        <w:br w:type="page"/>
      </w:r>
    </w:p>
    <w:p>
      <w:pPr>
        <w:pStyle w:val="Heading1"/>
      </w:pPr>
      <w:r>
        <w:t>Item 12 - Controlled Rationale</w:t>
      </w:r>
    </w:p>
    <w:p>
      <w:pPr>
        <w:spacing w:after="80" w:line="245" w:lineRule="auto"/>
      </w:pPr>
      <w:r>
        <w:rPr>
          <w:rFonts w:ascii="Calibri" w:hAnsi="Calibri"/>
          <w:b/>
          <w:color w:val="0B2545"/>
          <w:sz w:val="18"/>
        </w:rPr>
        <w:t xml:space="preserve">Stem: </w:t>
      </w:r>
      <w:r>
        <w:rPr>
          <w:rFonts w:ascii="Calibri" w:hAnsi="Calibri"/>
          <w:color w:val="1D2939"/>
          <w:sz w:val="18"/>
        </w:rPr>
        <w:t>At the scheduled four-week review, a family's outcome ratings have improved while one adolescent reports feeling less heard in sessions.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Treat the improved ratings as proof that the adolescent's concern is unrelated to treatment quality.</w:t>
      </w:r>
    </w:p>
    <w:p>
      <w:pPr>
        <w:spacing w:after="44" w:line="240" w:lineRule="auto"/>
        <w:ind w:left="173" w:hanging="173"/>
      </w:pPr>
      <w:r>
        <w:rPr>
          <w:rFonts w:ascii="Calibri" w:hAnsi="Calibri"/>
          <w:b/>
          <w:color w:val="0B2545"/>
          <w:sz w:val="18"/>
        </w:rPr>
        <w:t xml:space="preserve">B. </w:t>
      </w:r>
      <w:r>
        <w:rPr>
          <w:rFonts w:ascii="Calibri" w:hAnsi="Calibri"/>
          <w:color w:val="1D2939"/>
          <w:sz w:val="18"/>
        </w:rPr>
        <w:t>Discontinue the measures because disagreement among data sources makes them invalid.</w:t>
      </w:r>
    </w:p>
    <w:p>
      <w:pPr>
        <w:spacing w:after="44" w:line="240" w:lineRule="auto"/>
        <w:ind w:left="173" w:hanging="173"/>
      </w:pPr>
      <w:r>
        <w:rPr>
          <w:rFonts w:ascii="Calibri" w:hAnsi="Calibri"/>
          <w:b/>
          <w:color w:val="0B2545"/>
          <w:sz w:val="18"/>
        </w:rPr>
        <w:t xml:space="preserve">C. </w:t>
      </w:r>
      <w:r>
        <w:rPr>
          <w:rFonts w:ascii="Calibri" w:hAnsi="Calibri"/>
          <w:color w:val="1D2939"/>
          <w:sz w:val="18"/>
        </w:rPr>
        <w:t>Continue the plan unchanged until the next formal review to avoid reacting to one comment.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Review goals, measures, alliance feedback, and baseline collaboratively, then revise the plan as indicated.</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treat the improved ratings as proof that the adolescent's concern is unrelated to treatment quality. It dismisses, isolates, or fails to integrate outcome, alliance, implementation, and client-feedback data before modifying the plan. It therefore does not resolve collaborative progress review against goals and baseline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discontinue the measures. It dismisses, isolates, or fails to integrate outcome, alliance, implementation, and client-feedback data before modifying the plan. It therefore does not resolve collaborative progress review against goals and baseline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continue the plan unchanged until the next formal review to avoid reacting to one comment. It delays, minimizes, conceals, or leaves the supported concern unresolved when direct action is already indicated. It therefore does not resolve collaborative progress review against goals and baseline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collaborative progress review against goals and baseline at the NEXT decision point. The supported action is: Review goals, measures, alliance feedback, and baseline collaboratively, then revise the plan as indicated. This integrates baseline, outcome and alliance data, implementation, barriers, client meaning, collaborative review, adaptation, and continuity.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collaborative progress review against goals and baseline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 UNDER</w:t>
            </w:r>
          </w:p>
        </w:tc>
      </w:tr>
    </w:tbl>
    <w:p>
      <w:pPr>
        <w:spacing w:after="20"/>
      </w:pPr>
    </w:p>
    <w:p>
      <w:r>
        <w:br w:type="page"/>
      </w:r>
    </w:p>
    <w:p>
      <w:pPr>
        <w:pStyle w:val="Heading1"/>
      </w:pPr>
      <w:r>
        <w:t>Item 13 -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discovers that the practice's consent template reflects an earlier ethics code and omits a safeguard required by the current code. Which response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Verify current standards, consult as needed, correct the practice, and address any client impact.</w:t>
      </w:r>
    </w:p>
    <w:p>
      <w:pPr>
        <w:spacing w:after="44" w:line="240" w:lineRule="auto"/>
        <w:ind w:left="173" w:hanging="173"/>
      </w:pPr>
      <w:r>
        <w:rPr>
          <w:rFonts w:ascii="Calibri" w:hAnsi="Calibri"/>
          <w:b/>
          <w:color w:val="0B2545"/>
          <w:sz w:val="18"/>
        </w:rPr>
        <w:t xml:space="preserve">B. </w:t>
      </w:r>
      <w:r>
        <w:rPr>
          <w:rFonts w:ascii="Calibri" w:hAnsi="Calibri"/>
          <w:color w:val="1D2939"/>
          <w:sz w:val="18"/>
        </w:rPr>
        <w:t>Keep using the template until the next annual review because clients already signed the older version.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Add a verbal explanation for future clients but leave the written process unchanged to preserve consistency.</w:t>
      </w:r>
    </w:p>
    <w:p>
      <w:pPr>
        <w:spacing w:after="44" w:line="240" w:lineRule="auto"/>
        <w:ind w:left="173" w:hanging="173"/>
      </w:pPr>
      <w:r>
        <w:rPr>
          <w:rFonts w:ascii="Calibri" w:hAnsi="Calibri"/>
          <w:b/>
          <w:color w:val="0B2545"/>
          <w:sz w:val="18"/>
        </w:rPr>
        <w:t xml:space="preserve">D. </w:t>
      </w:r>
      <w:r>
        <w:rPr>
          <w:rFonts w:ascii="Calibri" w:hAnsi="Calibri"/>
          <w:color w:val="1D2939"/>
          <w:sz w:val="18"/>
        </w:rPr>
        <w:t>Follow the older template whenever it is less burdensome than the current professional standard.</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current ethics-code integration in clinical judgment at the MOST decision point. The supported action is: Verify current standards, consult as needed, correct the practice, and address any client impact.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keep using the template until the next annual review. It delays, minimizes, conceals, or leaves the supported concern unresolved when direct action is already indicated. It therefore does not resolve current ethics-code integration in clinical judgment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add a verbal explanation for future clients but leave the written process unchanged to preserve consistency. It treats policy, payment, convenience, or a signature as a substitute for verified legal, ethical, consent, privacy, record, or client-rights duties. It therefore does not resolve current ethics-code integration in clinical judgment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follow the older template whenever it is less burdensome than the current professional standard. It uses an automatic, universal, coercive, or unnecessarily restrictive response that the stated facts do not justify. It therefore does not resolve current ethics-code integration in clinical judgment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current ethics-code integration in clinical judgment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KA60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UNDER, ETHICS, OVER</w:t>
            </w:r>
          </w:p>
        </w:tc>
      </w:tr>
    </w:tbl>
    <w:p>
      <w:pPr>
        <w:spacing w:after="20"/>
      </w:pPr>
    </w:p>
    <w:p>
      <w:r>
        <w:br w:type="page"/>
      </w:r>
    </w:p>
    <w:p>
      <w:pPr>
        <w:pStyle w:val="Heading1"/>
      </w:pPr>
      <w:r>
        <w:t>Item 14 -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quietly reports that a controlling partner is tracking the client's phone, is waiting outside, and threatened retaliation if therapy continues.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Call the partner into the room so both accounts can be evaluated before changing the treatment plan.</w:t>
      </w:r>
    </w:p>
    <w:p>
      <w:pPr>
        <w:spacing w:after="44" w:line="240" w:lineRule="auto"/>
        <w:ind w:left="173" w:hanging="173"/>
      </w:pPr>
      <w:r>
        <w:rPr>
          <w:rFonts w:ascii="Calibri" w:hAnsi="Calibri"/>
          <w:b/>
          <w:color w:val="0B2545"/>
          <w:sz w:val="18"/>
        </w:rPr>
        <w:t xml:space="preserve">B. </w:t>
      </w:r>
      <w:r>
        <w:rPr>
          <w:rFonts w:ascii="Calibri" w:hAnsi="Calibri"/>
          <w:color w:val="1D2939"/>
          <w:sz w:val="18"/>
        </w:rPr>
        <w:t>Assess immediate danger and safe communication privately, protect the client's departure, and activate appropriate emergency or protective resources.</w:t>
      </w:r>
    </w:p>
    <w:p>
      <w:pPr>
        <w:spacing w:after="44" w:line="240" w:lineRule="auto"/>
        <w:ind w:left="173" w:hanging="173"/>
      </w:pPr>
      <w:r>
        <w:rPr>
          <w:rFonts w:ascii="Calibri" w:hAnsi="Calibri"/>
          <w:b/>
          <w:color w:val="0B2545"/>
          <w:sz w:val="18"/>
        </w:rPr>
        <w:t xml:space="preserve">C. </w:t>
      </w:r>
      <w:r>
        <w:rPr>
          <w:rFonts w:ascii="Calibri" w:hAnsi="Calibri"/>
          <w:color w:val="1D2939"/>
          <w:sz w:val="18"/>
        </w:rPr>
        <w:t>Tell the client to end the relationship today because leaving is the only safe clinical recommendation.</w:t>
      </w:r>
    </w:p>
    <w:p>
      <w:pPr>
        <w:spacing w:after="44" w:line="240" w:lineRule="auto"/>
        <w:ind w:left="173" w:hanging="173"/>
      </w:pPr>
      <w:r>
        <w:rPr>
          <w:rFonts w:ascii="Calibri" w:hAnsi="Calibri"/>
          <w:b/>
          <w:color w:val="0B2545"/>
          <w:sz w:val="18"/>
        </w:rPr>
        <w:t xml:space="preserve">D. </w:t>
      </w:r>
      <w:r>
        <w:rPr>
          <w:rFonts w:ascii="Calibri" w:hAnsi="Calibri"/>
          <w:color w:val="1D2939"/>
          <w:sz w:val="18"/>
        </w:rPr>
        <w:t>Document the disclosure and return to routine therapy unless physical injury is visible.</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call the partner into the room. It does not directly assess or respond to the supported risk, medical urgency, access, protection, or level-of-care question. It therefore does not resolve danger to the client from other people or systems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danger to the client from other people or systems at the FIRST decision point. The supported action is: Assess immediate danger and safe communication privately, protect the client's departure, and activate appropriate emergency or protective resources. This integrates direct risk or medical assessment, immediacy, intent, means or access, protection, level of care, local resources,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tell the client to end the relationship today. It uses an automatic, universal, coercive, or unnecessarily restrictive response that the stated facts do not justify. It therefore does not resolve danger to the client from other people or systems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document the disclosure and return to routine therapy unless physical injury is visible. It delays, minimizes, conceals, or leaves the supported concern unresolved when direct action is already indicated. It therefore does not resolve danger to the client from other people or systems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danger to the client from other people or systems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KA25, KA49</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SAFETY, OVER, UNDER</w:t>
            </w:r>
          </w:p>
        </w:tc>
      </w:tr>
    </w:tbl>
    <w:p>
      <w:pPr>
        <w:spacing w:after="20"/>
      </w:pPr>
    </w:p>
    <w:p>
      <w:r>
        <w:br w:type="page"/>
      </w:r>
    </w:p>
    <w:p>
      <w:pPr>
        <w:pStyle w:val="Heading1"/>
      </w:pPr>
      <w:r>
        <w:t>Item 15 - Controlled Rationale</w:t>
      </w:r>
    </w:p>
    <w:p>
      <w:pPr>
        <w:spacing w:after="80" w:line="245" w:lineRule="auto"/>
      </w:pPr>
      <w:r>
        <w:rPr>
          <w:rFonts w:ascii="Calibri" w:hAnsi="Calibri"/>
          <w:b/>
          <w:color w:val="0B2545"/>
          <w:sz w:val="18"/>
        </w:rPr>
        <w:t xml:space="preserve">Stem: </w:t>
      </w:r>
      <w:r>
        <w:rPr>
          <w:rFonts w:ascii="Calibri" w:hAnsi="Calibri"/>
          <w:color w:val="1D2939"/>
          <w:sz w:val="18"/>
        </w:rPr>
        <w:t>A family requests help with a child's school refusal. They are also facing an eviction deadline, transportation barriers, and disagreement about whether extended family should help. Which plan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Treat school refusal in isolation so social conditions do not distract from the presenting symptom.</w:t>
      </w:r>
    </w:p>
    <w:p>
      <w:pPr>
        <w:spacing w:after="44" w:line="240" w:lineRule="auto"/>
        <w:ind w:left="173" w:hanging="173"/>
      </w:pPr>
      <w:r>
        <w:rPr>
          <w:rFonts w:ascii="Calibri" w:hAnsi="Calibri"/>
          <w:b/>
          <w:color w:val="0B2545"/>
          <w:sz w:val="18"/>
        </w:rPr>
        <w:t xml:space="preserve">B. </w:t>
      </w:r>
      <w:r>
        <w:rPr>
          <w:rFonts w:ascii="Calibri" w:hAnsi="Calibri"/>
          <w:color w:val="1D2939"/>
          <w:sz w:val="18"/>
        </w:rPr>
        <w:t>Make housing stability the only treatment goal and suspend all family clinical work until the eviction is resolved.</w:t>
      </w:r>
    </w:p>
    <w:p>
      <w:pPr>
        <w:spacing w:after="44" w:line="240" w:lineRule="auto"/>
        <w:ind w:left="173" w:hanging="173"/>
      </w:pPr>
      <w:r>
        <w:rPr>
          <w:rFonts w:ascii="Calibri" w:hAnsi="Calibri"/>
          <w:b/>
          <w:color w:val="0B2545"/>
          <w:sz w:val="18"/>
        </w:rPr>
        <w:t xml:space="preserve">C. </w:t>
      </w:r>
      <w:r>
        <w:rPr>
          <w:rFonts w:ascii="Calibri" w:hAnsi="Calibri"/>
          <w:color w:val="1D2939"/>
          <w:sz w:val="18"/>
        </w:rPr>
        <w:t>Prioritize immediate stability and access needs while collaboratively integrating school, family, cultural, and symptom goals into a feasible sequence.</w:t>
      </w:r>
    </w:p>
    <w:p>
      <w:pPr>
        <w:spacing w:after="44" w:line="240" w:lineRule="auto"/>
        <w:ind w:left="173" w:hanging="173"/>
      </w:pPr>
      <w:r>
        <w:rPr>
          <w:rFonts w:ascii="Calibri" w:hAnsi="Calibri"/>
          <w:b/>
          <w:color w:val="0B2545"/>
          <w:sz w:val="18"/>
        </w:rPr>
        <w:t xml:space="preserve">D. </w:t>
      </w:r>
      <w:r>
        <w:rPr>
          <w:rFonts w:ascii="Calibri" w:hAnsi="Calibri"/>
          <w:color w:val="1D2939"/>
          <w:sz w:val="18"/>
        </w:rPr>
        <w:t>Ask the school to select the treatment priorities because attendance is the family's most measurable outcome.</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treat school refusal in isolation. It selects an action without a shared goal, coherent formulation, treatment-unit decision, sequence, or observable outcome. It therefore does not resolve contextual planning and competing treatment priorities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make housing stability the only treatment goal and suspend all family clinical work until the eviction is resolved. It uses an automatic, universal, coercive, or unnecessarily restrictive response that the stated facts do not justify. It therefore does not resolve contextual planning and competing treatment priorities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contextual planning and competing treatment priorities at the BEST decision point. The supported action is: Prioritize immediate stability and access needs while collaboratively integrating school, family, cultural, and symptom goals into a feasible sequence.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underweighted culture, power, access, identity, or autonomy. This choice proposes: ask the school to select the treatment priorities. It underweights culture, power, access, identity, autonomy, or the client's meaning and makes participation less safe or feasible. It therefore does not resolve contextual planning and competing treatment priorities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contextual planning and competing treatment priorities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03.03, 03.14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KA02, KA53</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PLAN, OVER, CONTEXT</w:t>
            </w:r>
          </w:p>
        </w:tc>
      </w:tr>
    </w:tbl>
    <w:p>
      <w:pPr>
        <w:spacing w:after="20"/>
      </w:pPr>
    </w:p>
    <w:p>
      <w:r>
        <w:br w:type="page"/>
      </w:r>
    </w:p>
    <w:p>
      <w:pPr>
        <w:pStyle w:val="Heading1"/>
      </w:pPr>
      <w:r>
        <w:t>Item 16 - Controlled Rationale</w:t>
      </w:r>
    </w:p>
    <w:p>
      <w:pPr>
        <w:spacing w:after="80" w:line="245" w:lineRule="auto"/>
      </w:pPr>
      <w:r>
        <w:rPr>
          <w:rFonts w:ascii="Calibri" w:hAnsi="Calibri"/>
          <w:b/>
          <w:color w:val="0B2545"/>
          <w:sz w:val="18"/>
        </w:rPr>
        <w:t xml:space="preserve">Stem: </w:t>
      </w:r>
      <w:r>
        <w:rPr>
          <w:rFonts w:ascii="Calibri" w:hAnsi="Calibri"/>
          <w:color w:val="1D2939"/>
          <w:sz w:val="18"/>
        </w:rPr>
        <w:t>During a couple assessment, both partners minimize prior pushing. One partner becomes silent when the other describes what happens at home, and the children have begun hiding during arguments.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Begin a conjoint communication exercise so the therapist can observe whether pushing recurs in session.</w:t>
      </w:r>
    </w:p>
    <w:p>
      <w:pPr>
        <w:spacing w:after="44" w:line="240" w:lineRule="auto"/>
        <w:ind w:left="173" w:hanging="173"/>
      </w:pPr>
      <w:r>
        <w:rPr>
          <w:rFonts w:ascii="Calibri" w:hAnsi="Calibri"/>
          <w:b/>
          <w:color w:val="0B2545"/>
          <w:sz w:val="18"/>
        </w:rPr>
        <w:t xml:space="preserve">B. </w:t>
      </w:r>
      <w:r>
        <w:rPr>
          <w:rFonts w:ascii="Calibri" w:hAnsi="Calibri"/>
          <w:color w:val="1D2939"/>
          <w:sz w:val="18"/>
        </w:rPr>
        <w:t>Assume the silence reflects agreement because neither partner identifies the behavior as dangerous.</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the children to attend the next conjoint session and describe which adult starts the conflict.</w:t>
      </w:r>
    </w:p>
    <w:p>
      <w:pPr>
        <w:spacing w:after="44" w:line="240" w:lineRule="auto"/>
        <w:ind w:left="173" w:hanging="173"/>
      </w:pPr>
      <w:r>
        <w:rPr>
          <w:rFonts w:ascii="Calibri" w:hAnsi="Calibri"/>
          <w:b/>
          <w:color w:val="0B2545"/>
          <w:sz w:val="18"/>
        </w:rPr>
        <w:t xml:space="preserve">D. </w:t>
      </w:r>
      <w:r>
        <w:rPr>
          <w:rFonts w:ascii="Calibri" w:hAnsi="Calibri"/>
          <w:color w:val="1D2939"/>
          <w:sz w:val="18"/>
        </w:rPr>
        <w:t>Privately assess violence, coercion, injury, fear, child exposure, and immediate safety before choosing modality.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begin a conjoint communication exercise. It reaches a conclusion or selects a response before integrating the clinical, relational, contextual, and functional data needed for this decision. It therefore does not resolve risk assessment integrated with trauma and violence context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assume the silence reflects agreement. It reaches a conclusion or selects a response before integrating the clinical, relational, contextual, and functional data needed for this decision. It therefore does not resolve risk assessment integrated with trauma and violence context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ask the children to attend the next conjoint session and describe which adult starts the conflict. It reaches a conclusion or selects a response before integrating the clinical, relational, contextual, and functional data needed for this decision. It therefore does not resolve risk assessment integrated with trauma and violence context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risk assessment integrated with trauma and violence context at the NEXT decision point. The supported action is: Privately assess violence, coercion, injury, fear, child exposure, and immediate safety before choosing modality. This integrates interview, observation, history, mental status, functioning, valid measures, context, and revisable hypotheses.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risk assessment integrated with trauma and violence context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02.03, 02.10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KA34, KA42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r>
    </w:tbl>
    <w:p>
      <w:pPr>
        <w:spacing w:after="20"/>
      </w:pPr>
    </w:p>
    <w:p>
      <w:r>
        <w:br w:type="page"/>
      </w:r>
    </w:p>
    <w:p>
      <w:pPr>
        <w:pStyle w:val="Heading1"/>
      </w:pPr>
      <w:r>
        <w:t>Item 17 -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has panic symptoms that require individual skills practice while family interactions repeatedly amplify avoidance. Which response MOST responsibly integrates individual and systemic work?</w:t>
      </w:r>
    </w:p>
    <w:p>
      <w:pPr>
        <w:spacing w:after="44" w:line="240" w:lineRule="auto"/>
        <w:ind w:left="173" w:hanging="173"/>
      </w:pPr>
      <w:r>
        <w:rPr>
          <w:rFonts w:ascii="Calibri" w:hAnsi="Calibri"/>
          <w:b/>
          <w:color w:val="0B2545"/>
          <w:sz w:val="18"/>
        </w:rPr>
        <w:t xml:space="preserve">A. </w:t>
      </w:r>
      <w:r>
        <w:rPr>
          <w:rFonts w:ascii="Calibri" w:hAnsi="Calibri"/>
          <w:color w:val="1D2939"/>
          <w:sz w:val="18"/>
        </w:rPr>
        <w:t>Address panic while mapping family responses and coordinating systemic goals, consultation, or referral as needed.</w:t>
      </w:r>
    </w:p>
    <w:p>
      <w:pPr>
        <w:spacing w:after="44" w:line="240" w:lineRule="auto"/>
        <w:ind w:left="173" w:hanging="173"/>
      </w:pPr>
      <w:r>
        <w:rPr>
          <w:rFonts w:ascii="Calibri" w:hAnsi="Calibri"/>
          <w:b/>
          <w:color w:val="0B2545"/>
          <w:sz w:val="18"/>
        </w:rPr>
        <w:t xml:space="preserve">B. </w:t>
      </w:r>
      <w:r>
        <w:rPr>
          <w:rFonts w:ascii="Calibri" w:hAnsi="Calibri"/>
          <w:color w:val="1D2939"/>
          <w:sz w:val="18"/>
        </w:rPr>
        <w:t>Ignore panic symptoms because systemic therapy should never include individual methods.</w:t>
      </w:r>
    </w:p>
    <w:p>
      <w:pPr>
        <w:spacing w:after="44" w:line="240" w:lineRule="auto"/>
        <w:ind w:left="173" w:hanging="173"/>
      </w:pPr>
      <w:r>
        <w:rPr>
          <w:rFonts w:ascii="Calibri" w:hAnsi="Calibri"/>
          <w:b/>
          <w:color w:val="0B2545"/>
          <w:sz w:val="18"/>
        </w:rPr>
        <w:t xml:space="preserve">C. </w:t>
      </w:r>
      <w:r>
        <w:rPr>
          <w:rFonts w:ascii="Calibri" w:hAnsi="Calibri"/>
          <w:color w:val="1D2939"/>
          <w:sz w:val="18"/>
        </w:rPr>
        <w:t>Treat the panic only as an individual disorder and exclude family responses from the formulation.</w:t>
      </w:r>
    </w:p>
    <w:p>
      <w:pPr>
        <w:spacing w:after="44" w:line="240" w:lineRule="auto"/>
        <w:ind w:left="173" w:hanging="173"/>
      </w:pPr>
      <w:r>
        <w:rPr>
          <w:rFonts w:ascii="Calibri" w:hAnsi="Calibri"/>
          <w:b/>
          <w:color w:val="0B2545"/>
          <w:sz w:val="18"/>
        </w:rPr>
        <w:t xml:space="preserve">D. </w:t>
      </w:r>
      <w:r>
        <w:rPr>
          <w:rFonts w:ascii="Calibri" w:hAnsi="Calibri"/>
          <w:color w:val="1D2939"/>
          <w:sz w:val="18"/>
        </w:rPr>
        <w:t>Alternate unrelated individual and family techniques without explaining how they support one coherent plan.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responsible integration of individual and systemic methods at the MOST decision point. The supported action is: Address panic while mapping family responses and coordinating systemic goals, consultation, or referral as needed.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ignore panic symptoms. It uses an automatic, universal, coercive, or unnecessarily restrictive response that the stated facts do not justify. It therefore does not resolve responsible integration of individual and systemic methods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treat the panic only as an individual disorder and exclude family responses from the formulation. It uses an automatic, universal, coercive, or unnecessarily restrictive response that the stated facts do not justify. It therefore does not resolve responsible integration of individual and systemic methods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alternate unrelated individual and family techniques without explaining how they support one coherent plan. It reduces a reciprocal relational pattern to one person, one cause, or one account and therefore loses the systemic formulation. It therefore does not resolve responsible integration of individual and systemic methods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responsible integration of individual and systemic methods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KA04</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SYSTEM</w:t>
            </w:r>
          </w:p>
        </w:tc>
      </w:tr>
    </w:tbl>
    <w:p>
      <w:pPr>
        <w:spacing w:after="20"/>
      </w:pPr>
    </w:p>
    <w:p>
      <w:r>
        <w:br w:type="page"/>
      </w:r>
    </w:p>
    <w:p>
      <w:pPr>
        <w:pStyle w:val="Heading1"/>
      </w:pPr>
      <w:r>
        <w:t>Item 18 -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hypothesized that a couple's avoidance maintains conflict, but planned approach behaviors are followed by greater fear and lower alliance ratings.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Increase the assignment intensity so avoidance cannot continue to interfere with treatment.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Review feedback and safety, reassess hypothesis and fit, and modify the plan collaboratively.</w:t>
      </w:r>
    </w:p>
    <w:p>
      <w:pPr>
        <w:spacing w:after="44" w:line="240" w:lineRule="auto"/>
        <w:ind w:left="173" w:hanging="173"/>
      </w:pPr>
      <w:r>
        <w:rPr>
          <w:rFonts w:ascii="Calibri" w:hAnsi="Calibri"/>
          <w:b/>
          <w:color w:val="0B2545"/>
          <w:sz w:val="18"/>
        </w:rPr>
        <w:t xml:space="preserve">C. </w:t>
      </w:r>
      <w:r>
        <w:rPr>
          <w:rFonts w:ascii="Calibri" w:hAnsi="Calibri"/>
          <w:color w:val="1D2939"/>
          <w:sz w:val="18"/>
        </w:rPr>
        <w:t>Discontinue measurement because the data contradict the therapist's clinical judgment.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Continue the intervention unchanged until the couple completes it without distress.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increase the assignment intensity. It dismisses, isolates, or fails to integrate outcome, alliance, implementation, and client-feedback data before modifying the plan. It therefore does not resolve plan modification when feedback contradicts the working hypothesis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plan modification when feedback contradicts the working hypothesis at the FIRST decision point. The supported action is: Review feedback and safety, reassess hypothesis and fit, and modify the plan collaboratively. This integrates baseline, outcome and alliance data, implementation, barriers, client meaning, collaborative review, adaptation, and continuity.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discontinue measurement. It dismisses, isolates, or fails to integrate outcome, alliance, implementation, and client-feedback data before modifying the plan. It therefore does not resolve plan modification when feedback contradicts the working hypothesis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continue the intervention unchanged until the couple completes it without distress. It dismisses, isolates, or fails to integrate outcome, alliance, implementation, and client-feedback data before modifying the plan. It therefore does not resolve plan modification when feedback contradicts the working hypothesis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plan modification when feedback contradicts the working hypothesis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r>
    </w:tbl>
    <w:p>
      <w:pPr>
        <w:spacing w:after="20"/>
      </w:pPr>
    </w:p>
    <w:p>
      <w:r>
        <w:br w:type="page"/>
      </w:r>
    </w:p>
    <w:p>
      <w:pPr>
        <w:pStyle w:val="Heading1"/>
      </w:pPr>
      <w:r>
        <w:t>Item 19 -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is opening a small practice and plans to offer package billing and a sliding fee. Which contracting approach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Use an oral agreement so the therapist can adjust fees and cancellation rules whenever circumstances change.</w:t>
      </w:r>
    </w:p>
    <w:p>
      <w:pPr>
        <w:spacing w:after="44" w:line="240" w:lineRule="auto"/>
        <w:ind w:left="173" w:hanging="173"/>
      </w:pPr>
      <w:r>
        <w:rPr>
          <w:rFonts w:ascii="Calibri" w:hAnsi="Calibri"/>
          <w:b/>
          <w:color w:val="0B2545"/>
          <w:sz w:val="18"/>
        </w:rPr>
        <w:t xml:space="preserve">B. </w:t>
      </w:r>
      <w:r>
        <w:rPr>
          <w:rFonts w:ascii="Calibri" w:hAnsi="Calibri"/>
          <w:color w:val="1D2939"/>
          <w:sz w:val="18"/>
        </w:rPr>
        <w:t>Copy another practice's form because business terms do not require jurisdiction-specific review.</w:t>
      </w:r>
    </w:p>
    <w:p>
      <w:pPr>
        <w:spacing w:after="44" w:line="240" w:lineRule="auto"/>
        <w:ind w:left="173" w:hanging="173"/>
      </w:pPr>
      <w:r>
        <w:rPr>
          <w:rFonts w:ascii="Calibri" w:hAnsi="Calibri"/>
          <w:b/>
          <w:color w:val="0B2545"/>
          <w:sz w:val="18"/>
        </w:rPr>
        <w:t xml:space="preserve">C. </w:t>
      </w:r>
      <w:r>
        <w:rPr>
          <w:rFonts w:ascii="Calibri" w:hAnsi="Calibri"/>
          <w:color w:val="1D2939"/>
          <w:sz w:val="18"/>
        </w:rPr>
        <w:t>Provide accurate written terms on financial, records, communication, emergency, and dispute processes consistent with governing requirements.</w:t>
      </w:r>
    </w:p>
    <w:p>
      <w:pPr>
        <w:spacing w:after="44" w:line="240" w:lineRule="auto"/>
        <w:ind w:left="173" w:hanging="173"/>
      </w:pPr>
      <w:r>
        <w:rPr>
          <w:rFonts w:ascii="Calibri" w:hAnsi="Calibri"/>
          <w:b/>
          <w:color w:val="0B2545"/>
          <w:sz w:val="18"/>
        </w:rPr>
        <w:t xml:space="preserve">D. </w:t>
      </w:r>
      <w:r>
        <w:rPr>
          <w:rFonts w:ascii="Calibri" w:hAnsi="Calibri"/>
          <w:color w:val="1D2939"/>
          <w:sz w:val="18"/>
        </w:rPr>
        <w:t>Discuss financial policies only after the first invoice so clinical engagement is not influenced by business information.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use an oral agreement. It uses an automatic, universal, coercive, or unnecessarily restrictive response that the stated facts do not justify. It therefore does not resolve business and practice-law safeguards introduced in contracting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exceeded or failed to verify competence, role, or authority. This choice proposes: copy another practice's form. It assumes competence, authority, jurisdiction, or role instead of verifying the boundary and obtaining consultation, coordination, or referral as needed. It therefore does not resolve business and practice-law safeguards introduced in contracting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business and practice-law safeguards introduced in contracting at the BEST decision point. The supported action is: Provide accurate written terms on financial, records, communication, emergency, and dispute processes consistent with governing requirements.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discuss financial policies only after the first invoice. It uses an automatic, universal, coercive, or unnecessarily restrictive response that the stated facts do not justify. It therefore does not resolve business and practice-law safeguards introduced in contracting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business and practice-law safeguards introduced in contracting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CTA-LMFT-AMFTRB-CP2-Q019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KA61</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SCOPE</w:t>
            </w:r>
          </w:p>
        </w:tc>
      </w:tr>
    </w:tbl>
    <w:p>
      <w:pPr>
        <w:spacing w:after="20"/>
      </w:pPr>
    </w:p>
    <w:p>
      <w:r>
        <w:br w:type="page"/>
      </w:r>
    </w:p>
    <w:p>
      <w:pPr>
        <w:pStyle w:val="Heading1"/>
      </w:pPr>
      <w:r>
        <w:t>Item 20 - Controlled Rationale</w:t>
      </w:r>
    </w:p>
    <w:p>
      <w:pPr>
        <w:spacing w:after="80" w:line="245" w:lineRule="auto"/>
      </w:pPr>
      <w:r>
        <w:rPr>
          <w:rFonts w:ascii="Calibri" w:hAnsi="Calibri"/>
          <w:b/>
          <w:color w:val="0B2545"/>
          <w:sz w:val="18"/>
        </w:rPr>
        <w:t xml:space="preserve">Stem: </w:t>
      </w:r>
      <w:r>
        <w:rPr>
          <w:rFonts w:ascii="Calibri" w:hAnsi="Calibri"/>
          <w:color w:val="1D2939"/>
          <w:sz w:val="18"/>
        </w:rPr>
        <w:t>An adolescent reports recent superficial cutting, denies wanting to die, and says the behavior briefly reduces intense tension.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Treat the denial of suicidal intent as sufficient evidence that no safety assessment is needed.</w:t>
      </w:r>
    </w:p>
    <w:p>
      <w:pPr>
        <w:spacing w:after="44" w:line="240" w:lineRule="auto"/>
        <w:ind w:left="173" w:hanging="173"/>
      </w:pPr>
      <w:r>
        <w:rPr>
          <w:rFonts w:ascii="Calibri" w:hAnsi="Calibri"/>
          <w:b/>
          <w:color w:val="0B2545"/>
          <w:sz w:val="18"/>
        </w:rPr>
        <w:t xml:space="preserve">B. </w:t>
      </w:r>
      <w:r>
        <w:rPr>
          <w:rFonts w:ascii="Calibri" w:hAnsi="Calibri"/>
          <w:color w:val="1D2939"/>
          <w:sz w:val="18"/>
        </w:rPr>
        <w:t>Require a promise to stop cutting before exploring the behavior's function or context.</w:t>
      </w:r>
    </w:p>
    <w:p>
      <w:pPr>
        <w:spacing w:after="44" w:line="240" w:lineRule="auto"/>
        <w:ind w:left="173" w:hanging="173"/>
      </w:pPr>
      <w:r>
        <w:rPr>
          <w:rFonts w:ascii="Calibri" w:hAnsi="Calibri"/>
          <w:b/>
          <w:color w:val="0B2545"/>
          <w:sz w:val="18"/>
        </w:rPr>
        <w:t xml:space="preserve">C. </w:t>
      </w:r>
      <w:r>
        <w:rPr>
          <w:rFonts w:ascii="Calibri" w:hAnsi="Calibri"/>
          <w:color w:val="1D2939"/>
          <w:sz w:val="18"/>
        </w:rPr>
        <w:t>Focus only on family communication because self-injury is not clinically relevant without suicidal intent.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Assess suicide risk, medical severity, triggers, access, function, and supports before creating the safety response.</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treat the denial of suicidal intent as sufficient evidence that no safety assessment is needed. It does not directly assess or respond to the supported risk, medical urgency, access, protection, or level-of-care question. It therefore does not resolve self-injury assessment and response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require a promise to stop cutting before exploring the behavior's function or context. It does not directly assess or respond to the supported risk, medical urgency, access, protection, or level-of-care question. It therefore does not resolve self-injury assessment and response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focus only on family communication. It uses an automatic, universal, coercive, or unnecessarily restrictive response that the stated facts do not justify. It therefore does not resolve self-injury assessment and response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self-injury assessment and response at the NEXT decision point. The supported action is: Assess suicide risk, medical severity, triggers, access, function, and supports before creating the safety response. This integrates direct risk or medical assessment, immediacy, intent, means or access, protection, level of care, local resources, and documentation.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self-injury assessment and response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KA37, KA50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 OVER</w:t>
            </w:r>
          </w:p>
        </w:tc>
      </w:tr>
    </w:tbl>
    <w:p>
      <w:pPr>
        <w:spacing w:after="20"/>
      </w:pPr>
    </w:p>
    <w:p>
      <w:r>
        <w:br w:type="page"/>
      </w:r>
    </w:p>
    <w:p>
      <w:pPr>
        <w:pStyle w:val="Heading1"/>
      </w:pPr>
      <w:r>
        <w:t>Item 21 - Controlled Rationale</w:t>
      </w:r>
    </w:p>
    <w:p>
      <w:pPr>
        <w:spacing w:after="80" w:line="245" w:lineRule="auto"/>
      </w:pPr>
      <w:r>
        <w:rPr>
          <w:rFonts w:ascii="Calibri" w:hAnsi="Calibri"/>
          <w:b/>
          <w:color w:val="0B2545"/>
          <w:sz w:val="18"/>
        </w:rPr>
        <w:t xml:space="preserve">Stem: </w:t>
      </w:r>
      <w:r>
        <w:rPr>
          <w:rFonts w:ascii="Calibri" w:hAnsi="Calibri"/>
          <w:color w:val="1D2939"/>
          <w:sz w:val="18"/>
        </w:rPr>
        <w:t>Which objective MOST effectively combines measurable change with a solution-development strategy?</w:t>
      </w:r>
    </w:p>
    <w:p>
      <w:pPr>
        <w:spacing w:after="44" w:line="240" w:lineRule="auto"/>
        <w:ind w:left="173" w:hanging="173"/>
      </w:pPr>
      <w:r>
        <w:rPr>
          <w:rFonts w:ascii="Calibri" w:hAnsi="Calibri"/>
          <w:b/>
          <w:color w:val="0B2545"/>
          <w:sz w:val="18"/>
        </w:rPr>
        <w:t xml:space="preserve">A. </w:t>
      </w:r>
      <w:r>
        <w:rPr>
          <w:rFonts w:ascii="Calibri" w:hAnsi="Calibri"/>
          <w:color w:val="1D2939"/>
          <w:sz w:val="18"/>
        </w:rPr>
        <w:t>Use a de-escalation routine in three weekly conflicts and record each repair.</w:t>
      </w:r>
    </w:p>
    <w:p>
      <w:pPr>
        <w:spacing w:after="44" w:line="240" w:lineRule="auto"/>
        <w:ind w:left="173" w:hanging="173"/>
      </w:pPr>
      <w:r>
        <w:rPr>
          <w:rFonts w:ascii="Calibri" w:hAnsi="Calibri"/>
          <w:b/>
          <w:color w:val="0B2545"/>
          <w:sz w:val="18"/>
        </w:rPr>
        <w:t xml:space="preserve">B. </w:t>
      </w:r>
      <w:r>
        <w:rPr>
          <w:rFonts w:ascii="Calibri" w:hAnsi="Calibri"/>
          <w:color w:val="1D2939"/>
          <w:sz w:val="18"/>
        </w:rPr>
        <w:t>The partners will improve communication and feel closer as soon as possible.</w:t>
      </w:r>
    </w:p>
    <w:p>
      <w:pPr>
        <w:spacing w:after="44" w:line="240" w:lineRule="auto"/>
        <w:ind w:left="173" w:hanging="173"/>
      </w:pPr>
      <w:r>
        <w:rPr>
          <w:rFonts w:ascii="Calibri" w:hAnsi="Calibri"/>
          <w:b/>
          <w:color w:val="0B2545"/>
          <w:sz w:val="18"/>
        </w:rPr>
        <w:t xml:space="preserve">C. </w:t>
      </w:r>
      <w:r>
        <w:rPr>
          <w:rFonts w:ascii="Calibri" w:hAnsi="Calibri"/>
          <w:color w:val="1D2939"/>
          <w:sz w:val="18"/>
        </w:rPr>
        <w:t>The therapist will teach every communication skill before the couple identifies exceptions.</w:t>
      </w:r>
    </w:p>
    <w:p>
      <w:pPr>
        <w:spacing w:after="44" w:line="240" w:lineRule="auto"/>
        <w:ind w:left="173" w:hanging="173"/>
      </w:pPr>
      <w:r>
        <w:rPr>
          <w:rFonts w:ascii="Calibri" w:hAnsi="Calibri"/>
          <w:b/>
          <w:color w:val="0B2545"/>
          <w:sz w:val="18"/>
        </w:rPr>
        <w:t xml:space="preserve">D. </w:t>
      </w:r>
      <w:r>
        <w:rPr>
          <w:rFonts w:ascii="Calibri" w:hAnsi="Calibri"/>
          <w:color w:val="1D2939"/>
          <w:sz w:val="18"/>
        </w:rPr>
        <w:t>The couple will eliminate all conflict so treatment can be considered successful.</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measurable objectives and solution-development strategies at the MOST decision point. The supported action is: Use a de-escalation routine in three weekly conflicts and record each repair.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the partners will improve communication and feel closer as soon as possible. It selects an action without a shared goal, coherent formulation, treatment-unit decision, sequence, or observable outcome. It therefore does not resolve measurable objectives and solution-development strategies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the therapist will teach every communication skill before the couple identifies exceptions. It uses an automatic, universal, coercive, or unnecessarily restrictive response that the stated facts do not justify. It therefore does not resolve measurable objectives and solution-development strategies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the couple will eliminate all conflict. It selects an action without a shared goal, coherent formulation, treatment-unit decision, sequence, or observable outcome. It therefore does not resolve measurable objectives and solution-development strategies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measurable objectives and solution-development strategies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03.04, 03.17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 OVER</w:t>
            </w:r>
          </w:p>
        </w:tc>
      </w:tr>
    </w:tbl>
    <w:p>
      <w:pPr>
        <w:spacing w:after="20"/>
      </w:pPr>
    </w:p>
    <w:p>
      <w:r>
        <w:br w:type="page"/>
      </w:r>
    </w:p>
    <w:p>
      <w:pPr>
        <w:pStyle w:val="Heading1"/>
      </w:pPr>
      <w:r>
        <w:t>Item 22 - Controlled Rationale</w:t>
      </w:r>
    </w:p>
    <w:p>
      <w:pPr>
        <w:spacing w:after="80" w:line="245" w:lineRule="auto"/>
      </w:pPr>
      <w:r>
        <w:rPr>
          <w:rFonts w:ascii="Calibri" w:hAnsi="Calibri"/>
          <w:b/>
          <w:color w:val="0B2545"/>
          <w:sz w:val="18"/>
        </w:rPr>
        <w:t xml:space="preserve">Stem: </w:t>
      </w:r>
      <w:r>
        <w:rPr>
          <w:rFonts w:ascii="Calibri" w:hAnsi="Calibri"/>
          <w:color w:val="1D2939"/>
          <w:sz w:val="18"/>
        </w:rPr>
        <w:t>A grandparent routinely reverses a parent's limits, the parent then withdraws, and a child seeks the grandparent's permission for every decision. What should the therapist examine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Whether the child meets criteria for a disorder characterized by dependence on adults.</w:t>
      </w:r>
    </w:p>
    <w:p>
      <w:pPr>
        <w:spacing w:after="44" w:line="240" w:lineRule="auto"/>
        <w:ind w:left="173" w:hanging="173"/>
      </w:pPr>
      <w:r>
        <w:rPr>
          <w:rFonts w:ascii="Calibri" w:hAnsi="Calibri"/>
          <w:b/>
          <w:color w:val="0B2545"/>
          <w:sz w:val="18"/>
        </w:rPr>
        <w:t xml:space="preserve">B. </w:t>
      </w:r>
      <w:r>
        <w:rPr>
          <w:rFonts w:ascii="Calibri" w:hAnsi="Calibri"/>
          <w:color w:val="1D2939"/>
          <w:sz w:val="18"/>
        </w:rPr>
        <w:t>The family's hierarchy, boundaries, cross-generational alignment, caregiving roles, and the sequence surrounding limit setting.</w:t>
      </w:r>
    </w:p>
    <w:p>
      <w:pPr>
        <w:spacing w:after="44" w:line="240" w:lineRule="auto"/>
        <w:ind w:left="173" w:hanging="173"/>
      </w:pPr>
      <w:r>
        <w:rPr>
          <w:rFonts w:ascii="Calibri" w:hAnsi="Calibri"/>
          <w:b/>
          <w:color w:val="0B2545"/>
          <w:sz w:val="18"/>
        </w:rPr>
        <w:t xml:space="preserve">C. </w:t>
      </w:r>
      <w:r>
        <w:rPr>
          <w:rFonts w:ascii="Calibri" w:hAnsi="Calibri"/>
          <w:color w:val="1D2939"/>
          <w:sz w:val="18"/>
        </w:rPr>
        <w:t>Which adult has the objectively correct parenting philosophy.</w:t>
      </w:r>
    </w:p>
    <w:p>
      <w:pPr>
        <w:spacing w:after="44" w:line="240" w:lineRule="auto"/>
        <w:ind w:left="173" w:hanging="173"/>
      </w:pPr>
      <w:r>
        <w:rPr>
          <w:rFonts w:ascii="Calibri" w:hAnsi="Calibri"/>
          <w:b/>
          <w:color w:val="0B2545"/>
          <w:sz w:val="18"/>
        </w:rPr>
        <w:t xml:space="preserve">D. </w:t>
      </w:r>
      <w:r>
        <w:rPr>
          <w:rFonts w:ascii="Calibri" w:hAnsi="Calibri"/>
          <w:color w:val="1D2939"/>
          <w:sz w:val="18"/>
        </w:rPr>
        <w:t>Whether the grandparent should be excluded from all future sessions.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whether the child meets criteria for a disorder characterized by dependence on adults. It reaches a conclusion or selects a response before integrating the clinical, relational, contextual, and functional data needed for this decision. It therefore does not resolve roles, boundaries, hierarchy, and structural influences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roles, boundaries, hierarchy, and structural influences at the FIRST decision point. The supported action is: The family's hierarchy, boundaries, cross-generational alignment, caregiving roles, and the sequence surrounding limit setting. This integrates interview, observation, history, mental status, functioning, valid measures, context, and revisable hypotheses.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which adult has the objectively correct parenting philosophy. It reaches a conclusion or selects a response before integrating the clinical, relational, contextual, and functional data needed for this decision. It therefore does not resolve roles, boundaries, hierarchy, and structural influences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whether the grandparent should be excluded from all future sessions. It reaches a conclusion or selects a response before integrating the clinical, relational, contextual, and functional data needed for this decision. It therefore does not resolve roles, boundaries, hierarchy, and structural influences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roles, boundaries, hierarchy, and structural influences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02.04, 02.07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KA26, KA41</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r>
    </w:tbl>
    <w:p>
      <w:pPr>
        <w:spacing w:after="20"/>
      </w:pPr>
    </w:p>
    <w:p>
      <w:r>
        <w:br w:type="page"/>
      </w:r>
    </w:p>
    <w:p>
      <w:pPr>
        <w:pStyle w:val="Heading1"/>
      </w:pPr>
      <w:r>
        <w:t>Item 23 -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says the therapist's formal language and assumptions about family independence make treatment feel inaccessible. Which response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Explain that professional language and individual independence are neutral clinical standards.</w:t>
      </w:r>
    </w:p>
    <w:p>
      <w:pPr>
        <w:spacing w:after="44" w:line="240" w:lineRule="auto"/>
        <w:ind w:left="173" w:hanging="173"/>
      </w:pPr>
      <w:r>
        <w:rPr>
          <w:rFonts w:ascii="Calibri" w:hAnsi="Calibri"/>
          <w:b/>
          <w:color w:val="0B2545"/>
          <w:sz w:val="18"/>
        </w:rPr>
        <w:t xml:space="preserve">B. </w:t>
      </w:r>
      <w:r>
        <w:rPr>
          <w:rFonts w:ascii="Calibri" w:hAnsi="Calibri"/>
          <w:color w:val="1D2939"/>
          <w:sz w:val="18"/>
        </w:rPr>
        <w:t>Refer the client immediately because cultural concerns indicate an unavoidable mismatch.</w:t>
      </w:r>
    </w:p>
    <w:p>
      <w:pPr>
        <w:spacing w:after="44" w:line="240" w:lineRule="auto"/>
        <w:ind w:left="173" w:hanging="173"/>
      </w:pPr>
      <w:r>
        <w:rPr>
          <w:rFonts w:ascii="Calibri" w:hAnsi="Calibri"/>
          <w:b/>
          <w:color w:val="0B2545"/>
          <w:sz w:val="18"/>
        </w:rPr>
        <w:t xml:space="preserve">C. </w:t>
      </w:r>
      <w:r>
        <w:rPr>
          <w:rFonts w:ascii="Calibri" w:hAnsi="Calibri"/>
          <w:color w:val="1D2939"/>
          <w:sz w:val="18"/>
        </w:rPr>
        <w:t>Invite the concern, examine power and access, repair the impact, and adapt collaboratively.</w:t>
      </w:r>
    </w:p>
    <w:p>
      <w:pPr>
        <w:spacing w:after="44" w:line="240" w:lineRule="auto"/>
        <w:ind w:left="173" w:hanging="173"/>
      </w:pPr>
      <w:r>
        <w:rPr>
          <w:rFonts w:ascii="Calibri" w:hAnsi="Calibri"/>
          <w:b/>
          <w:color w:val="0B2545"/>
          <w:sz w:val="18"/>
        </w:rPr>
        <w:t xml:space="preserve">D. </w:t>
      </w:r>
      <w:r>
        <w:rPr>
          <w:rFonts w:ascii="Calibri" w:hAnsi="Calibri"/>
          <w:color w:val="1D2939"/>
          <w:sz w:val="18"/>
        </w:rPr>
        <w:t>Ask a relative to explain the therapist's language so the treatment model does not need to change.</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explain that professional language and individual independence are neutral clinical standards. It reduces a reciprocal relational pattern to one person, one cause, or one account and therefore loses the systemic formulation. It therefore does not resolve culture, context, power, access, and social-position effects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refer the client immediately. It reduces a reciprocal relational pattern to one person, one cause, or one account and therefore loses the systemic formulation. It therefore does not resolve culture, context, power, access, and social-position effects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culture, context, power, access, and social-position effects at the BEST decision point. The supported action is: Invite the concern, examine power and access, repair the impact, and adapt collaboratively.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ask a relative to explain the therapist's language. It reduces a reciprocal relational pattern to one person, one cause, or one account and therefore loses the systemic formulation. It therefore does not resolve culture, context, power, access, and social-position effects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culture, context, power, access, and social-position effects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KA16, KA67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r>
    </w:tbl>
    <w:p>
      <w:pPr>
        <w:spacing w:after="20"/>
      </w:pPr>
    </w:p>
    <w:p>
      <w:r>
        <w:br w:type="page"/>
      </w:r>
    </w:p>
    <w:p>
      <w:pPr>
        <w:pStyle w:val="Heading1"/>
      </w:pPr>
      <w:r>
        <w:t>Item 24 - Controlled Rationale</w:t>
      </w:r>
    </w:p>
    <w:p>
      <w:pPr>
        <w:spacing w:after="80" w:line="245" w:lineRule="auto"/>
      </w:pPr>
      <w:r>
        <w:rPr>
          <w:rFonts w:ascii="Calibri" w:hAnsi="Calibri"/>
          <w:b/>
          <w:color w:val="0B2545"/>
          <w:sz w:val="18"/>
        </w:rPr>
        <w:t xml:space="preserve">Stem: </w:t>
      </w:r>
      <w:r>
        <w:rPr>
          <w:rFonts w:ascii="Calibri" w:hAnsi="Calibri"/>
          <w:color w:val="1D2939"/>
          <w:sz w:val="18"/>
        </w:rPr>
        <w:t>During teletherapy, family members speak over one another, one participant has no private space, and connection failures repeatedly interrupt enactments.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Continue the same intervention because changing modality would reinforce the family's avoidance.</w:t>
      </w:r>
    </w:p>
    <w:p>
      <w:pPr>
        <w:spacing w:after="44" w:line="240" w:lineRule="auto"/>
        <w:ind w:left="173" w:hanging="173"/>
      </w:pPr>
      <w:r>
        <w:rPr>
          <w:rFonts w:ascii="Calibri" w:hAnsi="Calibri"/>
          <w:b/>
          <w:color w:val="0B2545"/>
          <w:sz w:val="18"/>
        </w:rPr>
        <w:t xml:space="preserve">B. </w:t>
      </w:r>
      <w:r>
        <w:rPr>
          <w:rFonts w:ascii="Calibri" w:hAnsi="Calibri"/>
          <w:color w:val="1D2939"/>
          <w:sz w:val="18"/>
        </w:rPr>
        <w:t>Ask the participant without privacy to remain silent so confidential material is not disclosed.</w:t>
      </w:r>
    </w:p>
    <w:p>
      <w:pPr>
        <w:spacing w:after="44" w:line="240" w:lineRule="auto"/>
        <w:ind w:left="173" w:hanging="173"/>
      </w:pPr>
      <w:r>
        <w:rPr>
          <w:rFonts w:ascii="Calibri" w:hAnsi="Calibri"/>
          <w:b/>
          <w:color w:val="0B2545"/>
          <w:sz w:val="18"/>
        </w:rPr>
        <w:t xml:space="preserve">C. </w:t>
      </w:r>
      <w:r>
        <w:rPr>
          <w:rFonts w:ascii="Calibri" w:hAnsi="Calibri"/>
          <w:color w:val="1D2939"/>
          <w:sz w:val="18"/>
        </w:rPr>
        <w:t>Replace all systemic work with individual sessions without discussing the change with the family.</w:t>
      </w:r>
    </w:p>
    <w:p>
      <w:pPr>
        <w:spacing w:after="44" w:line="240" w:lineRule="auto"/>
        <w:ind w:left="173" w:hanging="173"/>
      </w:pPr>
      <w:r>
        <w:rPr>
          <w:rFonts w:ascii="Calibri" w:hAnsi="Calibri"/>
          <w:b/>
          <w:color w:val="0B2545"/>
          <w:sz w:val="18"/>
        </w:rPr>
        <w:t xml:space="preserve">D. </w:t>
      </w:r>
      <w:r>
        <w:rPr>
          <w:rFonts w:ascii="Calibri" w:hAnsi="Calibri"/>
          <w:color w:val="1D2939"/>
          <w:sz w:val="18"/>
        </w:rPr>
        <w:t>Reassess privacy, access, safety, technology, alliance, and model fit, then modify structure or modality collaboratively.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continue the same intervention. It dismisses, isolates, or fails to integrate outcome, alliance, implementation, and client-feedback data before modifying the plan. It therefore does not resolve ongoing model and delivery-modality fit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ask the participant without privacy to remain silent. It dismisses, isolates, or fails to integrate outcome, alliance, implementation, and client-feedback data before modifying the plan. It therefore does not resolve ongoing model and delivery-modality fit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replace all systemic work with individual sessions without discussing the change with the family. It dismisses, isolates, or fails to integrate outcome, alliance, implementation, and client-feedback data before modifying the plan. It therefore does not resolve ongoing model and delivery-modality fit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ongoing model and delivery-modality fit at the NEXT decision point. The supported action is: Reassess privacy, access, safety, technology, alliance, and model fit, then modify structure or modality collaboratively. This integrates baseline, outcome and alliance data, implementation, barriers, client meaning, collaborative review, adaptation, and continuity.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ongoing model and delivery-modality fit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KA56</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r>
    </w:tbl>
    <w:p>
      <w:pPr>
        <w:spacing w:after="20"/>
      </w:pPr>
    </w:p>
    <w:p>
      <w:r>
        <w:br w:type="page"/>
      </w:r>
    </w:p>
    <w:p>
      <w:pPr>
        <w:pStyle w:val="Heading1"/>
      </w:pPr>
      <w:r>
        <w:t>Item 25 -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with no specialized eating-disorder training receives a referral for a client with rapid weight loss and possible medical instability. What is the MOST appropriate response?</w:t>
      </w:r>
    </w:p>
    <w:p>
      <w:pPr>
        <w:spacing w:after="44" w:line="240" w:lineRule="auto"/>
        <w:ind w:left="173" w:hanging="173"/>
      </w:pPr>
      <w:r>
        <w:rPr>
          <w:rFonts w:ascii="Calibri" w:hAnsi="Calibri"/>
          <w:b/>
          <w:color w:val="0B2545"/>
          <w:sz w:val="18"/>
        </w:rPr>
        <w:t xml:space="preserve">A. </w:t>
      </w:r>
      <w:r>
        <w:rPr>
          <w:rFonts w:ascii="Calibri" w:hAnsi="Calibri"/>
          <w:color w:val="1D2939"/>
          <w:sz w:val="18"/>
        </w:rPr>
        <w:t>Assess urgency, consult, arrange specialized and medical evaluation, and practice only within demonstrated competence.</w:t>
      </w:r>
    </w:p>
    <w:p>
      <w:pPr>
        <w:spacing w:after="44" w:line="240" w:lineRule="auto"/>
        <w:ind w:left="173" w:hanging="173"/>
      </w:pPr>
      <w:r>
        <w:rPr>
          <w:rFonts w:ascii="Calibri" w:hAnsi="Calibri"/>
          <w:b/>
          <w:color w:val="0B2545"/>
          <w:sz w:val="18"/>
        </w:rPr>
        <w:t xml:space="preserve">B. </w:t>
      </w:r>
      <w:r>
        <w:rPr>
          <w:rFonts w:ascii="Calibri" w:hAnsi="Calibri"/>
          <w:color w:val="1D2939"/>
          <w:sz w:val="18"/>
        </w:rPr>
        <w:t>Accept the case because general family-therapy training qualifies the therapist to treat every relational presentation.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Begin exposure-based nutrition work while completing an online training course between sessions.</w:t>
      </w:r>
    </w:p>
    <w:p>
      <w:pPr>
        <w:spacing w:after="44" w:line="240" w:lineRule="auto"/>
        <w:ind w:left="173" w:hanging="173"/>
      </w:pPr>
      <w:r>
        <w:rPr>
          <w:rFonts w:ascii="Calibri" w:hAnsi="Calibri"/>
          <w:b/>
          <w:color w:val="0B2545"/>
          <w:sz w:val="18"/>
        </w:rPr>
        <w:t xml:space="preserve">D. </w:t>
      </w:r>
      <w:r>
        <w:rPr>
          <w:rFonts w:ascii="Calibri" w:hAnsi="Calibri"/>
          <w:color w:val="1D2939"/>
          <w:sz w:val="18"/>
        </w:rPr>
        <w:t>Decline all contact without offering referral information because consultation could imply responsibility for the case.</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scope of competence and referral or consultation at the MOST decision point. The supported action is: Assess urgency, consult, arrange specialized and medical evaluation, and practice only within demonstrated competence.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accept the case. It uses an automatic, universal, coercive, or unnecessarily restrictive response that the stated facts do not justify. It therefore does not resolve scope of competence and referral or consultation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begin exposure-based nutrition work while completing an online training course between sessions. It treats policy, payment, convenience, or a signature as a substitute for verified legal, ethical, consent, privacy, record, or client-rights duties. It therefore does not resolve scope of competence and referral or consultation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exceeded or failed to verify competence, role, or authority. This choice proposes: decline all contact without offering referral information. It assumes competence, authority, jurisdiction, or role instead of verifying the boundary and obtaining consultation, coordination, or referral as needed. It therefore does not resolve scope of competence and referral or consultation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scope of competence and referral or consultation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KA31</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OVER, ETHICS, SCOPE</w:t>
            </w:r>
          </w:p>
        </w:tc>
      </w:tr>
    </w:tbl>
    <w:p>
      <w:pPr>
        <w:spacing w:after="20"/>
      </w:pPr>
    </w:p>
    <w:p>
      <w:r>
        <w:br w:type="page"/>
      </w:r>
    </w:p>
    <w:p>
      <w:pPr>
        <w:pStyle w:val="Heading1"/>
      </w:pPr>
      <w:r>
        <w:t>Item 26 -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says, 'Tomorrow my supervisor will finally pay,' names a specific weapon, and describes where the supervisor parks.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Explore the client's childhood experiences with authority before asking more direct questions.</w:t>
      </w:r>
    </w:p>
    <w:p>
      <w:pPr>
        <w:spacing w:after="44" w:line="240" w:lineRule="auto"/>
        <w:ind w:left="173" w:hanging="173"/>
      </w:pPr>
      <w:r>
        <w:rPr>
          <w:rFonts w:ascii="Calibri" w:hAnsi="Calibri"/>
          <w:b/>
          <w:color w:val="0B2545"/>
          <w:sz w:val="18"/>
        </w:rPr>
        <w:t xml:space="preserve">B. </w:t>
      </w:r>
      <w:r>
        <w:rPr>
          <w:rFonts w:ascii="Calibri" w:hAnsi="Calibri"/>
          <w:color w:val="1D2939"/>
          <w:sz w:val="18"/>
        </w:rPr>
        <w:t>Assess target, intent, plan, means, timing, access, protection, and immediacy; then take required protective action.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Assume the statement is emotional venting because the client has not previously been violent.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Call the supervisor before assessing the client's current location or access to the weapon.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explore the client's childhood experiences with authority before asking more direct questions. It does not directly assess or respond to the supported risk, medical urgency, access, protection, or level-of-care question. It therefore does not resolve violence or harm toward others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violence or harm toward others at the FIRST decision point. The supported action is: Assess target, intent, plan, means, timing, access, protection, and immediacy; then take required protective action. This integrates direct risk or medical assessment, immediacy, intent, means or access, protection, level of care, local resources,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assume the statement is emotional venting. It does not directly assess or respond to the supported risk, medical urgency, access, protection, or level-of-care question. It therefore does not resolve violence or harm toward others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call the supervisor before assessing the client's current location or access to the weapon. It does not directly assess or respond to the supported risk, medical urgency, access, protection, or level-of-care question. It therefore does not resolve violence or harm toward others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violence or harm toward others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KA38, KA51</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r>
    </w:tbl>
    <w:p>
      <w:pPr>
        <w:spacing w:after="20"/>
      </w:pPr>
    </w:p>
    <w:p>
      <w:r>
        <w:br w:type="page"/>
      </w:r>
    </w:p>
    <w:p>
      <w:pPr>
        <w:pStyle w:val="Heading1"/>
      </w:pPr>
      <w:r>
        <w:t>Item 27 - Controlled Rationale</w:t>
      </w:r>
    </w:p>
    <w:p>
      <w:pPr>
        <w:spacing w:after="80" w:line="245" w:lineRule="auto"/>
      </w:pPr>
      <w:r>
        <w:rPr>
          <w:rFonts w:ascii="Calibri" w:hAnsi="Calibri"/>
          <w:b/>
          <w:color w:val="0B2545"/>
          <w:sz w:val="18"/>
        </w:rPr>
        <w:t xml:space="preserve">Stem: </w:t>
      </w:r>
      <w:r>
        <w:rPr>
          <w:rFonts w:ascii="Calibri" w:hAnsi="Calibri"/>
          <w:color w:val="1D2939"/>
          <w:sz w:val="18"/>
        </w:rPr>
        <w:t>Which information is BEST for selecting who should participate in a systemic intervention?</w:t>
      </w:r>
    </w:p>
    <w:p>
      <w:pPr>
        <w:spacing w:after="44" w:line="240" w:lineRule="auto"/>
        <w:ind w:left="173" w:hanging="173"/>
      </w:pPr>
      <w:r>
        <w:rPr>
          <w:rFonts w:ascii="Calibri" w:hAnsi="Calibri"/>
          <w:b/>
          <w:color w:val="0B2545"/>
          <w:sz w:val="18"/>
        </w:rPr>
        <w:t xml:space="preserve">A. </w:t>
      </w:r>
      <w:r>
        <w:rPr>
          <w:rFonts w:ascii="Calibri" w:hAnsi="Calibri"/>
          <w:color w:val="1D2939"/>
          <w:sz w:val="18"/>
        </w:rPr>
        <w:t>Only the identities of people who are willing to agree with the therapist's formulation.</w:t>
      </w:r>
    </w:p>
    <w:p>
      <w:pPr>
        <w:spacing w:after="44" w:line="240" w:lineRule="auto"/>
        <w:ind w:left="173" w:hanging="173"/>
      </w:pPr>
      <w:r>
        <w:rPr>
          <w:rFonts w:ascii="Calibri" w:hAnsi="Calibri"/>
          <w:b/>
          <w:color w:val="0B2545"/>
          <w:sz w:val="18"/>
        </w:rPr>
        <w:t xml:space="preserve">B. </w:t>
      </w:r>
      <w:r>
        <w:rPr>
          <w:rFonts w:ascii="Calibri" w:hAnsi="Calibri"/>
          <w:color w:val="1D2939"/>
          <w:sz w:val="18"/>
        </w:rPr>
        <w:t>The diagnosis of the person originally identified as the patient, without regard to interactional context.</w:t>
      </w:r>
    </w:p>
    <w:p>
      <w:pPr>
        <w:spacing w:after="44" w:line="240" w:lineRule="auto"/>
        <w:ind w:left="173" w:hanging="173"/>
      </w:pPr>
      <w:r>
        <w:rPr>
          <w:rFonts w:ascii="Calibri" w:hAnsi="Calibri"/>
          <w:b/>
          <w:color w:val="0B2545"/>
          <w:sz w:val="18"/>
        </w:rPr>
        <w:t xml:space="preserve">C. </w:t>
      </w:r>
      <w:r>
        <w:rPr>
          <w:rFonts w:ascii="Calibri" w:hAnsi="Calibri"/>
          <w:color w:val="1D2939"/>
          <w:sz w:val="18"/>
        </w:rPr>
        <w:t>The problem sequence, attempted solutions, participant influence, safety, consent, and the intervention's change task.</w:t>
      </w:r>
    </w:p>
    <w:p>
      <w:pPr>
        <w:spacing w:after="44" w:line="240" w:lineRule="auto"/>
        <w:ind w:left="173" w:hanging="173"/>
      </w:pPr>
      <w:r>
        <w:rPr>
          <w:rFonts w:ascii="Calibri" w:hAnsi="Calibri"/>
          <w:b/>
          <w:color w:val="0B2545"/>
          <w:sz w:val="18"/>
        </w:rPr>
        <w:t xml:space="preserve">D. </w:t>
      </w:r>
      <w:r>
        <w:rPr>
          <w:rFonts w:ascii="Calibri" w:hAnsi="Calibri"/>
          <w:color w:val="1D2939"/>
          <w:sz w:val="18"/>
        </w:rPr>
        <w:t>The payer's preference for who attends, because financial responsibility determines the treatment unit.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only the identities of people who are willing to agree with the therapist's formulation. It uses an automatic, universal, coercive, or unnecessarily restrictive response that the stated facts do not justify. It therefore does not resolve attempted solutions, sequence, and participant selection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the diagnosis of the person originally identified as the patient, without regard to interactional context. It selects an action without a shared goal, coherent formulation, treatment-unit decision, sequence, or observable outcome. It therefore does not resolve attempted solutions, sequence, and participant selection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attempted solutions, sequence, and participant selection at the BEST decision point. The supported action is: The problem sequence, attempted solutions, participant influence, safety, consent, and the intervention's change task.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the payer's preference for who attends,. It selects an action without a shared goal, coherent formulation, treatment-unit decision, sequence, or observable outcome. It therefore does not resolve attempted solutions, sequence, and participant selection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attempted solutions, sequence, and participant selection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03.05, 03.10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KA35, KA55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PLAN</w:t>
            </w:r>
          </w:p>
        </w:tc>
      </w:tr>
    </w:tbl>
    <w:p>
      <w:pPr>
        <w:spacing w:after="20"/>
      </w:pPr>
    </w:p>
    <w:p>
      <w:r>
        <w:br w:type="page"/>
      </w:r>
    </w:p>
    <w:p>
      <w:pPr>
        <w:pStyle w:val="Heading1"/>
      </w:pPr>
      <w:r>
        <w:t>Item 28 - Controlled Rationale</w:t>
      </w:r>
    </w:p>
    <w:p>
      <w:pPr>
        <w:spacing w:after="80" w:line="245" w:lineRule="auto"/>
      </w:pPr>
      <w:r>
        <w:rPr>
          <w:rFonts w:ascii="Calibri" w:hAnsi="Calibri"/>
          <w:b/>
          <w:color w:val="0B2545"/>
          <w:sz w:val="18"/>
        </w:rPr>
        <w:t xml:space="preserve">Stem: </w:t>
      </w:r>
      <w:r>
        <w:rPr>
          <w:rFonts w:ascii="Calibri" w:hAnsi="Calibri"/>
          <w:color w:val="1D2939"/>
          <w:sz w:val="18"/>
        </w:rPr>
        <w:t>Assessment data support more than one plausible diagnostic and systemic explanation.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Select the most severe diagnosis so the treatment plan will appear sufficiently comprehensive.</w:t>
      </w:r>
    </w:p>
    <w:p>
      <w:pPr>
        <w:spacing w:after="44" w:line="240" w:lineRule="auto"/>
        <w:ind w:left="173" w:hanging="173"/>
      </w:pPr>
      <w:r>
        <w:rPr>
          <w:rFonts w:ascii="Calibri" w:hAnsi="Calibri"/>
          <w:b/>
          <w:color w:val="0B2545"/>
          <w:sz w:val="18"/>
        </w:rPr>
        <w:t xml:space="preserve">B. </w:t>
      </w:r>
      <w:r>
        <w:rPr>
          <w:rFonts w:ascii="Calibri" w:hAnsi="Calibri"/>
          <w:color w:val="1D2939"/>
          <w:sz w:val="18"/>
        </w:rPr>
        <w:t>Avoid documenting any hypothesis until one explanation can be proven with certainty.</w:t>
      </w:r>
    </w:p>
    <w:p>
      <w:pPr>
        <w:spacing w:after="44" w:line="240" w:lineRule="auto"/>
        <w:ind w:left="173" w:hanging="173"/>
      </w:pPr>
      <w:r>
        <w:rPr>
          <w:rFonts w:ascii="Calibri" w:hAnsi="Calibri"/>
          <w:b/>
          <w:color w:val="0B2545"/>
          <w:sz w:val="18"/>
        </w:rPr>
        <w:t xml:space="preserve">C. </w:t>
      </w:r>
      <w:r>
        <w:rPr>
          <w:rFonts w:ascii="Calibri" w:hAnsi="Calibri"/>
          <w:color w:val="1D2939"/>
          <w:sz w:val="18"/>
        </w:rPr>
        <w:t>Choose the formulation preferred by the family member who provides the most detailed history.</w:t>
      </w:r>
    </w:p>
    <w:p>
      <w:pPr>
        <w:spacing w:after="44" w:line="240" w:lineRule="auto"/>
        <w:ind w:left="173" w:hanging="173"/>
      </w:pPr>
      <w:r>
        <w:rPr>
          <w:rFonts w:ascii="Calibri" w:hAnsi="Calibri"/>
          <w:b/>
          <w:color w:val="0B2545"/>
          <w:sz w:val="18"/>
        </w:rPr>
        <w:t xml:space="preserve">D. </w:t>
      </w:r>
      <w:r>
        <w:rPr>
          <w:rFonts w:ascii="Calibri" w:hAnsi="Calibri"/>
          <w:color w:val="1D2939"/>
          <w:sz w:val="18"/>
        </w:rPr>
        <w:t>Document provisional hypotheses, gather discriminating data, monitor change, and revise formulations as evidence develops.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select the most severe diagnosis. It reaches a conclusion or selects a response before integrating the clinical, relational, contextual, and functional data needed for this decision. It therefore does not resolve revisable systemic and diagnostic hypotheses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avoid documenting any hypothesis until one explanation can be proven with certainty. It treats policy, payment, convenience, or a signature as a substitute for verified legal, ethical, consent, privacy, record, or client-rights duties. It therefore does not resolve revisable systemic and diagnostic hypotheses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choose the formulation preferred by the family member who provides the most detailed history. It reaches a conclusion or selects a response before integrating the clinical, relational, contextual, and functional data needed for this decision. It therefore does not resolve revisable systemic and diagnostic hypotheses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revisable systemic and diagnostic hypotheses at the NEXT decision point. The supported action is: Document provisional hypotheses, gather discriminating data, monitor change, and revise formulations as evidence develops. This integrates interview, observation, history, mental status, functioning, valid measures, context, and revisable hypotheses.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revisable systemic and diagnostic hypotheses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02.05, 02.18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KA19, KA20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WB4</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ASSESS, ETHICS</w:t>
            </w:r>
          </w:p>
        </w:tc>
      </w:tr>
    </w:tbl>
    <w:p>
      <w:pPr>
        <w:spacing w:after="20"/>
      </w:pPr>
    </w:p>
    <w:p>
      <w:r>
        <w:br w:type="page"/>
      </w:r>
    </w:p>
    <w:p>
      <w:pPr>
        <w:pStyle w:val="Heading1"/>
      </w:pPr>
      <w:r>
        <w:t>Item 29 - Controlled Rationale</w:t>
      </w:r>
    </w:p>
    <w:p>
      <w:pPr>
        <w:spacing w:after="80" w:line="245" w:lineRule="auto"/>
      </w:pPr>
      <w:r>
        <w:rPr>
          <w:rFonts w:ascii="Calibri" w:hAnsi="Calibri"/>
          <w:b/>
          <w:color w:val="0B2545"/>
          <w:sz w:val="18"/>
        </w:rPr>
        <w:t xml:space="preserve">Stem: </w:t>
      </w:r>
      <w:r>
        <w:rPr>
          <w:rFonts w:ascii="Calibri" w:hAnsi="Calibri"/>
          <w:color w:val="1D2939"/>
          <w:sz w:val="18"/>
        </w:rPr>
        <w:t>In a family assessment, one member uses an interpreter, another fears speaking in front of a caregiver, and a third frequently answers for everyone. Which approach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Provide safe, accessible participation; clarify roles and confidentiality; and use qualified language support while monitoring power.</w:t>
      </w:r>
    </w:p>
    <w:p>
      <w:pPr>
        <w:spacing w:after="44" w:line="240" w:lineRule="auto"/>
        <w:ind w:left="173" w:hanging="173"/>
      </w:pPr>
      <w:r>
        <w:rPr>
          <w:rFonts w:ascii="Calibri" w:hAnsi="Calibri"/>
          <w:b/>
          <w:color w:val="0B2545"/>
          <w:sz w:val="18"/>
        </w:rPr>
        <w:t xml:space="preserve">B. </w:t>
      </w:r>
      <w:r>
        <w:rPr>
          <w:rFonts w:ascii="Calibri" w:hAnsi="Calibri"/>
          <w:color w:val="1D2939"/>
          <w:sz w:val="18"/>
        </w:rPr>
        <w:t>Require all members to speak together because separate contact would undermine systemic treatment.</w:t>
      </w:r>
    </w:p>
    <w:p>
      <w:pPr>
        <w:spacing w:after="44" w:line="240" w:lineRule="auto"/>
        <w:ind w:left="173" w:hanging="173"/>
      </w:pPr>
      <w:r>
        <w:rPr>
          <w:rFonts w:ascii="Calibri" w:hAnsi="Calibri"/>
          <w:b/>
          <w:color w:val="0B2545"/>
          <w:sz w:val="18"/>
        </w:rPr>
        <w:t xml:space="preserve">C. </w:t>
      </w:r>
      <w:r>
        <w:rPr>
          <w:rFonts w:ascii="Calibri" w:hAnsi="Calibri"/>
          <w:color w:val="1D2939"/>
          <w:sz w:val="18"/>
        </w:rPr>
        <w:t>Let the most fluent family member interpret so the family's natural hierarchy remains intact.</w:t>
      </w:r>
    </w:p>
    <w:p>
      <w:pPr>
        <w:spacing w:after="44" w:line="240" w:lineRule="auto"/>
        <w:ind w:left="173" w:hanging="173"/>
      </w:pPr>
      <w:r>
        <w:rPr>
          <w:rFonts w:ascii="Calibri" w:hAnsi="Calibri"/>
          <w:b/>
          <w:color w:val="0B2545"/>
          <w:sz w:val="18"/>
        </w:rPr>
        <w:t xml:space="preserve">D. </w:t>
      </w:r>
      <w:r>
        <w:rPr>
          <w:rFonts w:ascii="Calibri" w:hAnsi="Calibri"/>
          <w:color w:val="1D2939"/>
          <w:sz w:val="18"/>
        </w:rPr>
        <w:t>Rely on the primary caregiver's account because equal participation is not necessary for family assessment.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safe and inclusive participation across the client system at the MOST decision point. The supported action is: Provide safe, accessible participation; clarify roles and confidentiality; and use qualified language support while monitoring power.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require all members to speak together. It reduces a reciprocal relational pattern to one person, one cause, or one account and therefore loses the systemic formulation. It therefore does not resolve safe and inclusive participation across the client system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let the most fluent family member interpret. It reduces a reciprocal relational pattern to one person, one cause, or one account and therefore loses the systemic formulation. It therefore does not resolve safe and inclusive participation across the client system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rely on the primary caregiver's account. It reduces a reciprocal relational pattern to one person, one cause, or one account and therefore loses the systemic formulation. It therefore does not resolve safe and inclusive participation across the client system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safe and inclusive participation across the client system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CTA-LMFT-AMFTRB-CP2-Q029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KA17, KA68</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r>
    </w:tbl>
    <w:p>
      <w:pPr>
        <w:spacing w:after="20"/>
      </w:pPr>
    </w:p>
    <w:p>
      <w:r>
        <w:br w:type="page"/>
      </w:r>
    </w:p>
    <w:p>
      <w:pPr>
        <w:pStyle w:val="Heading1"/>
      </w:pPr>
      <w:r>
        <w:t>Item 30 - Controlled Rationale</w:t>
      </w:r>
    </w:p>
    <w:p>
      <w:pPr>
        <w:spacing w:after="80" w:line="245" w:lineRule="auto"/>
      </w:pPr>
      <w:r>
        <w:rPr>
          <w:rFonts w:ascii="Calibri" w:hAnsi="Calibri"/>
          <w:b/>
          <w:color w:val="0B2545"/>
          <w:sz w:val="18"/>
        </w:rPr>
        <w:t xml:space="preserve">Stem: </w:t>
      </w:r>
      <w:r>
        <w:rPr>
          <w:rFonts w:ascii="Calibri" w:hAnsi="Calibri"/>
          <w:color w:val="1D2939"/>
          <w:sz w:val="18"/>
        </w:rPr>
        <w:t>Before reducing session frequency after early improvement, what should the therapist establish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That the family can guarantee symptoms will never return after treatment ends.</w:t>
      </w:r>
    </w:p>
    <w:p>
      <w:pPr>
        <w:spacing w:after="44" w:line="240" w:lineRule="auto"/>
        <w:ind w:left="173" w:hanging="173"/>
      </w:pPr>
      <w:r>
        <w:rPr>
          <w:rFonts w:ascii="Calibri" w:hAnsi="Calibri"/>
          <w:b/>
          <w:color w:val="0B2545"/>
          <w:sz w:val="18"/>
        </w:rPr>
        <w:t xml:space="preserve">B. </w:t>
      </w:r>
      <w:r>
        <w:rPr>
          <w:rFonts w:ascii="Calibri" w:hAnsi="Calibri"/>
          <w:color w:val="1D2939"/>
          <w:sz w:val="18"/>
        </w:rPr>
        <w:t>Define maintenance signs, warning indicators, coping supports, follow-up criteria, and a collaborative transition plan.</w:t>
      </w:r>
    </w:p>
    <w:p>
      <w:pPr>
        <w:spacing w:after="44" w:line="240" w:lineRule="auto"/>
        <w:ind w:left="173" w:hanging="173"/>
      </w:pPr>
      <w:r>
        <w:rPr>
          <w:rFonts w:ascii="Calibri" w:hAnsi="Calibri"/>
          <w:b/>
          <w:color w:val="0B2545"/>
          <w:sz w:val="18"/>
        </w:rPr>
        <w:t xml:space="preserve">C. </w:t>
      </w:r>
      <w:r>
        <w:rPr>
          <w:rFonts w:ascii="Calibri" w:hAnsi="Calibri"/>
          <w:color w:val="1D2939"/>
          <w:sz w:val="18"/>
        </w:rPr>
        <w:t>A rule that any future difficulty requires restarting the original treatment plan unchanged.</w:t>
      </w:r>
    </w:p>
    <w:p>
      <w:pPr>
        <w:spacing w:after="44" w:line="240" w:lineRule="auto"/>
        <w:ind w:left="173" w:hanging="173"/>
      </w:pPr>
      <w:r>
        <w:rPr>
          <w:rFonts w:ascii="Calibri" w:hAnsi="Calibri"/>
          <w:b/>
          <w:color w:val="0B2545"/>
          <w:sz w:val="18"/>
        </w:rPr>
        <w:t xml:space="preserve">D. </w:t>
      </w:r>
      <w:r>
        <w:rPr>
          <w:rFonts w:ascii="Calibri" w:hAnsi="Calibri"/>
          <w:color w:val="1D2939"/>
          <w:sz w:val="18"/>
        </w:rPr>
        <w:t>The therapist's availability for unlimited unscheduled contact after step-down.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that the family can guarantee symptoms will never return after treatment ends. It uses an automatic, universal, coercive, or unnecessarily restrictive response that the stated facts do not justify. It therefore does not resolve maintenance criteria and transition planning introduced in the plan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maintenance criteria and transition planning introduced in the plan at the FIRST decision point. The supported action is: Define maintenance signs, warning indicators, coping supports, follow-up criteria, and a collaborative transition plan. This integrates baseline, outcome and alliance data, implementation, barriers, client meaning, collaborative review, adaptation, and continuity.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a rule that any future difficulty requires restarting the original treatment plan unchanged. It dismisses, isolates, or fails to integrate outcome, alliance, implementation, and client-feedback data before modifying the plan. It therefore does not resolve maintenance criteria and transition planning introduced in the plan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the therapist's availability for unlimited unscheduled contact after step-down. It dismisses, isolates, or fails to integrate outcome, alliance, implementation, and client-feedback data before modifying the plan. It therefore does not resolve maintenance criteria and transition planning introduced in the plan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maintenance criteria and transition planning introduced in the plan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KA45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EVAL</w:t>
            </w:r>
          </w:p>
        </w:tc>
      </w:tr>
    </w:tbl>
    <w:p>
      <w:pPr>
        <w:spacing w:after="20"/>
      </w:pPr>
    </w:p>
    <w:p>
      <w:r>
        <w:br w:type="page"/>
      </w:r>
    </w:p>
    <w:p>
      <w:pPr>
        <w:pStyle w:val="Heading1"/>
      </w:pPr>
      <w:r>
        <w:t>Item 31 -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notices intense contempt toward clients whose beliefs resemble those of a hurtful relative, and the reaction is narrowing clinical judgment. Which response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Disclose the family history in detail so clients understand why the therapist reacts strongly.</w:t>
      </w:r>
    </w:p>
    <w:p>
      <w:pPr>
        <w:spacing w:after="44" w:line="240" w:lineRule="auto"/>
        <w:ind w:left="173" w:hanging="173"/>
      </w:pPr>
      <w:r>
        <w:rPr>
          <w:rFonts w:ascii="Calibri" w:hAnsi="Calibri"/>
          <w:b/>
          <w:color w:val="0B2545"/>
          <w:sz w:val="18"/>
        </w:rPr>
        <w:t xml:space="preserve">B. </w:t>
      </w:r>
      <w:r>
        <w:rPr>
          <w:rFonts w:ascii="Calibri" w:hAnsi="Calibri"/>
          <w:color w:val="1D2939"/>
          <w:sz w:val="18"/>
        </w:rPr>
        <w:t>Ignore the reaction because trained therapists should be able to separate personal history automatically.</w:t>
      </w:r>
    </w:p>
    <w:p>
      <w:pPr>
        <w:spacing w:after="44" w:line="240" w:lineRule="auto"/>
        <w:ind w:left="173" w:hanging="173"/>
      </w:pPr>
      <w:r>
        <w:rPr>
          <w:rFonts w:ascii="Calibri" w:hAnsi="Calibri"/>
          <w:b/>
          <w:color w:val="0B2545"/>
          <w:sz w:val="18"/>
        </w:rPr>
        <w:t xml:space="preserve">C. </w:t>
      </w:r>
      <w:r>
        <w:rPr>
          <w:rFonts w:ascii="Calibri" w:hAnsi="Calibri"/>
          <w:color w:val="1D2939"/>
          <w:sz w:val="18"/>
        </w:rPr>
        <w:t>Contain the reaction, seek consultation or assistance, evaluate impairment and bias, and protect care.</w:t>
      </w:r>
    </w:p>
    <w:p>
      <w:pPr>
        <w:spacing w:after="44" w:line="240" w:lineRule="auto"/>
        <w:ind w:left="173" w:hanging="173"/>
      </w:pPr>
      <w:r>
        <w:rPr>
          <w:rFonts w:ascii="Calibri" w:hAnsi="Calibri"/>
          <w:b/>
          <w:color w:val="0B2545"/>
          <w:sz w:val="18"/>
        </w:rPr>
        <w:t xml:space="preserve">D. </w:t>
      </w:r>
      <w:r>
        <w:rPr>
          <w:rFonts w:ascii="Calibri" w:hAnsi="Calibri"/>
          <w:color w:val="1D2939"/>
          <w:sz w:val="18"/>
        </w:rPr>
        <w:t>Confront the clients' beliefs more forcefully so the therapist's values do not remain hidden.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disclose the family history in detail. It treats policy, payment, convenience, or a signature as a substitute for verified legal, ethical, consent, privacy, record, or client-rights duties. It therefore does not resolve therapist values, history, reactivity, and impairment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ignore the reaction. It treats policy, payment, convenience, or a signature as a substitute for verified legal, ethical, consent, privacy, record, or client-rights duties. It therefore does not resolve therapist values, history, reactivity, and impairment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therapist values, history, reactivity, and impairment at the BEST decision point. The supported action is: Contain the reaction, seek consultation or assistance, evaluate impairment and bias, and protect care.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confront the clients' beliefs more forcefully. It treats policy, payment, convenience, or a signature as a substitute for verified legal, ethical, consent, privacy, record, or client-rights duties. It therefore does not resolve therapist values, history, reactivity, and impairment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therapist values, history, reactivity, and impairment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KA65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r>
    </w:tbl>
    <w:p>
      <w:pPr>
        <w:spacing w:after="20"/>
      </w:pPr>
    </w:p>
    <w:p>
      <w:r>
        <w:br w:type="page"/>
      </w:r>
    </w:p>
    <w:p>
      <w:pPr>
        <w:pStyle w:val="Heading1"/>
      </w:pPr>
      <w:r>
        <w:t>Item 32 -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client's former partner enters the clinic lobby, makes threats toward staff, and refuses to leave.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Invite the person into a private office to learn whether the threats are connected to the client's treatment.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Ask the client to speak with the person because the relationship history may help calm the situation.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Continue sessions while staff monitor the lobby so confidentiality is not disrupted.</w:t>
      </w:r>
    </w:p>
    <w:p>
      <w:pPr>
        <w:spacing w:after="44" w:line="240" w:lineRule="auto"/>
        <w:ind w:left="173" w:hanging="173"/>
      </w:pPr>
      <w:r>
        <w:rPr>
          <w:rFonts w:ascii="Calibri" w:hAnsi="Calibri"/>
          <w:b/>
          <w:color w:val="0B2545"/>
          <w:sz w:val="18"/>
        </w:rPr>
        <w:t xml:space="preserve">D. </w:t>
      </w:r>
      <w:r>
        <w:rPr>
          <w:rFonts w:ascii="Calibri" w:hAnsi="Calibri"/>
          <w:color w:val="1D2939"/>
          <w:sz w:val="18"/>
        </w:rPr>
        <w:t>Follow the emergency procedure, summon help, protect clients and staff, and document and review the incident.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invite the person into a private office to learn whether the threats are connected to the client's treatment. It does not directly assess or respond to the supported risk, medical urgency, access, protection, or level-of-care question. It therefore does not resolve external threats and therapist safety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ask the client to speak with the person. It does not directly assess or respond to the supported risk, medical urgency, access, protection, or level-of-care question. It therefore does not resolve external threats and therapist safety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continue sessions while staff monitor the lobby. It does not directly assess or respond to the supported risk, medical urgency, access, protection, or level-of-care question. It therefore does not resolve external threats and therapist safety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external threats and therapist safety at the NEXT decision point. The supported action is: Follow the emergency procedure, summon help, protect clients and staff, and document and review the incident. This integrates direct risk or medical assessment, immediacy, intent, means or access, protection, level of care, local resources, and documentation.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external threats and therapist safety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KA39</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r>
    </w:tbl>
    <w:p>
      <w:pPr>
        <w:spacing w:after="20"/>
      </w:pPr>
    </w:p>
    <w:p>
      <w:r>
        <w:br w:type="page"/>
      </w:r>
    </w:p>
    <w:p>
      <w:pPr>
        <w:pStyle w:val="Heading1"/>
      </w:pPr>
      <w:r>
        <w:t>Item 33 - Controlled Rationale</w:t>
      </w:r>
    </w:p>
    <w:p>
      <w:pPr>
        <w:spacing w:after="80" w:line="245" w:lineRule="auto"/>
      </w:pPr>
      <w:r>
        <w:rPr>
          <w:rFonts w:ascii="Calibri" w:hAnsi="Calibri"/>
          <w:b/>
          <w:color w:val="0B2545"/>
          <w:sz w:val="18"/>
        </w:rPr>
        <w:t xml:space="preserve">Stem: </w:t>
      </w:r>
      <w:r>
        <w:rPr>
          <w:rFonts w:ascii="Calibri" w:hAnsi="Calibri"/>
          <w:color w:val="1D2939"/>
          <w:sz w:val="18"/>
        </w:rPr>
        <w:t>A couple's conflict rapidly escalates when each person fuses with a shame-based story and loses awareness of bodily cues. Which plan MOST coherently integrates narrative, experiential, and mindfulness change processes?</w:t>
      </w:r>
    </w:p>
    <w:p>
      <w:pPr>
        <w:spacing w:after="44" w:line="240" w:lineRule="auto"/>
        <w:ind w:left="173" w:hanging="173"/>
      </w:pPr>
      <w:r>
        <w:rPr>
          <w:rFonts w:ascii="Calibri" w:hAnsi="Calibri"/>
          <w:b/>
          <w:color w:val="0B2545"/>
          <w:sz w:val="18"/>
        </w:rPr>
        <w:t xml:space="preserve">A. </w:t>
      </w:r>
      <w:r>
        <w:rPr>
          <w:rFonts w:ascii="Calibri" w:hAnsi="Calibri"/>
          <w:color w:val="1D2939"/>
          <w:sz w:val="18"/>
        </w:rPr>
        <w:t>Externalize the shame story, access primary emotion safely, and use present-moment awareness to interrupt escalation.</w:t>
      </w:r>
    </w:p>
    <w:p>
      <w:pPr>
        <w:spacing w:after="44" w:line="240" w:lineRule="auto"/>
        <w:ind w:left="173" w:hanging="173"/>
      </w:pPr>
      <w:r>
        <w:rPr>
          <w:rFonts w:ascii="Calibri" w:hAnsi="Calibri"/>
          <w:b/>
          <w:color w:val="0B2545"/>
          <w:sz w:val="18"/>
        </w:rPr>
        <w:t xml:space="preserve">B. </w:t>
      </w:r>
      <w:r>
        <w:rPr>
          <w:rFonts w:ascii="Calibri" w:hAnsi="Calibri"/>
          <w:color w:val="1D2939"/>
          <w:sz w:val="18"/>
        </w:rPr>
        <w:t>Assign thought stopping whenever shame appears and avoid discussing emotion or relationship meaning.</w:t>
      </w:r>
    </w:p>
    <w:p>
      <w:pPr>
        <w:spacing w:after="44" w:line="240" w:lineRule="auto"/>
        <w:ind w:left="173" w:hanging="173"/>
      </w:pPr>
      <w:r>
        <w:rPr>
          <w:rFonts w:ascii="Calibri" w:hAnsi="Calibri"/>
          <w:b/>
          <w:color w:val="0B2545"/>
          <w:sz w:val="18"/>
        </w:rPr>
        <w:t xml:space="preserve">C. </w:t>
      </w:r>
      <w:r>
        <w:rPr>
          <w:rFonts w:ascii="Calibri" w:hAnsi="Calibri"/>
          <w:color w:val="1D2939"/>
          <w:sz w:val="18"/>
        </w:rPr>
        <w:t>Use unstructured catharsis until each partner feels fully understood, without monitoring arousal or interactional safety.</w:t>
      </w:r>
    </w:p>
    <w:p>
      <w:pPr>
        <w:spacing w:after="44" w:line="240" w:lineRule="auto"/>
        <w:ind w:left="173" w:hanging="173"/>
      </w:pPr>
      <w:r>
        <w:rPr>
          <w:rFonts w:ascii="Calibri" w:hAnsi="Calibri"/>
          <w:b/>
          <w:color w:val="0B2545"/>
          <w:sz w:val="18"/>
        </w:rPr>
        <w:t xml:space="preserve">D. </w:t>
      </w:r>
      <w:r>
        <w:rPr>
          <w:rFonts w:ascii="Calibri" w:hAnsi="Calibri"/>
          <w:color w:val="1D2939"/>
          <w:sz w:val="18"/>
        </w:rPr>
        <w:t>Teach mindfulness as a relaxation task separate from the formulation and postpone relational work indefinitely.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narrative, experiential, and mindfulness change processes at the MOST decision point. The supported action is: Externalize the shame story, access primary emotion safely, and use present-moment awareness to interrupt escalation.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assign thought stopping whenever shame appears and avoid discussing emotion or relationship meaning. It uses an automatic, universal, coercive, or unnecessarily restrictive response that the stated facts do not justify. It therefore does not resolve narrative, experiential, and mindfulness change processes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use unstructured catharsis until each partner feels fully understood, without monitoring arousal or interactional safety. It selects an action without a shared goal, coherent formulation, treatment-unit decision, sequence, or observable outcome. It therefore does not resolve narrative, experiential, and mindfulness change processes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teach mindfulness as a relaxation task separate from the formulation and postpone relational work indefinitely. It delays, minimizes, conceals, or leaves the supported concern unresolved when direct action is already indicated. It therefore does not resolve narrative, experiential, and mindfulness change processes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narrative, experiential, and mindfulness change processes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03.06, 03.18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KA06</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OVER, PLAN, UNDER</w:t>
            </w:r>
          </w:p>
        </w:tc>
      </w:tr>
    </w:tbl>
    <w:p>
      <w:pPr>
        <w:spacing w:after="20"/>
      </w:pPr>
    </w:p>
    <w:p>
      <w:r>
        <w:br w:type="page"/>
      </w:r>
    </w:p>
    <w:p>
      <w:pPr>
        <w:pStyle w:val="Heading1"/>
      </w:pPr>
      <w:r>
        <w:t>Item 34 - Controlled Rationale</w:t>
      </w:r>
    </w:p>
    <w:p>
      <w:pPr>
        <w:spacing w:after="80" w:line="245" w:lineRule="auto"/>
      </w:pPr>
      <w:r>
        <w:rPr>
          <w:rFonts w:ascii="Calibri" w:hAnsi="Calibri"/>
          <w:b/>
          <w:color w:val="0B2545"/>
          <w:sz w:val="18"/>
        </w:rPr>
        <w:t xml:space="preserve">Stem: </w:t>
      </w:r>
      <w:r>
        <w:rPr>
          <w:rFonts w:ascii="Calibri" w:hAnsi="Calibri"/>
          <w:color w:val="1D2939"/>
          <w:sz w:val="18"/>
        </w:rPr>
        <w:t>An adult develops fluctuating confusion, tremor, visual disturbances, and abrupt behavioral change after a recent medication change.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Interpret the behavior as resistance to family expectations and begin a structural enactment.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Arrange urgent medical evaluation and coordinate within consent and emergency limits.</w:t>
      </w:r>
    </w:p>
    <w:p>
      <w:pPr>
        <w:spacing w:after="44" w:line="240" w:lineRule="auto"/>
        <w:ind w:left="173" w:hanging="173"/>
      </w:pPr>
      <w:r>
        <w:rPr>
          <w:rFonts w:ascii="Calibri" w:hAnsi="Calibri"/>
          <w:b/>
          <w:color w:val="0B2545"/>
          <w:sz w:val="18"/>
        </w:rPr>
        <w:t xml:space="preserve">C. </w:t>
      </w:r>
      <w:r>
        <w:rPr>
          <w:rFonts w:ascii="Calibri" w:hAnsi="Calibri"/>
          <w:color w:val="1D2939"/>
          <w:sz w:val="18"/>
        </w:rPr>
        <w:t>Administer additional personality measures before deciding whether outside evaluation is needed.</w:t>
      </w:r>
    </w:p>
    <w:p>
      <w:pPr>
        <w:spacing w:after="44" w:line="240" w:lineRule="auto"/>
        <w:ind w:left="173" w:hanging="173"/>
      </w:pPr>
      <w:r>
        <w:rPr>
          <w:rFonts w:ascii="Calibri" w:hAnsi="Calibri"/>
          <w:b/>
          <w:color w:val="0B2545"/>
          <w:sz w:val="18"/>
        </w:rPr>
        <w:t xml:space="preserve">D. </w:t>
      </w:r>
      <w:r>
        <w:rPr>
          <w:rFonts w:ascii="Calibri" w:hAnsi="Calibri"/>
          <w:color w:val="1D2939"/>
          <w:sz w:val="18"/>
        </w:rPr>
        <w:t>Schedule weekly psychotherapy and monitor whether the symptoms resolve through improved communication.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interpret the behavior as resistance to family expectations and begin a structural enactment. It reaches a conclusion or selects a response before integrating the clinical, relational, contextual, and functional data needed for this decision. It therefore does not resolve treatment appropriateness and need for outside evaluation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treatment appropriateness and need for outside evaluation at the FIRST decision point. The supported action is: Arrange urgent medical evaluation and coordinate within consent and emergency limits. This integrates interview, observation, history, mental status, functioning, valid measures, context, and revisable hypotheses.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administer additional personality measures before deciding whether outside evaluation is needed. It reaches a conclusion or selects a response before integrating the clinical, relational, contextual, and functional data needed for this decision. It therefore does not resolve treatment appropriateness and need for outside evaluation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schedule weekly psychotherapy and monitor whether the symptoms resolve through improved communication. It reaches a conclusion or selects a response before integrating the clinical, relational, contextual, and functional data needed for this decision. It therefore does not resolve treatment appropriateness and need for outside evaluation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treatment appropriateness and need for outside evaluation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02.06, 02.20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KA20, KA42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WB4</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r>
    </w:tbl>
    <w:p>
      <w:pPr>
        <w:spacing w:after="20"/>
      </w:pPr>
    </w:p>
    <w:p>
      <w:r>
        <w:br w:type="page"/>
      </w:r>
    </w:p>
    <w:p>
      <w:pPr>
        <w:pStyle w:val="Heading1"/>
      </w:pPr>
      <w:r>
        <w:t>Item 35 - Controlled Rationale</w:t>
      </w:r>
    </w:p>
    <w:p>
      <w:pPr>
        <w:spacing w:after="80" w:line="245" w:lineRule="auto"/>
      </w:pPr>
      <w:r>
        <w:rPr>
          <w:rFonts w:ascii="Calibri" w:hAnsi="Calibri"/>
          <w:b/>
          <w:color w:val="0B2545"/>
          <w:sz w:val="18"/>
        </w:rPr>
        <w:t xml:space="preserve">Stem: </w:t>
      </w:r>
      <w:r>
        <w:rPr>
          <w:rFonts w:ascii="Calibri" w:hAnsi="Calibri"/>
          <w:color w:val="1D2939"/>
          <w:sz w:val="18"/>
        </w:rPr>
        <w:t>One partner says the therapist consistently sides with the other and is considering leaving treatment. Which response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Explain that neutrality is impossible and ask the partner to tolerate the discomfort for the sake of treatment.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Meet only with the dissatisfied partner and keep the meeting secret to restore balance.</w:t>
      </w:r>
    </w:p>
    <w:p>
      <w:pPr>
        <w:spacing w:after="44" w:line="240" w:lineRule="auto"/>
        <w:ind w:left="173" w:hanging="173"/>
      </w:pPr>
      <w:r>
        <w:rPr>
          <w:rFonts w:ascii="Calibri" w:hAnsi="Calibri"/>
          <w:b/>
          <w:color w:val="0B2545"/>
          <w:sz w:val="18"/>
        </w:rPr>
        <w:t xml:space="preserve">C. </w:t>
      </w:r>
      <w:r>
        <w:rPr>
          <w:rFonts w:ascii="Calibri" w:hAnsi="Calibri"/>
          <w:color w:val="1D2939"/>
          <w:sz w:val="18"/>
        </w:rPr>
        <w:t>Acknowledge the impact, invite specific feedback, examine the therapist's contribution, and renegotiate participation and goals.</w:t>
      </w:r>
    </w:p>
    <w:p>
      <w:pPr>
        <w:spacing w:after="44" w:line="240" w:lineRule="auto"/>
        <w:ind w:left="173" w:hanging="173"/>
      </w:pPr>
      <w:r>
        <w:rPr>
          <w:rFonts w:ascii="Calibri" w:hAnsi="Calibri"/>
          <w:b/>
          <w:color w:val="0B2545"/>
          <w:sz w:val="18"/>
        </w:rPr>
        <w:t xml:space="preserve">D. </w:t>
      </w:r>
      <w:r>
        <w:rPr>
          <w:rFonts w:ascii="Calibri" w:hAnsi="Calibri"/>
          <w:color w:val="1D2939"/>
          <w:sz w:val="18"/>
        </w:rPr>
        <w:t>Defend the prior interventions so the couple does not mistake alliance repair for therapist uncertainty.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explain that neutrality is impossible and ask the partner to tolerate the discomfort for the sake of treatment. It reduces a reciprocal relational pattern to one person, one cause, or one account and therefore loses the systemic formulation. It therefore does not resolve systemic alliance formation, monitoring, and repair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meet only with the dissatisfied partner and keep the meeting secret to restore balance. It uses an automatic, universal, coercive, or unnecessarily restrictive response that the stated facts do not justify. It therefore does not resolve systemic alliance formation, monitoring, and repair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systemic alliance formation, monitoring, and repair at the BEST decision point. The supported action is: Acknowledge the impact, invite specific feedback, examine the therapist's contribution, and renegotiate participation and goals.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defend the prior interventions. It reduces a reciprocal relational pattern to one person, one cause, or one account and therefore loses the systemic formulation. It therefore does not resolve systemic alliance formation, monitoring, and repair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systemic alliance formation, monitoring, and repair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 OVER</w:t>
            </w:r>
          </w:p>
        </w:tc>
      </w:tr>
    </w:tbl>
    <w:p>
      <w:pPr>
        <w:spacing w:after="20"/>
      </w:pPr>
    </w:p>
    <w:p>
      <w:r>
        <w:br w:type="page"/>
      </w:r>
    </w:p>
    <w:p>
      <w:pPr>
        <w:pStyle w:val="Heading1"/>
      </w:pPr>
      <w:r>
        <w:t>Item 36 - Controlled Rationale</w:t>
      </w:r>
    </w:p>
    <w:p>
      <w:pPr>
        <w:spacing w:after="80" w:line="245" w:lineRule="auto"/>
      </w:pPr>
      <w:r>
        <w:rPr>
          <w:rFonts w:ascii="Calibri" w:hAnsi="Calibri"/>
          <w:b/>
          <w:color w:val="0B2545"/>
          <w:sz w:val="18"/>
        </w:rPr>
        <w:t xml:space="preserve">Stem: </w:t>
      </w:r>
      <w:r>
        <w:rPr>
          <w:rFonts w:ascii="Calibri" w:hAnsi="Calibri"/>
          <w:color w:val="1D2939"/>
          <w:sz w:val="18"/>
        </w:rPr>
        <w:t>A family has completed a focused phase of treatment. Goals are met, but the family explains that endings are normally marked through a collective review involving an elder who did not attend therapy.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End immediately because involving a nonclient at closure is never clinically appropriate.</w:t>
      </w:r>
    </w:p>
    <w:p>
      <w:pPr>
        <w:spacing w:after="44" w:line="240" w:lineRule="auto"/>
        <w:ind w:left="173" w:hanging="173"/>
      </w:pPr>
      <w:r>
        <w:rPr>
          <w:rFonts w:ascii="Calibri" w:hAnsi="Calibri"/>
          <w:b/>
          <w:color w:val="0B2545"/>
          <w:sz w:val="18"/>
        </w:rPr>
        <w:t xml:space="preserve">B. </w:t>
      </w:r>
      <w:r>
        <w:rPr>
          <w:rFonts w:ascii="Calibri" w:hAnsi="Calibri"/>
          <w:color w:val="1D2939"/>
          <w:sz w:val="18"/>
        </w:rPr>
        <w:t>Continue weekly treatment indefinitely because the family's discomfort means the goals were not actually met.</w:t>
      </w:r>
    </w:p>
    <w:p>
      <w:pPr>
        <w:spacing w:after="44" w:line="240" w:lineRule="auto"/>
        <w:ind w:left="173" w:hanging="173"/>
      </w:pPr>
      <w:r>
        <w:rPr>
          <w:rFonts w:ascii="Calibri" w:hAnsi="Calibri"/>
          <w:b/>
          <w:color w:val="0B2545"/>
          <w:sz w:val="18"/>
        </w:rPr>
        <w:t xml:space="preserve">C. </w:t>
      </w:r>
      <w:r>
        <w:rPr>
          <w:rFonts w:ascii="Calibri" w:hAnsi="Calibri"/>
          <w:color w:val="1D2939"/>
          <w:sz w:val="18"/>
        </w:rPr>
        <w:t>Invite the elder without discussing consent, confidentiality, role, or the purpose of participation.</w:t>
      </w:r>
    </w:p>
    <w:p>
      <w:pPr>
        <w:spacing w:after="44" w:line="240" w:lineRule="auto"/>
        <w:ind w:left="173" w:hanging="173"/>
      </w:pPr>
      <w:r>
        <w:rPr>
          <w:rFonts w:ascii="Calibri" w:hAnsi="Calibri"/>
          <w:b/>
          <w:color w:val="0B2545"/>
          <w:sz w:val="18"/>
        </w:rPr>
        <w:t xml:space="preserve">D. </w:t>
      </w:r>
      <w:r>
        <w:rPr>
          <w:rFonts w:ascii="Calibri" w:hAnsi="Calibri"/>
          <w:color w:val="1D2939"/>
          <w:sz w:val="18"/>
        </w:rPr>
        <w:t>Explore closure's meaning and design a consent-based, culturally responsive ending that protects confidentiality and continuity.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end immediately. It uses an automatic, universal, coercive, or unnecessarily restrictive response that the stated facts do not justify. It therefore does not resolve professional and culturally responsive ending of a treatment phase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continue weekly treatment indefinitely. It dismisses, isolates, or fails to integrate outcome, alliance, implementation, and client-feedback data before modifying the plan. It therefore does not resolve professional and culturally responsive ending of a treatment phase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invite the elder without discussing consent, confidentiality, role, or the purpose of participation. It dismisses, isolates, or fails to integrate outcome, alliance, implementation, and client-feedback data before modifying the plan. It therefore does not resolve professional and culturally responsive ending of a treatment phase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professional and culturally responsive ending of a treatment phase at the NEXT decision point. The supported action is: Explore closure's meaning and design a consent-based, culturally responsive ending that protects confidentiality and continuity. This integrates baseline, outcome and alliance data, implementation, barriers, client meaning, collaborative review, adaptation, and continuity.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professional and culturally responsive ending of a treatment phase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KA45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EVAL</w:t>
            </w:r>
          </w:p>
        </w:tc>
      </w:tr>
    </w:tbl>
    <w:p>
      <w:pPr>
        <w:spacing w:after="20"/>
      </w:pPr>
    </w:p>
    <w:p>
      <w:r>
        <w:br w:type="page"/>
      </w:r>
    </w:p>
    <w:p>
      <w:pPr>
        <w:pStyle w:val="Heading1"/>
      </w:pPr>
      <w:r>
        <w:t>Item 37 - Controlled Rationale</w:t>
      </w:r>
    </w:p>
    <w:p>
      <w:pPr>
        <w:spacing w:after="80" w:line="245" w:lineRule="auto"/>
      </w:pPr>
      <w:r>
        <w:rPr>
          <w:rFonts w:ascii="Calibri" w:hAnsi="Calibri"/>
          <w:b/>
          <w:color w:val="0B2545"/>
          <w:sz w:val="18"/>
        </w:rPr>
        <w:t xml:space="preserve">Stem: </w:t>
      </w:r>
      <w:r>
        <w:rPr>
          <w:rFonts w:ascii="Calibri" w:hAnsi="Calibri"/>
          <w:color w:val="1D2939"/>
          <w:sz w:val="18"/>
        </w:rPr>
        <w:t>A therapist wants to use a transcription service during couple sessions. Which informed-consent practice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Explain the process, risks, data handling, alternatives, and choices; obtain required authorization before activating the service.</w:t>
      </w:r>
    </w:p>
    <w:p>
      <w:pPr>
        <w:spacing w:after="44" w:line="240" w:lineRule="auto"/>
        <w:ind w:left="173" w:hanging="173"/>
      </w:pPr>
      <w:r>
        <w:rPr>
          <w:rFonts w:ascii="Calibri" w:hAnsi="Calibri"/>
          <w:b/>
          <w:color w:val="0B2545"/>
          <w:sz w:val="18"/>
        </w:rPr>
        <w:t xml:space="preserve">B. </w:t>
      </w:r>
      <w:r>
        <w:rPr>
          <w:rFonts w:ascii="Calibri" w:hAnsi="Calibri"/>
          <w:color w:val="1D2939"/>
          <w:sz w:val="18"/>
        </w:rPr>
        <w:t>Rely on the general technology clause signed at intake because transcription is an administrative function rather than a clinical recording.</w:t>
      </w:r>
    </w:p>
    <w:p>
      <w:pPr>
        <w:spacing w:after="44" w:line="240" w:lineRule="auto"/>
        <w:ind w:left="173" w:hanging="173"/>
      </w:pPr>
      <w:r>
        <w:rPr>
          <w:rFonts w:ascii="Calibri" w:hAnsi="Calibri"/>
          <w:b/>
          <w:color w:val="0B2545"/>
          <w:sz w:val="18"/>
        </w:rPr>
        <w:t xml:space="preserve">C. </w:t>
      </w:r>
      <w:r>
        <w:rPr>
          <w:rFonts w:ascii="Calibri" w:hAnsi="Calibri"/>
          <w:color w:val="1D2939"/>
          <w:sz w:val="18"/>
        </w:rPr>
        <w:t>Activate the service for one session before discussing it so the couple can evaluate an actual transcript.</w:t>
      </w:r>
    </w:p>
    <w:p>
      <w:pPr>
        <w:spacing w:after="44" w:line="240" w:lineRule="auto"/>
        <w:ind w:left="173" w:hanging="173"/>
      </w:pPr>
      <w:r>
        <w:rPr>
          <w:rFonts w:ascii="Calibri" w:hAnsi="Calibri"/>
          <w:b/>
          <w:color w:val="0B2545"/>
          <w:sz w:val="18"/>
        </w:rPr>
        <w:t xml:space="preserve">D. </w:t>
      </w:r>
      <w:r>
        <w:rPr>
          <w:rFonts w:ascii="Calibri" w:hAnsi="Calibri"/>
          <w:color w:val="1D2939"/>
          <w:sz w:val="18"/>
        </w:rPr>
        <w:t>Ask only the partner who scheduled the appointment because that person acts for the couple in technology decisions.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treatment agreements, informed consent, and client rights at the MOST decision point. The supported action is: Explain the process, risks, data handling, alternatives, and choices; obtain required authorization before activating the service.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rely on the general technology clause signed at intake. It treats policy, payment, convenience, or a signature as a substitute for verified legal, ethical, consent, privacy, record, or client-rights duties. It therefore does not resolve treatment agreements, informed consent, and client rights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activate the service for one session before discussing it. It treats policy, payment, convenience, or a signature as a substitute for verified legal, ethical, consent, privacy, record, or client-rights duties. It therefore does not resolve treatment agreements, informed consent, and client rights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ask only the partner who scheduled the appointment. It uses an automatic, universal, coercive, or unnecessarily restrictive response that the stated facts do not justify. It therefore does not resolve treatment agreements, informed consent, and client rights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treatment agreements, informed consent, and client rights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KA58</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 OVER</w:t>
            </w:r>
          </w:p>
        </w:tc>
      </w:tr>
    </w:tbl>
    <w:p>
      <w:pPr>
        <w:spacing w:after="20"/>
      </w:pPr>
    </w:p>
    <w:p>
      <w:r>
        <w:br w:type="page"/>
      </w:r>
    </w:p>
    <w:p>
      <w:pPr>
        <w:pStyle w:val="Heading1"/>
      </w:pPr>
      <w:r>
        <w:t>Item 38 - Controlled Rationale</w:t>
      </w:r>
    </w:p>
    <w:p>
      <w:pPr>
        <w:spacing w:after="80" w:line="245" w:lineRule="auto"/>
      </w:pPr>
      <w:r>
        <w:rPr>
          <w:rFonts w:ascii="Calibri" w:hAnsi="Calibri"/>
          <w:b/>
          <w:color w:val="0B2545"/>
          <w:sz w:val="18"/>
        </w:rPr>
        <w:t xml:space="preserve">Stem: </w:t>
      </w:r>
      <w:r>
        <w:rPr>
          <w:rFonts w:ascii="Calibri" w:hAnsi="Calibri"/>
          <w:color w:val="1D2939"/>
          <w:sz w:val="18"/>
        </w:rPr>
        <w:t>At a wildfire evacuation shelter, a parent is disoriented, a child has an untreated burn, and the family cannot locate another child.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Begin a grief-processing group so the family can express emotions while waiting for news.</w:t>
      </w:r>
    </w:p>
    <w:p>
      <w:pPr>
        <w:spacing w:after="44" w:line="240" w:lineRule="auto"/>
        <w:ind w:left="173" w:hanging="173"/>
      </w:pPr>
      <w:r>
        <w:rPr>
          <w:rFonts w:ascii="Calibri" w:hAnsi="Calibri"/>
          <w:b/>
          <w:color w:val="0B2545"/>
          <w:sz w:val="18"/>
        </w:rPr>
        <w:t xml:space="preserve">B. </w:t>
      </w:r>
      <w:r>
        <w:rPr>
          <w:rFonts w:ascii="Calibri" w:hAnsi="Calibri"/>
          <w:color w:val="1D2939"/>
          <w:sz w:val="18"/>
        </w:rPr>
        <w:t>Triage immediate medical and safety needs and connect the family with coordinated emergency and reunification supports.</w:t>
      </w:r>
    </w:p>
    <w:p>
      <w:pPr>
        <w:spacing w:after="44" w:line="240" w:lineRule="auto"/>
        <w:ind w:left="173" w:hanging="173"/>
      </w:pPr>
      <w:r>
        <w:rPr>
          <w:rFonts w:ascii="Calibri" w:hAnsi="Calibri"/>
          <w:b/>
          <w:color w:val="0B2545"/>
          <w:sz w:val="18"/>
        </w:rPr>
        <w:t xml:space="preserve">C. </w:t>
      </w:r>
      <w:r>
        <w:rPr>
          <w:rFonts w:ascii="Calibri" w:hAnsi="Calibri"/>
          <w:color w:val="1D2939"/>
          <w:sz w:val="18"/>
        </w:rPr>
        <w:t>Complete a full multigenerational assessment before involving other responders.</w:t>
      </w:r>
    </w:p>
    <w:p>
      <w:pPr>
        <w:spacing w:after="44" w:line="240" w:lineRule="auto"/>
        <w:ind w:left="173" w:hanging="173"/>
      </w:pPr>
      <w:r>
        <w:rPr>
          <w:rFonts w:ascii="Calibri" w:hAnsi="Calibri"/>
          <w:b/>
          <w:color w:val="0B2545"/>
          <w:sz w:val="18"/>
        </w:rPr>
        <w:t xml:space="preserve">D. </w:t>
      </w:r>
      <w:r>
        <w:rPr>
          <w:rFonts w:ascii="Calibri" w:hAnsi="Calibri"/>
          <w:color w:val="1D2939"/>
          <w:sz w:val="18"/>
        </w:rPr>
        <w:t>Advise the family to leave the shelter and search independently because reunification is not a psychotherapy task.</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begin a grief-processing group. It does not directly assess or respond to the supported risk, medical urgency, access, protection, or level-of-care question. It therefore does not resolve community or disaster crisis triage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community or disaster crisis triage at the FIRST decision point. The supported action is: Triage immediate medical and safety needs and connect the family with coordinated emergency and reunification supports. This integrates direct risk or medical assessment, immediacy, intent, means or access, protection, level of care, local resources,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complete a full multigenerational assessment before involving other responders. It does not directly assess or respond to the supported risk, medical urgency, access, protection, or level-of-care question. It therefore does not resolve community or disaster crisis triage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advise the family to leave the shelter and search independently. It does not directly assess or respond to the supported risk, medical urgency, access, protection, or level-of-care question. It therefore does not resolve community or disaster crisis triage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community or disaster crisis triage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KA22, KA47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r>
    </w:tbl>
    <w:p>
      <w:pPr>
        <w:spacing w:after="20"/>
      </w:pPr>
    </w:p>
    <w:p>
      <w:r>
        <w:br w:type="page"/>
      </w:r>
    </w:p>
    <w:p>
      <w:pPr>
        <w:pStyle w:val="Heading1"/>
      </w:pPr>
      <w:r>
        <w:t>Item 39 - Controlled Rationale</w:t>
      </w:r>
    </w:p>
    <w:p>
      <w:pPr>
        <w:spacing w:after="80" w:line="245" w:lineRule="auto"/>
      </w:pPr>
      <w:r>
        <w:rPr>
          <w:rFonts w:ascii="Calibri" w:hAnsi="Calibri"/>
          <w:b/>
          <w:color w:val="0B2545"/>
          <w:sz w:val="18"/>
        </w:rPr>
        <w:t xml:space="preserve">Stem: </w:t>
      </w:r>
      <w:r>
        <w:rPr>
          <w:rFonts w:ascii="Calibri" w:hAnsi="Calibri"/>
          <w:color w:val="1D2939"/>
          <w:sz w:val="18"/>
        </w:rPr>
        <w:t>An adult experiencing coercive control declines to leave the relationship and asks for help reducing danger without involving family members. Which treatment strategy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Terminate therapy because remaining in the relationship prevents meaningful safety work.</w:t>
      </w:r>
    </w:p>
    <w:p>
      <w:pPr>
        <w:spacing w:after="44" w:line="240" w:lineRule="auto"/>
        <w:ind w:left="173" w:hanging="173"/>
      </w:pPr>
      <w:r>
        <w:rPr>
          <w:rFonts w:ascii="Calibri" w:hAnsi="Calibri"/>
          <w:b/>
          <w:color w:val="0B2545"/>
          <w:sz w:val="18"/>
        </w:rPr>
        <w:t xml:space="preserve">B. </w:t>
      </w:r>
      <w:r>
        <w:rPr>
          <w:rFonts w:ascii="Calibri" w:hAnsi="Calibri"/>
          <w:color w:val="1D2939"/>
          <w:sz w:val="18"/>
        </w:rPr>
        <w:t>Require immediate disclosure to the family because collective involvement is central to systemic practice.</w:t>
      </w:r>
    </w:p>
    <w:p>
      <w:pPr>
        <w:spacing w:after="44" w:line="240" w:lineRule="auto"/>
        <w:ind w:left="173" w:hanging="173"/>
      </w:pPr>
      <w:r>
        <w:rPr>
          <w:rFonts w:ascii="Calibri" w:hAnsi="Calibri"/>
          <w:b/>
          <w:color w:val="0B2545"/>
          <w:sz w:val="18"/>
        </w:rPr>
        <w:t xml:space="preserve">C. </w:t>
      </w:r>
      <w:r>
        <w:rPr>
          <w:rFonts w:ascii="Calibri" w:hAnsi="Calibri"/>
          <w:color w:val="1D2939"/>
          <w:sz w:val="18"/>
        </w:rPr>
        <w:t>Respect autonomy while reassessing risk and collaboratively developing individualized harm-reduction, emergency, and resource options.</w:t>
      </w:r>
    </w:p>
    <w:p>
      <w:pPr>
        <w:spacing w:after="44" w:line="240" w:lineRule="auto"/>
        <w:ind w:left="173" w:hanging="173"/>
      </w:pPr>
      <w:r>
        <w:rPr>
          <w:rFonts w:ascii="Calibri" w:hAnsi="Calibri"/>
          <w:b/>
          <w:color w:val="0B2545"/>
          <w:sz w:val="18"/>
        </w:rPr>
        <w:t xml:space="preserve">D. </w:t>
      </w:r>
      <w:r>
        <w:rPr>
          <w:rFonts w:ascii="Calibri" w:hAnsi="Calibri"/>
          <w:color w:val="1D2939"/>
          <w:sz w:val="18"/>
        </w:rPr>
        <w:t>Focus on communication skills with the controlling partner before creating an individual safety plan.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terminate therapy. It selects an action without a shared goal, coherent formulation, treatment-unit decision, sequence, or observable outcome. It therefore does not resolve safety planning and client autonomy within treatment strategy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require immediate disclosure to the family. It selects an action without a shared goal, coherent formulation, treatment-unit decision, sequence, or observable outcome. It therefore does not resolve safety planning and client autonomy within treatment strategy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safety planning and client autonomy within treatment strategy at the BEST decision point. The supported action is: Respect autonomy while reassessing risk and collaboratively developing individualized harm-reduction, emergency, and resource options.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focus on communication skills with the controlling partner before creating an individual safety plan. It selects an action without a shared goal, coherent formulation, treatment-unit decision, sequence, or observable outcome. It therefore does not resolve safety planning and client autonomy within treatment strategy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safety planning and client autonomy within treatment strategy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CTA-LMFT-AMFTRB-CP2-Q039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03.07, 03.20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KA09, KA35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r>
    </w:tbl>
    <w:p>
      <w:pPr>
        <w:spacing w:after="20"/>
      </w:pPr>
    </w:p>
    <w:p>
      <w:r>
        <w:br w:type="page"/>
      </w:r>
    </w:p>
    <w:p>
      <w:pPr>
        <w:pStyle w:val="Heading1"/>
      </w:pPr>
      <w:r>
        <w:t>Item 40 -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reports insomnia, missed work, escalating online gambling, and increasing use of nonprescribed stimulants to continue gambling overnight.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Diagnose a primary sleep disorder because insomnia is the most visible symptom.</w:t>
      </w:r>
    </w:p>
    <w:p>
      <w:pPr>
        <w:spacing w:after="44" w:line="240" w:lineRule="auto"/>
        <w:ind w:left="173" w:hanging="173"/>
      </w:pPr>
      <w:r>
        <w:rPr>
          <w:rFonts w:ascii="Calibri" w:hAnsi="Calibri"/>
          <w:b/>
          <w:color w:val="0B2545"/>
          <w:sz w:val="18"/>
        </w:rPr>
        <w:t xml:space="preserve">B. </w:t>
      </w:r>
      <w:r>
        <w:rPr>
          <w:rFonts w:ascii="Calibri" w:hAnsi="Calibri"/>
          <w:color w:val="1D2939"/>
          <w:sz w:val="18"/>
        </w:rPr>
        <w:t>Treat gambling as a relationship issue and exclude substance effects from the assessment.</w:t>
      </w:r>
    </w:p>
    <w:p>
      <w:pPr>
        <w:spacing w:after="44" w:line="240" w:lineRule="auto"/>
        <w:ind w:left="173" w:hanging="173"/>
      </w:pPr>
      <w:r>
        <w:rPr>
          <w:rFonts w:ascii="Calibri" w:hAnsi="Calibri"/>
          <w:b/>
          <w:color w:val="0B2545"/>
          <w:sz w:val="18"/>
        </w:rPr>
        <w:t xml:space="preserve">C. </w:t>
      </w:r>
      <w:r>
        <w:rPr>
          <w:rFonts w:ascii="Calibri" w:hAnsi="Calibri"/>
          <w:color w:val="1D2939"/>
          <w:sz w:val="18"/>
        </w:rPr>
        <w:t>Wait for the client to stop both behaviors before evaluating mood, cognition, or functioning.</w:t>
      </w:r>
    </w:p>
    <w:p>
      <w:pPr>
        <w:spacing w:after="44" w:line="240" w:lineRule="auto"/>
        <w:ind w:left="173" w:hanging="173"/>
      </w:pPr>
      <w:r>
        <w:rPr>
          <w:rFonts w:ascii="Calibri" w:hAnsi="Calibri"/>
          <w:b/>
          <w:color w:val="0B2545"/>
          <w:sz w:val="18"/>
        </w:rPr>
        <w:t xml:space="preserve">D. </w:t>
      </w:r>
      <w:r>
        <w:rPr>
          <w:rFonts w:ascii="Calibri" w:hAnsi="Calibri"/>
          <w:color w:val="1D2939"/>
          <w:sz w:val="18"/>
        </w:rPr>
        <w:t>Assess timing, amount, loss of control, intoxication or withdrawal, medical risk, functioning, and relational context.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diagnose a primary sleep disorder. It reaches a conclusion or selects a response before integrating the clinical, relational, contextual, and functional data needed for this decision. It therefore does not resolve substance and process-use effects on assessment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treat gambling as a relationship issue and exclude substance effects from the assessment. It reaches a conclusion or selects a response before integrating the clinical, relational, contextual, and functional data needed for this decision. It therefore does not resolve substance and process-use effects on assessment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for the client to stop both behaviors before evaluating mood, cognition, or functioning. It delays, minimizes, conceals, or leaves the supported concern unresolved when direct action is already indicated. It therefore does not resolve substance and process-use effects on assessment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substance and process-use effects on assessment at the NEXT decision point. The supported action is: Assess timing, amount, loss of control, intoxication or withdrawal, medical risk, functioning, and relational context. This integrates interview, observation, history, mental status, functioning, valid measures, context, and revisable hypotheses.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substance and process-use effects on assessment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02.09, 02.12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KA28, KA40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WB4</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ASSESS, UNDER</w:t>
            </w:r>
          </w:p>
        </w:tc>
      </w:tr>
    </w:tbl>
    <w:p>
      <w:pPr>
        <w:spacing w:after="20"/>
      </w:pPr>
    </w:p>
    <w:p>
      <w:r>
        <w:br w:type="page"/>
      </w:r>
    </w:p>
    <w:p>
      <w:pPr>
        <w:pStyle w:val="Heading1"/>
      </w:pPr>
      <w:r>
        <w:t>Item 41 - Controlled Rationale</w:t>
      </w:r>
    </w:p>
    <w:p>
      <w:pPr>
        <w:spacing w:after="80" w:line="245" w:lineRule="auto"/>
      </w:pPr>
      <w:r>
        <w:rPr>
          <w:rFonts w:ascii="Calibri" w:hAnsi="Calibri"/>
          <w:b/>
          <w:color w:val="0B2545"/>
          <w:sz w:val="18"/>
        </w:rPr>
        <w:t xml:space="preserve">Stem: </w:t>
      </w:r>
      <w:r>
        <w:rPr>
          <w:rFonts w:ascii="Calibri" w:hAnsi="Calibri"/>
          <w:color w:val="1D2939"/>
          <w:sz w:val="18"/>
        </w:rPr>
        <w:t>During a family session, the therapist feels pulled to rescue one member and criticize another in the same pattern the family repeatedly enacts. Which response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Regulate the pull, use it as tentative interactional data, maintain boundaries, and consult if judgment is threatened.</w:t>
      </w:r>
    </w:p>
    <w:p>
      <w:pPr>
        <w:spacing w:after="44" w:line="240" w:lineRule="auto"/>
        <w:ind w:left="173" w:hanging="173"/>
      </w:pPr>
      <w:r>
        <w:rPr>
          <w:rFonts w:ascii="Calibri" w:hAnsi="Calibri"/>
          <w:b/>
          <w:color w:val="0B2545"/>
          <w:sz w:val="18"/>
        </w:rPr>
        <w:t xml:space="preserve">B. </w:t>
      </w:r>
      <w:r>
        <w:rPr>
          <w:rFonts w:ascii="Calibri" w:hAnsi="Calibri"/>
          <w:color w:val="1D2939"/>
          <w:sz w:val="18"/>
        </w:rPr>
        <w:t>Join the preferred family member's position because the therapist's emotional response confirms who needs protection.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Describe the therapist's personal history in detail so the family can decide whether the reaction is valid.</w:t>
      </w:r>
    </w:p>
    <w:p>
      <w:pPr>
        <w:spacing w:after="44" w:line="240" w:lineRule="auto"/>
        <w:ind w:left="173" w:hanging="173"/>
      </w:pPr>
      <w:r>
        <w:rPr>
          <w:rFonts w:ascii="Calibri" w:hAnsi="Calibri"/>
          <w:b/>
          <w:color w:val="0B2545"/>
          <w:sz w:val="18"/>
        </w:rPr>
        <w:t xml:space="preserve">D. </w:t>
      </w:r>
      <w:r>
        <w:rPr>
          <w:rFonts w:ascii="Calibri" w:hAnsi="Calibri"/>
          <w:color w:val="1D2939"/>
          <w:sz w:val="18"/>
        </w:rPr>
        <w:t>Ignore the reaction entirely because disciplined systemic practice excludes therapist experience from formulation.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interactional complexity and disciplined use of self at the MOST decision point. The supported action is: Regulate the pull, use it as tentative interactional data, maintain boundaries, and consult if judgment is threatened.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join the preferred family member's position. It reduces a reciprocal relational pattern to one person, one cause, or one account and therefore loses the systemic formulation. It therefore does not resolve interactional complexity and disciplined use of self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describe the therapist's personal history in detail. It reduces a reciprocal relational pattern to one person, one cause, or one account and therefore loses the systemic formulation. It therefore does not resolve interactional complexity and disciplined use of self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ignore the reaction entirely. It reduces a reciprocal relational pattern to one person, one cause, or one account and therefore loses the systemic formulation. It therefore does not resolve interactional complexity and disciplined use of self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interactional complexity and disciplined use of self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KA08</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r>
    </w:tbl>
    <w:p>
      <w:pPr>
        <w:spacing w:after="20"/>
      </w:pPr>
    </w:p>
    <w:p>
      <w:r>
        <w:br w:type="page"/>
      </w:r>
    </w:p>
    <w:p>
      <w:pPr>
        <w:pStyle w:val="Heading1"/>
      </w:pPr>
      <w:r>
        <w:t>Item 42 - Controlled Rationale</w:t>
      </w:r>
    </w:p>
    <w:p>
      <w:pPr>
        <w:spacing w:after="80" w:line="245" w:lineRule="auto"/>
      </w:pPr>
      <w:r>
        <w:rPr>
          <w:rFonts w:ascii="Calibri" w:hAnsi="Calibri"/>
          <w:b/>
          <w:color w:val="0B2545"/>
          <w:sz w:val="18"/>
        </w:rPr>
        <w:t xml:space="preserve">Stem: </w:t>
      </w:r>
      <w:r>
        <w:rPr>
          <w:rFonts w:ascii="Calibri" w:hAnsi="Calibri"/>
          <w:color w:val="1D2939"/>
          <w:sz w:val="18"/>
        </w:rPr>
        <w:t>A family wants to track whether evening arguments and repair are changing.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Select the most comprehensive standardized measure even if it does not match the family's goals.</w:t>
      </w:r>
    </w:p>
    <w:p>
      <w:pPr>
        <w:spacing w:after="44" w:line="240" w:lineRule="auto"/>
        <w:ind w:left="173" w:hanging="173"/>
      </w:pPr>
      <w:r>
        <w:rPr>
          <w:rFonts w:ascii="Calibri" w:hAnsi="Calibri"/>
          <w:b/>
          <w:color w:val="0B2545"/>
          <w:sz w:val="18"/>
        </w:rPr>
        <w:t xml:space="preserve">B. </w:t>
      </w:r>
      <w:r>
        <w:rPr>
          <w:rFonts w:ascii="Calibri" w:hAnsi="Calibri"/>
          <w:color w:val="1D2939"/>
          <w:sz w:val="18"/>
        </w:rPr>
        <w:t>Define the target, select feasible indicators, establish baseline, and plan collaborative interpretation.</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one family member to rate everyone else so the data come from a single consistent observer.</w:t>
      </w:r>
    </w:p>
    <w:p>
      <w:pPr>
        <w:spacing w:after="44" w:line="240" w:lineRule="auto"/>
        <w:ind w:left="173" w:hanging="173"/>
      </w:pPr>
      <w:r>
        <w:rPr>
          <w:rFonts w:ascii="Calibri" w:hAnsi="Calibri"/>
          <w:b/>
          <w:color w:val="0B2545"/>
          <w:sz w:val="18"/>
        </w:rPr>
        <w:t xml:space="preserve">D. </w:t>
      </w:r>
      <w:r>
        <w:rPr>
          <w:rFonts w:ascii="Calibri" w:hAnsi="Calibri"/>
          <w:color w:val="1D2939"/>
          <w:sz w:val="18"/>
        </w:rPr>
        <w:t>Wait until termination because early measurement could influence the family's behavior.</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select the most comprehensive standardized measure even if it does not match the family's goals. It dismisses, isolates, or fails to integrate outcome, alliance, implementation, and client-feedback data before modifying the plan. It therefore does not resolve measure selection and collaborative interpretation of change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measure selection and collaborative interpretation of change at the FIRST decision point. The supported action is: Define the target, select feasible indicators, establish baseline, and plan collaborative interpretation. This integrates baseline, outcome and alliance data, implementation, barriers, client meaning, collaborative review, adaptation, and continuity.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ask one family member to rate everyone else. It dismisses, isolates, or fails to integrate outcome, alliance, implementation, and client-feedback data before modifying the plan. It therefore does not resolve measure selection and collaborative interpretation of change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until termination. It delays, minimizes, conceals, or leaves the supported concern unresolved when direct action is already indicated. It therefore does not resolve measure selection and collaborative interpretation of change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measure selection and collaborative interpretation of change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04.01, 04.02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KA56, KA57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Easy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 UNDER</w:t>
            </w:r>
          </w:p>
        </w:tc>
      </w:tr>
    </w:tbl>
    <w:p>
      <w:pPr>
        <w:spacing w:after="20"/>
      </w:pPr>
    </w:p>
    <w:p>
      <w:r>
        <w:br w:type="page"/>
      </w:r>
    </w:p>
    <w:p>
      <w:pPr>
        <w:pStyle w:val="Heading1"/>
      </w:pPr>
      <w:r>
        <w:t>Item 43 - Controlled Rationale</w:t>
      </w:r>
    </w:p>
    <w:p>
      <w:pPr>
        <w:spacing w:after="80" w:line="245" w:lineRule="auto"/>
      </w:pPr>
      <w:r>
        <w:rPr>
          <w:rFonts w:ascii="Calibri" w:hAnsi="Calibri"/>
          <w:b/>
          <w:color w:val="0B2545"/>
          <w:sz w:val="18"/>
        </w:rPr>
        <w:t xml:space="preserve">Stem: </w:t>
      </w:r>
      <w:r>
        <w:rPr>
          <w:rFonts w:ascii="Calibri" w:hAnsi="Calibri"/>
          <w:color w:val="1D2939"/>
          <w:sz w:val="18"/>
        </w:rPr>
        <w:t>A telehealth platform begins creating automated transcripts by default and stores them with an outside vendor. Which response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Continue using the feature because vendor default settings establish reasonable professional practice.</w:t>
      </w:r>
    </w:p>
    <w:p>
      <w:pPr>
        <w:spacing w:after="44" w:line="240" w:lineRule="auto"/>
        <w:ind w:left="173" w:hanging="173"/>
      </w:pPr>
      <w:r>
        <w:rPr>
          <w:rFonts w:ascii="Calibri" w:hAnsi="Calibri"/>
          <w:b/>
          <w:color w:val="0B2545"/>
          <w:sz w:val="18"/>
        </w:rPr>
        <w:t xml:space="preserve">B. </w:t>
      </w:r>
      <w:r>
        <w:rPr>
          <w:rFonts w:ascii="Calibri" w:hAnsi="Calibri"/>
          <w:color w:val="1D2939"/>
          <w:sz w:val="18"/>
        </w:rPr>
        <w:t>Mention the transcripts after treatment ends so clients are not distracted by technical details.</w:t>
      </w:r>
    </w:p>
    <w:p>
      <w:pPr>
        <w:spacing w:after="44" w:line="240" w:lineRule="auto"/>
        <w:ind w:left="173" w:hanging="173"/>
      </w:pPr>
      <w:r>
        <w:rPr>
          <w:rFonts w:ascii="Calibri" w:hAnsi="Calibri"/>
          <w:b/>
          <w:color w:val="0B2545"/>
          <w:sz w:val="18"/>
        </w:rPr>
        <w:t xml:space="preserve">C. </w:t>
      </w:r>
      <w:r>
        <w:rPr>
          <w:rFonts w:ascii="Calibri" w:hAnsi="Calibri"/>
          <w:color w:val="1D2939"/>
          <w:sz w:val="18"/>
        </w:rPr>
        <w:t>Pause the feature while evaluating authorization, privacy, security, vendor terms, retention, law, and informed choice.</w:t>
      </w:r>
    </w:p>
    <w:p>
      <w:pPr>
        <w:spacing w:after="44" w:line="240" w:lineRule="auto"/>
        <w:ind w:left="173" w:hanging="173"/>
      </w:pPr>
      <w:r>
        <w:rPr>
          <w:rFonts w:ascii="Calibri" w:hAnsi="Calibri"/>
          <w:b/>
          <w:color w:val="0B2545"/>
          <w:sz w:val="18"/>
        </w:rPr>
        <w:t xml:space="preserve">D. </w:t>
      </w:r>
      <w:r>
        <w:rPr>
          <w:rFonts w:ascii="Calibri" w:hAnsi="Calibri"/>
          <w:color w:val="1D2939"/>
          <w:sz w:val="18"/>
        </w:rPr>
        <w:t>Allow the partner who owns the device to consent for every member of the client system.</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continue using the feature. It treats policy, payment, convenience, or a signature as a substitute for verified legal, ethical, consent, privacy, record, or client-rights duties. It therefore does not resolve written disclosures, privacy, and technology-assisted service safeguards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mention the transcripts after treatment ends. It treats policy, payment, convenience, or a signature as a substitute for verified legal, ethical, consent, privacy, record, or client-rights duties. It therefore does not resolve written disclosures, privacy, and technology-assisted service safeguards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written disclosures, privacy, and technology-assisted service safeguards at the BEST decision point. The supported action is: Pause the feature while evaluating authorization, privacy, security, vendor terms, retention, law, and informed choice.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allow the partner who owns the device to consent for every member of the client system. It uses an automatic, universal, coercive, or unnecessarily restrictive response that the stated facts do not justify. It therefore does not resolve written disclosures, privacy, and technology-assisted service safeguards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written disclosures, privacy, and technology-assisted service safeguards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06.09, 06.10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KA62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 OVER</w:t>
            </w:r>
          </w:p>
        </w:tc>
      </w:tr>
    </w:tbl>
    <w:p>
      <w:pPr>
        <w:spacing w:after="20"/>
      </w:pPr>
    </w:p>
    <w:p>
      <w:r>
        <w:br w:type="page"/>
      </w:r>
    </w:p>
    <w:p>
      <w:pPr>
        <w:pStyle w:val="Heading1"/>
      </w:pPr>
      <w:r>
        <w:t>Item 44 - Controlled Rationale</w:t>
      </w:r>
    </w:p>
    <w:p>
      <w:pPr>
        <w:spacing w:after="80" w:line="245" w:lineRule="auto"/>
      </w:pPr>
      <w:r>
        <w:rPr>
          <w:rFonts w:ascii="Calibri" w:hAnsi="Calibri"/>
          <w:b/>
          <w:color w:val="0B2545"/>
          <w:sz w:val="18"/>
        </w:rPr>
        <w:t xml:space="preserve">Stem: </w:t>
      </w:r>
      <w:r>
        <w:rPr>
          <w:rFonts w:ascii="Calibri" w:hAnsi="Calibri"/>
          <w:color w:val="1D2939"/>
          <w:sz w:val="18"/>
        </w:rPr>
        <w:t>Near the anniversary of a traumatic event and an upcoming immigration hearing, a client has panic episodes and misses work but denies current self-harm intent.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Assume the symptoms are a predictable anniversary reaction and continue the existing plan without reassessment.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Focus on the hearing logistics because contextual stress makes clinical assessment unnecessary.</w:t>
      </w:r>
    </w:p>
    <w:p>
      <w:pPr>
        <w:spacing w:after="44" w:line="240" w:lineRule="auto"/>
        <w:ind w:left="173" w:hanging="173"/>
      </w:pPr>
      <w:r>
        <w:rPr>
          <w:rFonts w:ascii="Calibri" w:hAnsi="Calibri"/>
          <w:b/>
          <w:color w:val="0B2545"/>
          <w:sz w:val="18"/>
        </w:rPr>
        <w:t xml:space="preserve">C. </w:t>
      </w:r>
      <w:r>
        <w:rPr>
          <w:rFonts w:ascii="Calibri" w:hAnsi="Calibri"/>
          <w:color w:val="1D2939"/>
          <w:sz w:val="18"/>
        </w:rPr>
        <w:t>Interpret the missed work as avoidance and assign exposure before reviewing current supports or safety.</w:t>
      </w:r>
    </w:p>
    <w:p>
      <w:pPr>
        <w:spacing w:after="44" w:line="240" w:lineRule="auto"/>
        <w:ind w:left="173" w:hanging="173"/>
      </w:pPr>
      <w:r>
        <w:rPr>
          <w:rFonts w:ascii="Calibri" w:hAnsi="Calibri"/>
          <w:b/>
          <w:color w:val="0B2545"/>
          <w:sz w:val="18"/>
        </w:rPr>
        <w:t xml:space="preserve">D. </w:t>
      </w:r>
      <w:r>
        <w:rPr>
          <w:rFonts w:ascii="Calibri" w:hAnsi="Calibri"/>
          <w:color w:val="1D2939"/>
          <w:sz w:val="18"/>
        </w:rPr>
        <w:t>Assess current risk, functioning, trauma activation, contextual threats, resources, and coping before adjusting supports.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assume the symptoms are a predictable anniversary reaction and continue the existing plan without reassessment. It does not directly assess or respond to the supported risk, medical urgency, access, protection, or level-of-care question. It therefore does not resolve trauma history and contextual crisis factors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focus on the hearing logistics. It does not directly assess or respond to the supported risk, medical urgency, access, protection, or level-of-care question. It therefore does not resolve trauma history and contextual crisis factors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interpret the missed work as avoidance and assign exposure before reviewing current supports or safety. It does not directly assess or respond to the supported risk, medical urgency, access, protection, or level-of-care question. It therefore does not resolve trauma history and contextual crisis factors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trauma history and contextual crisis factors at the NEXT decision point. The supported action is: Assess current risk, functioning, trauma activation, contextual threats, resources, and coping before adjusting supports. This integrates direct risk or medical assessment, immediacy, intent, means or access, protection, level of care, local resources, and documentation.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trauma history and contextual crisis factors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KA24</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r>
    </w:tbl>
    <w:p>
      <w:pPr>
        <w:spacing w:after="20"/>
      </w:pPr>
    </w:p>
    <w:p>
      <w:r>
        <w:br w:type="page"/>
      </w:r>
    </w:p>
    <w:p>
      <w:pPr>
        <w:pStyle w:val="Heading1"/>
      </w:pPr>
      <w:r>
        <w:t>Item 45 - Controlled Rationale</w:t>
      </w:r>
    </w:p>
    <w:p>
      <w:pPr>
        <w:spacing w:after="80" w:line="245" w:lineRule="auto"/>
      </w:pPr>
      <w:r>
        <w:rPr>
          <w:rFonts w:ascii="Calibri" w:hAnsi="Calibri"/>
          <w:b/>
          <w:color w:val="0B2545"/>
          <w:sz w:val="18"/>
        </w:rPr>
        <w:t xml:space="preserve">Stem: </w:t>
      </w:r>
      <w:r>
        <w:rPr>
          <w:rFonts w:ascii="Calibri" w:hAnsi="Calibri"/>
          <w:color w:val="1D2939"/>
          <w:sz w:val="18"/>
        </w:rPr>
        <w:t>A family values the guidance of elders and spiritual supports and identifies mutual caregiving as a major strength. Which explanation of the treatment plan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Explain the shared formulation, invite cultural meaning and strengths, and adapt participation and goals collaboratively.</w:t>
      </w:r>
    </w:p>
    <w:p>
      <w:pPr>
        <w:spacing w:after="44" w:line="240" w:lineRule="auto"/>
        <w:ind w:left="173" w:hanging="173"/>
      </w:pPr>
      <w:r>
        <w:rPr>
          <w:rFonts w:ascii="Calibri" w:hAnsi="Calibri"/>
          <w:b/>
          <w:color w:val="0B2545"/>
          <w:sz w:val="18"/>
        </w:rPr>
        <w:t xml:space="preserve">B. </w:t>
      </w:r>
      <w:r>
        <w:rPr>
          <w:rFonts w:ascii="Calibri" w:hAnsi="Calibri"/>
          <w:color w:val="1D2939"/>
          <w:sz w:val="18"/>
        </w:rPr>
        <w:t>Present the plan as culturally neutral and discourage outside supports that could alter treatment fidelity.</w:t>
      </w:r>
    </w:p>
    <w:p>
      <w:pPr>
        <w:spacing w:after="44" w:line="240" w:lineRule="auto"/>
        <w:ind w:left="173" w:hanging="173"/>
      </w:pPr>
      <w:r>
        <w:rPr>
          <w:rFonts w:ascii="Calibri" w:hAnsi="Calibri"/>
          <w:b/>
          <w:color w:val="0B2545"/>
          <w:sz w:val="18"/>
        </w:rPr>
        <w:t xml:space="preserve">C. </w:t>
      </w:r>
      <w:r>
        <w:rPr>
          <w:rFonts w:ascii="Calibri" w:hAnsi="Calibri"/>
          <w:color w:val="1D2939"/>
          <w:sz w:val="18"/>
        </w:rPr>
        <w:t>Let the oldest family member approve the plan for everyone because collective values eliminate individual consent concerns.</w:t>
      </w:r>
    </w:p>
    <w:p>
      <w:pPr>
        <w:spacing w:after="44" w:line="240" w:lineRule="auto"/>
        <w:ind w:left="173" w:hanging="173"/>
      </w:pPr>
      <w:r>
        <w:rPr>
          <w:rFonts w:ascii="Calibri" w:hAnsi="Calibri"/>
          <w:b/>
          <w:color w:val="0B2545"/>
          <w:sz w:val="18"/>
        </w:rPr>
        <w:t xml:space="preserve">D. </w:t>
      </w:r>
      <w:r>
        <w:rPr>
          <w:rFonts w:ascii="Calibri" w:hAnsi="Calibri"/>
          <w:color w:val="1D2939"/>
          <w:sz w:val="18"/>
        </w:rPr>
        <w:t>Use spiritual practices as the primary intervention without assessing competence, client preference, or clinical fit.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collaborative rationale responsive to culture and strengths at the MOST decision point. The supported action is: Explain the shared formulation, invite cultural meaning and strengths, and adapt participation and goals collaboratively.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present the plan as culturally neutral and discourage outside supports that could alter treatment fidelity. It selects an action without a shared goal, coherent formulation, treatment-unit decision, sequence, or observable outcome. It therefore does not resolve collaborative rationale responsive to culture and strengths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let the oldest family member approve the plan for everyone. It selects an action without a shared goal, coherent formulation, treatment-unit decision, sequence, or observable outcome. It therefore does not resolve collaborative rationale responsive to culture and strengths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use spiritual practices as the primary intervention without assessing competence, client preference, or clinical fit. It selects an action without a shared goal, coherent formulation, treatment-unit decision, sequence, or observable outcome. It therefore does not resolve collaborative rationale responsive to culture and strengths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collaborative rationale responsive to culture and strengths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03.09, 03.19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KA09, KA11</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r>
    </w:tbl>
    <w:p>
      <w:pPr>
        <w:spacing w:after="20"/>
      </w:pPr>
    </w:p>
    <w:p>
      <w:r>
        <w:br w:type="page"/>
      </w:r>
    </w:p>
    <w:p>
      <w:pPr>
        <w:pStyle w:val="Heading1"/>
      </w:pPr>
      <w:r>
        <w:t>Item 46 - Controlled Rationale</w:t>
      </w:r>
    </w:p>
    <w:p>
      <w:pPr>
        <w:spacing w:after="80" w:line="245" w:lineRule="auto"/>
      </w:pPr>
      <w:r>
        <w:rPr>
          <w:rFonts w:ascii="Calibri" w:hAnsi="Calibri"/>
          <w:b/>
          <w:color w:val="0B2545"/>
          <w:sz w:val="18"/>
        </w:rPr>
        <w:t xml:space="preserve">Stem: </w:t>
      </w:r>
      <w:r>
        <w:rPr>
          <w:rFonts w:ascii="Calibri" w:hAnsi="Calibri"/>
          <w:color w:val="1D2939"/>
          <w:sz w:val="18"/>
        </w:rPr>
        <w:t>An eight-year-old begins bed-wetting and clinging after a parent's deployment and the birth of a sibling. Caregivers disagree about whether the child is manipulative.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Select a disruptive-behavior diagnosis because the symptoms began after the child received less attention.</w:t>
      </w:r>
    </w:p>
    <w:p>
      <w:pPr>
        <w:spacing w:after="44" w:line="240" w:lineRule="auto"/>
        <w:ind w:left="173" w:hanging="173"/>
      </w:pPr>
      <w:r>
        <w:rPr>
          <w:rFonts w:ascii="Calibri" w:hAnsi="Calibri"/>
          <w:b/>
          <w:color w:val="0B2545"/>
          <w:sz w:val="18"/>
        </w:rPr>
        <w:t xml:space="preserve">B. </w:t>
      </w:r>
      <w:r>
        <w:rPr>
          <w:rFonts w:ascii="Calibri" w:hAnsi="Calibri"/>
          <w:color w:val="1D2939"/>
          <w:sz w:val="18"/>
        </w:rPr>
        <w:t>Assess development, medical factors, separation and trauma responses, caregiving changes, life-cycle demands, school functioning, and interactional meaning.</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the deployed parent to decide whether the behavior is intentional before interviewing the child.</w:t>
      </w:r>
    </w:p>
    <w:p>
      <w:pPr>
        <w:spacing w:after="44" w:line="240" w:lineRule="auto"/>
        <w:ind w:left="173" w:hanging="173"/>
      </w:pPr>
      <w:r>
        <w:rPr>
          <w:rFonts w:ascii="Calibri" w:hAnsi="Calibri"/>
          <w:b/>
          <w:color w:val="0B2545"/>
          <w:sz w:val="18"/>
        </w:rPr>
        <w:t xml:space="preserve">D. </w:t>
      </w:r>
      <w:r>
        <w:rPr>
          <w:rFonts w:ascii="Calibri" w:hAnsi="Calibri"/>
          <w:color w:val="1D2939"/>
          <w:sz w:val="18"/>
        </w:rPr>
        <w:t>Begin a reward-and-consequence plan without gathering information from other settings.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select a disruptive-behavior diagnosis. It reaches a conclusion or selects a response before integrating the clinical, relational, contextual, and functional data needed for this decision. It therefore does not resolve trauma, development, and family-life-cycle effects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trauma, development, and family-life-cycle effects at the FIRST decision point. The supported action is: Assess development, medical factors, separation and trauma responses, caregiving changes, life-cycle demands, school functioning, and interactional meaning. This integrates interview, observation, history, mental status, functioning, valid measures, context, and revisable hypotheses.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ask the deployed parent to decide whether the behavior is intentional before interviewing the child. It reaches a conclusion or selects a response before integrating the clinical, relational, contextual, and functional data needed for this decision. It therefore does not resolve trauma, development, and family-life-cycle effects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begin a reward-and-consequence plan without gathering information from other settings. It reaches a conclusion or selects a response before integrating the clinical, relational, contextual, and functional data needed for this decision. It therefore does not resolve trauma, development, and family-life-cycle effects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trauma, development, and family-life-cycle effects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02.11, 02.14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KA27, KA30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WB3</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r>
    </w:tbl>
    <w:p>
      <w:pPr>
        <w:spacing w:after="20"/>
      </w:pPr>
    </w:p>
    <w:p>
      <w:r>
        <w:br w:type="page"/>
      </w:r>
    </w:p>
    <w:p>
      <w:pPr>
        <w:pStyle w:val="Heading1"/>
      </w:pPr>
      <w:r>
        <w:t>Item 47 -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has contamination rituals that organize the entire household, while family members alternate between accommodating and confronting the rituals. Which formulation and model choice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Use only a family-boundary explanation because individual symptom processes fall outside systemic practice.</w:t>
      </w:r>
    </w:p>
    <w:p>
      <w:pPr>
        <w:spacing w:after="44" w:line="240" w:lineRule="auto"/>
        <w:ind w:left="173" w:hanging="173"/>
      </w:pPr>
      <w:r>
        <w:rPr>
          <w:rFonts w:ascii="Calibri" w:hAnsi="Calibri"/>
          <w:b/>
          <w:color w:val="0B2545"/>
          <w:sz w:val="18"/>
        </w:rPr>
        <w:t xml:space="preserve">B. </w:t>
      </w:r>
      <w:r>
        <w:rPr>
          <w:rFonts w:ascii="Calibri" w:hAnsi="Calibri"/>
          <w:color w:val="1D2939"/>
          <w:sz w:val="18"/>
        </w:rPr>
        <w:t>Treat the rituals individually and instruct family members not to discuss their responses in therapy.</w:t>
      </w:r>
    </w:p>
    <w:p>
      <w:pPr>
        <w:spacing w:after="44" w:line="240" w:lineRule="auto"/>
        <w:ind w:left="173" w:hanging="173"/>
      </w:pPr>
      <w:r>
        <w:rPr>
          <w:rFonts w:ascii="Calibri" w:hAnsi="Calibri"/>
          <w:b/>
          <w:color w:val="0B2545"/>
          <w:sz w:val="18"/>
        </w:rPr>
        <w:t xml:space="preserve">C. </w:t>
      </w:r>
      <w:r>
        <w:rPr>
          <w:rFonts w:ascii="Calibri" w:hAnsi="Calibri"/>
          <w:color w:val="1D2939"/>
          <w:sz w:val="18"/>
        </w:rPr>
        <w:t>Integrate evidence-supported symptom treatment with systemic accommodation, conflict, culture, and alliance patterns.</w:t>
      </w:r>
    </w:p>
    <w:p>
      <w:pPr>
        <w:spacing w:after="44" w:line="240" w:lineRule="auto"/>
        <w:ind w:left="173" w:hanging="173"/>
      </w:pPr>
      <w:r>
        <w:rPr>
          <w:rFonts w:ascii="Calibri" w:hAnsi="Calibri"/>
          <w:b/>
          <w:color w:val="0B2545"/>
          <w:sz w:val="18"/>
        </w:rPr>
        <w:t xml:space="preserve">D. </w:t>
      </w:r>
      <w:r>
        <w:rPr>
          <w:rFonts w:ascii="Calibri" w:hAnsi="Calibri"/>
          <w:color w:val="1D2939"/>
          <w:sz w:val="18"/>
        </w:rPr>
        <w:t>Select unrelated techniques from several models so the family can determine which theory is correct.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use only a family-boundary explanation. It uses an automatic, universal, coercive, or unnecessarily restrictive response that the stated facts do not justify. It therefore does not resolve systemic formulation and model-fit integration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treat the rituals individually and instruct family members not to discuss their responses in therapy. It reduces a reciprocal relational pattern to one person, one cause, or one account and therefore loses the systemic formulation. It therefore does not resolve systemic formulation and model-fit integration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systemic formulation and model-fit integration at the BEST decision point. The supported action is: Integrate evidence-supported symptom treatment with systemic accommodation, conflict, culture, and alliance patterns.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select unrelated techniques from several models. It reduces a reciprocal relational pattern to one person, one cause, or one account and therefore loses the systemic formulation. It therefore does not resolve systemic formulation and model-fit integration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systemic formulation and model-fit integration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01.01, 01.03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KA10, KA13</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Integrated Clinical Reasoning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OVER, SYSTEM</w:t>
            </w:r>
          </w:p>
        </w:tc>
      </w:tr>
    </w:tbl>
    <w:p>
      <w:pPr>
        <w:spacing w:after="20"/>
      </w:pPr>
    </w:p>
    <w:p>
      <w:r>
        <w:br w:type="page"/>
      </w:r>
    </w:p>
    <w:p>
      <w:pPr>
        <w:pStyle w:val="Heading1"/>
      </w:pPr>
      <w:r>
        <w:t>Item 48 -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does not complete solution-focused tasks and says the therapist's repeated search for exceptions feels blaming.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Assign more exceptions work so the client understands that change requires participation.</w:t>
      </w:r>
    </w:p>
    <w:p>
      <w:pPr>
        <w:spacing w:after="44" w:line="240" w:lineRule="auto"/>
        <w:ind w:left="173" w:hanging="173"/>
      </w:pPr>
      <w:r>
        <w:rPr>
          <w:rFonts w:ascii="Calibri" w:hAnsi="Calibri"/>
          <w:b/>
          <w:color w:val="0B2545"/>
          <w:sz w:val="18"/>
        </w:rPr>
        <w:t xml:space="preserve">B. </w:t>
      </w:r>
      <w:r>
        <w:rPr>
          <w:rFonts w:ascii="Calibri" w:hAnsi="Calibri"/>
          <w:color w:val="1D2939"/>
          <w:sz w:val="18"/>
        </w:rPr>
        <w:t>Explain that discomfort is evidence the model is reaching the client's resistance.</w:t>
      </w:r>
    </w:p>
    <w:p>
      <w:pPr>
        <w:spacing w:after="44" w:line="240" w:lineRule="auto"/>
        <w:ind w:left="173" w:hanging="173"/>
      </w:pPr>
      <w:r>
        <w:rPr>
          <w:rFonts w:ascii="Calibri" w:hAnsi="Calibri"/>
          <w:b/>
          <w:color w:val="0B2545"/>
          <w:sz w:val="18"/>
        </w:rPr>
        <w:t xml:space="preserve">C. </w:t>
      </w:r>
      <w:r>
        <w:rPr>
          <w:rFonts w:ascii="Calibri" w:hAnsi="Calibri"/>
          <w:color w:val="1D2939"/>
          <w:sz w:val="18"/>
        </w:rPr>
        <w:t>Replace the treatment model immediately without discussing the alliance or the client's experience.</w:t>
      </w:r>
    </w:p>
    <w:p>
      <w:pPr>
        <w:spacing w:after="44" w:line="240" w:lineRule="auto"/>
        <w:ind w:left="173" w:hanging="173"/>
      </w:pPr>
      <w:r>
        <w:rPr>
          <w:rFonts w:ascii="Calibri" w:hAnsi="Calibri"/>
          <w:b/>
          <w:color w:val="0B2545"/>
          <w:sz w:val="18"/>
        </w:rPr>
        <w:t xml:space="preserve">D. </w:t>
      </w:r>
      <w:r>
        <w:rPr>
          <w:rFonts w:ascii="Calibri" w:hAnsi="Calibri"/>
          <w:color w:val="1D2939"/>
          <w:sz w:val="18"/>
        </w:rPr>
        <w:t>Repair the impact, examine barriers and meaning, review formulation and goals, and adapt collaboratively.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assign more exceptions work. It dismisses, isolates, or fails to integrate outcome, alliance, implementation, and client-feedback data before modifying the plan. It therefore does not resolve intervention adaptation after weak response or alliance strain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explain that discomfort is evidence the model is reaching the client's resistance. It dismisses, isolates, or fails to integrate outcome, alliance, implementation, and client-feedback data before modifying the plan. It therefore does not resolve intervention adaptation after weak response or alliance strain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replace the treatment model immediately without discussing the alliance or the client's experience. It dismisses, isolates, or fails to integrate outcome, alliance, implementation, and client-feedback data before modifying the plan. It therefore does not resolve intervention adaptation after weak response or alliance strain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intervention adaptation after weak response or alliance strain at the NEXT decision point. The supported action is: Repair the impact, examine barriers and meaning, review formulation and goals, and adapt collaboratively. This integrates baseline, outcome and alliance data, implementation, barriers, client meaning, collaborative review, adaptation, and continuity.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intervention adaptation after weak response or alliance strain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04.03, 04.04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KA56, KA57</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WB8</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r>
    </w:tbl>
    <w:p>
      <w:pPr>
        <w:spacing w:after="20"/>
      </w:pPr>
    </w:p>
    <w:p>
      <w:r>
        <w:br w:type="page"/>
      </w:r>
    </w:p>
    <w:p>
      <w:pPr>
        <w:pStyle w:val="Heading1"/>
      </w:pPr>
      <w:r>
        <w:t>Item 49 -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client's family invites the therapist to invest in a profitable business and says participation would demonstrate cultural respect and strengthen trust. Which response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Decline the investment, explain the boundary, consider cultural meaning, and document consultation or safeguards.</w:t>
      </w:r>
    </w:p>
    <w:p>
      <w:pPr>
        <w:spacing w:after="44" w:line="240" w:lineRule="auto"/>
        <w:ind w:left="173" w:hanging="173"/>
      </w:pPr>
      <w:r>
        <w:rPr>
          <w:rFonts w:ascii="Calibri" w:hAnsi="Calibri"/>
          <w:b/>
          <w:color w:val="0B2545"/>
          <w:sz w:val="18"/>
        </w:rPr>
        <w:t xml:space="preserve">B. </w:t>
      </w:r>
      <w:r>
        <w:rPr>
          <w:rFonts w:ascii="Calibri" w:hAnsi="Calibri"/>
          <w:color w:val="1D2939"/>
          <w:sz w:val="18"/>
        </w:rPr>
        <w:t>Invest a small amount because limited financial involvement cannot impair professional judgment.</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a colleague to hold the investment in the therapist's place so the relationship remains undisclosed.</w:t>
      </w:r>
    </w:p>
    <w:p>
      <w:pPr>
        <w:spacing w:after="44" w:line="240" w:lineRule="auto"/>
        <w:ind w:left="173" w:hanging="173"/>
      </w:pPr>
      <w:r>
        <w:rPr>
          <w:rFonts w:ascii="Calibri" w:hAnsi="Calibri"/>
          <w:b/>
          <w:color w:val="0B2545"/>
          <w:sz w:val="18"/>
        </w:rPr>
        <w:t xml:space="preserve">D. </w:t>
      </w:r>
      <w:r>
        <w:rPr>
          <w:rFonts w:ascii="Calibri" w:hAnsi="Calibri"/>
          <w:color w:val="1D2939"/>
          <w:sz w:val="18"/>
        </w:rPr>
        <w:t>End therapy immediately without discussing the invitation because any proposed multiple role requires termination.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exploitation-risk and multiple-role prevention at the MOST decision point. The supported action is: Decline the investment, explain the boundary, consider cultural meaning, and document consultation or safeguards.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invest a small amount. It treats policy, payment, convenience, or a signature as a substitute for verified legal, ethical, consent, privacy, record, or client-rights duties. It therefore does not resolve exploitation-risk and multiple-role prevention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ask a colleague to hold the investment in the therapist's place. It treats policy, payment, convenience, or a signature as a substitute for verified legal, ethical, consent, privacy, record, or client-rights duties. It therefore does not resolve exploitation-risk and multiple-role prevention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end therapy immediately without discussing the invitation. It treats policy, payment, convenience, or a signature as a substitute for verified legal, ethical, consent, privacy, record, or client-rights duties. It therefore does not resolve exploitation-risk and multiple-role prevention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exploitation-risk and multiple-role prevention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CTA-LMFT-AMFTRB-CP2-Q049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06.11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KA70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WB2</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r>
    </w:tbl>
    <w:p>
      <w:pPr>
        <w:spacing w:after="20"/>
      </w:pPr>
    </w:p>
    <w:p>
      <w:r>
        <w:br w:type="page"/>
      </w:r>
    </w:p>
    <w:p>
      <w:pPr>
        <w:pStyle w:val="Heading1"/>
      </w:pPr>
      <w:r>
        <w:t>Item 50 - Controlled Rationale</w:t>
      </w:r>
    </w:p>
    <w:p>
      <w:pPr>
        <w:spacing w:after="80" w:line="245" w:lineRule="auto"/>
      </w:pPr>
      <w:r>
        <w:rPr>
          <w:rFonts w:ascii="Calibri" w:hAnsi="Calibri"/>
          <w:b/>
          <w:color w:val="0B2545"/>
          <w:sz w:val="18"/>
        </w:rPr>
        <w:t xml:space="preserve">Stem: </w:t>
      </w:r>
      <w:r>
        <w:rPr>
          <w:rFonts w:ascii="Calibri" w:hAnsi="Calibri"/>
          <w:color w:val="1D2939"/>
          <w:sz w:val="18"/>
        </w:rPr>
        <w:t>A client is leaving a crisis stabilization program after a suicide attempt and will return to a family that is unsure how to support the safety plan.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Wait for the family to request guidance so the client's independence is not undermined.</w:t>
      </w:r>
    </w:p>
    <w:p>
      <w:pPr>
        <w:spacing w:after="44" w:line="240" w:lineRule="auto"/>
        <w:ind w:left="173" w:hanging="173"/>
      </w:pPr>
      <w:r>
        <w:rPr>
          <w:rFonts w:ascii="Calibri" w:hAnsi="Calibri"/>
          <w:b/>
          <w:color w:val="0B2545"/>
          <w:sz w:val="18"/>
        </w:rPr>
        <w:t xml:space="preserve">B. </w:t>
      </w:r>
      <w:r>
        <w:rPr>
          <w:rFonts w:ascii="Calibri" w:hAnsi="Calibri"/>
          <w:color w:val="1D2939"/>
          <w:sz w:val="18"/>
        </w:rPr>
        <w:t>Coordinate the transition, clarify roles and warning signs, and confirm follow-up, crisis contacts, and continuity.</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the family to assume full responsibility for monitoring because formal providers are no longer involved.</w:t>
      </w:r>
    </w:p>
    <w:p>
      <w:pPr>
        <w:spacing w:after="44" w:line="240" w:lineRule="auto"/>
        <w:ind w:left="173" w:hanging="173"/>
      </w:pPr>
      <w:r>
        <w:rPr>
          <w:rFonts w:ascii="Calibri" w:hAnsi="Calibri"/>
          <w:b/>
          <w:color w:val="0B2545"/>
          <w:sz w:val="18"/>
        </w:rPr>
        <w:t xml:space="preserve">D. </w:t>
      </w:r>
      <w:r>
        <w:rPr>
          <w:rFonts w:ascii="Calibri" w:hAnsi="Calibri"/>
          <w:color w:val="1D2939"/>
          <w:sz w:val="18"/>
        </w:rPr>
        <w:t>Begin processing longstanding family conflict before confirming immediate follow-up arrangements.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for the family to request guidance. It delays, minimizes, conceals, or leaves the supported concern unresolved when direct action is already indicated. It therefore does not resolve stakeholder collaboration and continuity during crisis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stakeholder collaboration and continuity during crisis at the FIRST decision point. The supported action is: Coordinate the transition, clarify roles and warning signs, and confirm follow-up, crisis contacts, and continuity. This integrates direct risk or medical assessment, immediacy, intent, means or access, protection, level of care, local resources,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ask the family to assume full responsibility for monitoring. It does not directly assess or respond to the supported risk, medical urgency, access, protection, or level-of-care question. It therefore does not resolve stakeholder collaboration and continuity during crisis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begin processing longstanding family conflict before confirming immediate follow-up arrangements. It does not directly assess or respond to the supported risk, medical urgency, access, protection, or level-of-care question. It therefore does not resolve stakeholder collaboration and continuity during crisis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stakeholder collaboration and continuity during crisis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05.09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KA75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UNDER, SAFETY</w:t>
            </w:r>
          </w:p>
        </w:tc>
      </w:tr>
    </w:tbl>
    <w:p>
      <w:pPr>
        <w:spacing w:after="20"/>
      </w:pPr>
    </w:p>
    <w:p>
      <w:r>
        <w:br w:type="page"/>
      </w:r>
    </w:p>
    <w:p>
      <w:pPr>
        <w:pStyle w:val="Heading1"/>
      </w:pPr>
      <w:r>
        <w:t>Item 51 - Controlled Rationale</w:t>
      </w:r>
    </w:p>
    <w:p>
      <w:pPr>
        <w:spacing w:after="80" w:line="245" w:lineRule="auto"/>
      </w:pPr>
      <w:r>
        <w:rPr>
          <w:rFonts w:ascii="Calibri" w:hAnsi="Calibri"/>
          <w:b/>
          <w:color w:val="0B2545"/>
          <w:sz w:val="18"/>
        </w:rPr>
        <w:t xml:space="preserve">Stem: </w:t>
      </w:r>
      <w:r>
        <w:rPr>
          <w:rFonts w:ascii="Calibri" w:hAnsi="Calibri"/>
          <w:color w:val="1D2939"/>
          <w:sz w:val="18"/>
        </w:rPr>
        <w:t>A genogram and session observation show that a child repeatedly mediates between parents, and each parent turns to the child rather than addressing the other. Which intervention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Ask the child to become a more neutral messenger so parental conflict remains contained.</w:t>
      </w:r>
    </w:p>
    <w:p>
      <w:pPr>
        <w:spacing w:after="44" w:line="240" w:lineRule="auto"/>
        <w:ind w:left="173" w:hanging="173"/>
      </w:pPr>
      <w:r>
        <w:rPr>
          <w:rFonts w:ascii="Calibri" w:hAnsi="Calibri"/>
          <w:b/>
          <w:color w:val="0B2545"/>
          <w:sz w:val="18"/>
        </w:rPr>
        <w:t xml:space="preserve">B. </w:t>
      </w:r>
      <w:r>
        <w:rPr>
          <w:rFonts w:ascii="Calibri" w:hAnsi="Calibri"/>
          <w:color w:val="1D2939"/>
          <w:sz w:val="18"/>
        </w:rPr>
        <w:t>Explore only each parent's childhood history because current interaction should not be changed until insight is complete.</w:t>
      </w:r>
    </w:p>
    <w:p>
      <w:pPr>
        <w:spacing w:after="44" w:line="240" w:lineRule="auto"/>
        <w:ind w:left="173" w:hanging="173"/>
      </w:pPr>
      <w:r>
        <w:rPr>
          <w:rFonts w:ascii="Calibri" w:hAnsi="Calibri"/>
          <w:b/>
          <w:color w:val="0B2545"/>
          <w:sz w:val="18"/>
        </w:rPr>
        <w:t xml:space="preserve">C. </w:t>
      </w:r>
      <w:r>
        <w:rPr>
          <w:rFonts w:ascii="Calibri" w:hAnsi="Calibri"/>
          <w:color w:val="1D2939"/>
          <w:sz w:val="18"/>
        </w:rPr>
        <w:t>Use a parent-to-parent enactment, strengthen the parental subsystem, and restore age-appropriate boundaries around the child.</w:t>
      </w:r>
    </w:p>
    <w:p>
      <w:pPr>
        <w:spacing w:after="44" w:line="240" w:lineRule="auto"/>
        <w:ind w:left="173" w:hanging="173"/>
      </w:pPr>
      <w:r>
        <w:rPr>
          <w:rFonts w:ascii="Calibri" w:hAnsi="Calibri"/>
          <w:b/>
          <w:color w:val="0B2545"/>
          <w:sz w:val="18"/>
        </w:rPr>
        <w:t xml:space="preserve">D. </w:t>
      </w:r>
      <w:r>
        <w:rPr>
          <w:rFonts w:ascii="Calibri" w:hAnsi="Calibri"/>
          <w:color w:val="1D2939"/>
          <w:sz w:val="18"/>
        </w:rPr>
        <w:t>Meet with the child alone to determine which parent is responsible for the triangulation.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ask the child to become a more neutral messenger. It selects an action without a shared goal, coherent formulation, treatment-unit decision, sequence, or observable outcome. It therefore does not resolve family mapping, restructuring, and systemic reorganization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explore only each parent's childhood history. It uses an automatic, universal, coercive, or unnecessarily restrictive response that the stated facts do not justify. It therefore does not resolve family mapping, restructuring, and systemic reorganization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family mapping, restructuring, and systemic reorganization at the BEST decision point. The supported action is: Use a parent-to-parent enactment, strengthen the parental subsystem, and restore age-appropriate boundaries around the child.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meet with the child alone to determine which parent is responsible for the triangulation. It selects an action without a shared goal, coherent formulation, treatment-unit decision, sequence, or observable outcome. It therefore does not resolve family mapping, restructuring, and systemic reorganization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family mapping, restructuring, and systemic reorganization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CTA-LMFT-AMFTRB-CP2-Q051</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03.12, 03.13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KA44, KA45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 OVER</w:t>
            </w:r>
          </w:p>
        </w:tc>
      </w:tr>
    </w:tbl>
    <w:p>
      <w:pPr>
        <w:spacing w:after="20"/>
      </w:pPr>
    </w:p>
    <w:p>
      <w:r>
        <w:br w:type="page"/>
      </w:r>
    </w:p>
    <w:p>
      <w:pPr>
        <w:pStyle w:val="Heading1"/>
      </w:pPr>
      <w:r>
        <w:t>Item 52 - Controlled Rationale</w:t>
      </w:r>
    </w:p>
    <w:p>
      <w:pPr>
        <w:spacing w:after="80" w:line="245" w:lineRule="auto"/>
      </w:pPr>
      <w:r>
        <w:rPr>
          <w:rFonts w:ascii="Calibri" w:hAnsi="Calibri"/>
          <w:b/>
          <w:color w:val="0B2545"/>
          <w:sz w:val="18"/>
        </w:rPr>
        <w:t xml:space="preserve">Stem: </w:t>
      </w:r>
      <w:r>
        <w:rPr>
          <w:rFonts w:ascii="Calibri" w:hAnsi="Calibri"/>
          <w:color w:val="1D2939"/>
          <w:sz w:val="18"/>
        </w:rPr>
        <w:t>A couple reports desire discrepancy, pain during sexual activity, shame, and escalating arguments. One partner has a recent medical condition, and both hold different cultural meanings about sex.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Diagnose a sexual dysfunction from the desire discrepancy alone and begin a standard behavioral assignment.</w:t>
      </w:r>
    </w:p>
    <w:p>
      <w:pPr>
        <w:spacing w:after="44" w:line="240" w:lineRule="auto"/>
        <w:ind w:left="173" w:hanging="173"/>
      </w:pPr>
      <w:r>
        <w:rPr>
          <w:rFonts w:ascii="Calibri" w:hAnsi="Calibri"/>
          <w:b/>
          <w:color w:val="0B2545"/>
          <w:sz w:val="18"/>
        </w:rPr>
        <w:t xml:space="preserve">B. </w:t>
      </w:r>
      <w:r>
        <w:rPr>
          <w:rFonts w:ascii="Calibri" w:hAnsi="Calibri"/>
          <w:color w:val="1D2939"/>
          <w:sz w:val="18"/>
        </w:rPr>
        <w:t>Treat the issue only as communication conflict because medical and cultural factors are outside couple therapy.</w:t>
      </w:r>
    </w:p>
    <w:p>
      <w:pPr>
        <w:spacing w:after="44" w:line="240" w:lineRule="auto"/>
        <w:ind w:left="173" w:hanging="173"/>
      </w:pPr>
      <w:r>
        <w:rPr>
          <w:rFonts w:ascii="Calibri" w:hAnsi="Calibri"/>
          <w:b/>
          <w:color w:val="0B2545"/>
          <w:sz w:val="18"/>
        </w:rPr>
        <w:t xml:space="preserve">C. </w:t>
      </w:r>
      <w:r>
        <w:rPr>
          <w:rFonts w:ascii="Calibri" w:hAnsi="Calibri"/>
          <w:color w:val="1D2939"/>
          <w:sz w:val="18"/>
        </w:rPr>
        <w:t>Ask the higher-desire partner to set the treatment goal because that partner experiences the greater frustration.</w:t>
      </w:r>
    </w:p>
    <w:p>
      <w:pPr>
        <w:spacing w:after="44" w:line="240" w:lineRule="auto"/>
        <w:ind w:left="173" w:hanging="173"/>
      </w:pPr>
      <w:r>
        <w:rPr>
          <w:rFonts w:ascii="Calibri" w:hAnsi="Calibri"/>
          <w:b/>
          <w:color w:val="0B2545"/>
          <w:sz w:val="18"/>
        </w:rPr>
        <w:t xml:space="preserve">D. </w:t>
      </w:r>
      <w:r>
        <w:rPr>
          <w:rFonts w:ascii="Calibri" w:hAnsi="Calibri"/>
          <w:color w:val="1D2939"/>
          <w:sz w:val="18"/>
        </w:rPr>
        <w:t>Assess consent, pain, medical factors, substances, trauma, relationship patterns, development, culture, and distress before diagnosis.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diagnose a sexual dysfunction from the desire discrepancy alone and begin a standard behavioral assignment. It reaches a conclusion or selects a response before integrating the clinical, relational, contextual, and functional data needed for this decision. It therefore does not resolve sexual functioning and diagnosis with systemic context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treat the issue only as communication conflict. It uses an automatic, universal, coercive, or unnecessarily restrictive response that the stated facts do not justify. It therefore does not resolve sexual functioning and diagnosis with systemic context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ask the higher-desire partner to set the treatment goal. It reaches a conclusion or selects a response before integrating the clinical, relational, contextual, and functional data needed for this decision. It therefore does not resolve sexual functioning and diagnosis with systemic context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sexual functioning and diagnosis with systemic context at the NEXT decision point. The supported action is: Assess consent, pain, medical factors, substances, trauma, relationship patterns, development, culture, and distress before diagnosis. This integrates interview, observation, history, mental status, functioning, valid measures, context, and revisable hypotheses.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sexual functioning and diagnosis with systemic context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02.13, 02.17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KA29, KA41</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WB4</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 OVER</w:t>
            </w:r>
          </w:p>
        </w:tc>
      </w:tr>
    </w:tbl>
    <w:p>
      <w:pPr>
        <w:spacing w:after="20"/>
      </w:pPr>
    </w:p>
    <w:p>
      <w:r>
        <w:br w:type="page"/>
      </w:r>
    </w:p>
    <w:p>
      <w:pPr>
        <w:pStyle w:val="Heading1"/>
      </w:pPr>
      <w:r>
        <w:t>Item 53 - Controlled Rationale</w:t>
      </w:r>
    </w:p>
    <w:p>
      <w:pPr>
        <w:spacing w:after="80" w:line="245" w:lineRule="auto"/>
      </w:pPr>
      <w:r>
        <w:rPr>
          <w:rFonts w:ascii="Calibri" w:hAnsi="Calibri"/>
          <w:b/>
          <w:color w:val="0B2545"/>
          <w:sz w:val="18"/>
        </w:rPr>
        <w:t xml:space="preserve">Stem: </w:t>
      </w:r>
      <w:r>
        <w:rPr>
          <w:rFonts w:ascii="Calibri" w:hAnsi="Calibri"/>
          <w:color w:val="1D2939"/>
          <w:sz w:val="18"/>
        </w:rPr>
        <w:t>A strategic directive is consistent with the working formulation, but the family experiences it as controlling and alliance scores drop. What is the MOST appropriate response?</w:t>
      </w:r>
    </w:p>
    <w:p>
      <w:pPr>
        <w:spacing w:after="44" w:line="240" w:lineRule="auto"/>
        <w:ind w:left="173" w:hanging="173"/>
      </w:pPr>
      <w:r>
        <w:rPr>
          <w:rFonts w:ascii="Calibri" w:hAnsi="Calibri"/>
          <w:b/>
          <w:color w:val="0B2545"/>
          <w:sz w:val="18"/>
        </w:rPr>
        <w:t xml:space="preserve">A. </w:t>
      </w:r>
      <w:r>
        <w:rPr>
          <w:rFonts w:ascii="Calibri" w:hAnsi="Calibri"/>
          <w:color w:val="1D2939"/>
          <w:sz w:val="18"/>
        </w:rPr>
        <w:t>Repair the alliance and modify delivery or intervention while preserving a clear model-based rationale.</w:t>
      </w:r>
    </w:p>
    <w:p>
      <w:pPr>
        <w:spacing w:after="44" w:line="240" w:lineRule="auto"/>
        <w:ind w:left="173" w:hanging="173"/>
      </w:pPr>
      <w:r>
        <w:rPr>
          <w:rFonts w:ascii="Calibri" w:hAnsi="Calibri"/>
          <w:b/>
          <w:color w:val="0B2545"/>
          <w:sz w:val="18"/>
        </w:rPr>
        <w:t xml:space="preserve">B. </w:t>
      </w:r>
      <w:r>
        <w:rPr>
          <w:rFonts w:ascii="Calibri" w:hAnsi="Calibri"/>
          <w:color w:val="1D2939"/>
          <w:sz w:val="18"/>
        </w:rPr>
        <w:t>Repeat the directive more firmly because changing it would make the treatment theoretically inconsistent.</w:t>
      </w:r>
    </w:p>
    <w:p>
      <w:pPr>
        <w:spacing w:after="44" w:line="240" w:lineRule="auto"/>
        <w:ind w:left="173" w:hanging="173"/>
      </w:pPr>
      <w:r>
        <w:rPr>
          <w:rFonts w:ascii="Calibri" w:hAnsi="Calibri"/>
          <w:b/>
          <w:color w:val="0B2545"/>
          <w:sz w:val="18"/>
        </w:rPr>
        <w:t xml:space="preserve">C. </w:t>
      </w:r>
      <w:r>
        <w:rPr>
          <w:rFonts w:ascii="Calibri" w:hAnsi="Calibri"/>
          <w:color w:val="1D2939"/>
          <w:sz w:val="18"/>
        </w:rPr>
        <w:t>Abandon the formulation and use a different technique at every session until the family is satisfied.</w:t>
      </w:r>
    </w:p>
    <w:p>
      <w:pPr>
        <w:spacing w:after="44" w:line="240" w:lineRule="auto"/>
        <w:ind w:left="173" w:hanging="173"/>
      </w:pPr>
      <w:r>
        <w:rPr>
          <w:rFonts w:ascii="Calibri" w:hAnsi="Calibri"/>
          <w:b/>
          <w:color w:val="0B2545"/>
          <w:sz w:val="18"/>
        </w:rPr>
        <w:t xml:space="preserve">D. </w:t>
      </w:r>
      <w:r>
        <w:rPr>
          <w:rFonts w:ascii="Calibri" w:hAnsi="Calibri"/>
          <w:color w:val="1D2939"/>
          <w:sz w:val="18"/>
        </w:rPr>
        <w:t>Explain that strategic work intentionally creates discomfort and therefore does not require alliance monitoring.</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model-consistent intervention while protecting alliance at the MOST decision point. The supported action is: Repair the alliance and modify delivery or intervention while preserving a clear model-based rationale.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repeat the directive more firmly. It reduces a reciprocal relational pattern to one person, one cause, or one account and therefore loses the systemic formulation. It therefore does not resolve model-consistent intervention while protecting alliance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abandon the formulation and use a different technique at every session until the family is satisfied. It uses an automatic, universal, coercive, or unnecessarily restrictive response that the stated facts do not justify. It therefore does not resolve model-consistent intervention while protecting alliance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used linear rather than reciprocal reasoning. This choice proposes: explain that strategic work intentionally creates discomfort and therefore does not require alliance monitoring. It reduces a reciprocal relational pattern to one person, one cause, or one account and therefore loses the systemic formulation. It therefore does not resolve model-consistent intervention while protecting alliance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model-consistent intervention while protecting alliance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01.02, 01.06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KA01, KA12</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 OVER</w:t>
            </w:r>
          </w:p>
        </w:tc>
      </w:tr>
    </w:tbl>
    <w:p>
      <w:pPr>
        <w:spacing w:after="20"/>
      </w:pPr>
    </w:p>
    <w:p>
      <w:r>
        <w:br w:type="page"/>
      </w:r>
    </w:p>
    <w:p>
      <w:pPr>
        <w:pStyle w:val="Heading1"/>
      </w:pPr>
      <w:r>
        <w:t>Item 54 - Controlled Rationale</w:t>
      </w:r>
    </w:p>
    <w:p>
      <w:pPr>
        <w:spacing w:after="80" w:line="245" w:lineRule="auto"/>
      </w:pPr>
      <w:r>
        <w:rPr>
          <w:rFonts w:ascii="Calibri" w:hAnsi="Calibri"/>
          <w:b/>
          <w:color w:val="0B2545"/>
          <w:sz w:val="18"/>
        </w:rPr>
        <w:t xml:space="preserve">Stem: </w:t>
      </w:r>
      <w:r>
        <w:rPr>
          <w:rFonts w:ascii="Calibri" w:hAnsi="Calibri"/>
          <w:color w:val="1D2939"/>
          <w:sz w:val="18"/>
        </w:rPr>
        <w:t>A time-limited community program is closing while several families still need care.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Wait until the final session to disclose closure so families do not disengage early.</w:t>
      </w:r>
    </w:p>
    <w:p>
      <w:pPr>
        <w:spacing w:after="44" w:line="240" w:lineRule="auto"/>
        <w:ind w:left="173" w:hanging="173"/>
      </w:pPr>
      <w:r>
        <w:rPr>
          <w:rFonts w:ascii="Calibri" w:hAnsi="Calibri"/>
          <w:b/>
          <w:color w:val="0B2545"/>
          <w:sz w:val="18"/>
        </w:rPr>
        <w:t xml:space="preserve">B. </w:t>
      </w:r>
      <w:r>
        <w:rPr>
          <w:rFonts w:ascii="Calibri" w:hAnsi="Calibri"/>
          <w:color w:val="1D2939"/>
          <w:sz w:val="18"/>
        </w:rPr>
        <w:t>Give timely notice, review progress and risks, create individualized transitions, address records and emergencies, and document efforts.</w:t>
      </w:r>
    </w:p>
    <w:p>
      <w:pPr>
        <w:spacing w:after="44" w:line="240" w:lineRule="auto"/>
        <w:ind w:left="173" w:hanging="173"/>
      </w:pPr>
      <w:r>
        <w:rPr>
          <w:rFonts w:ascii="Calibri" w:hAnsi="Calibri"/>
          <w:b/>
          <w:color w:val="0B2545"/>
          <w:sz w:val="18"/>
        </w:rPr>
        <w:t xml:space="preserve">C. </w:t>
      </w:r>
      <w:r>
        <w:rPr>
          <w:rFonts w:ascii="Calibri" w:hAnsi="Calibri"/>
          <w:color w:val="1D2939"/>
          <w:sz w:val="18"/>
        </w:rPr>
        <w:t>Give every family the same referral list and close cases once the list has been distributed.</w:t>
      </w:r>
    </w:p>
    <w:p>
      <w:pPr>
        <w:spacing w:after="44" w:line="240" w:lineRule="auto"/>
        <w:ind w:left="173" w:hanging="173"/>
      </w:pPr>
      <w:r>
        <w:rPr>
          <w:rFonts w:ascii="Calibri" w:hAnsi="Calibri"/>
          <w:b/>
          <w:color w:val="0B2545"/>
          <w:sz w:val="18"/>
        </w:rPr>
        <w:t xml:space="preserve">D. </w:t>
      </w:r>
      <w:r>
        <w:rPr>
          <w:rFonts w:ascii="Calibri" w:hAnsi="Calibri"/>
          <w:color w:val="1D2939"/>
          <w:sz w:val="18"/>
        </w:rPr>
        <w:t>Continue informal contact after closure without clarifying availability, boundaries, or responsibility.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until the final session to disclose closure. It delays, minimizes, conceals, or leaves the supported concern unresolved when direct action is already indicated. It therefore does not resolve consolidation, continuity, and non-abandonment at transition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consolidation, continuity, and non-abandonment at transition at the FIRST decision point. The supported action is: Give timely notice, review progress and risks, create individualized transitions, address records and emergencies, and document efforts. This integrates baseline, outcome and alliance data, implementation, barriers, client meaning, collaborative review, adaptation, and continuity.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give every family the same referral list and close cases once the list has been distributed. It uses an automatic, universal, coercive, or unnecessarily restrictive response that the stated facts do not justify. It therefore does not resolve consolidation, continuity, and non-abandonment at transition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relied on one outcome signal or skipped collaborative review. This choice proposes: continue informal contact after closure without clarifying availability, boundaries, or responsibility. It dismisses, isolates, or fails to integrate outcome, alliance, implementation, and client-feedback data before modifying the plan. It therefore does not resolve consolidation, continuity, and non-abandonment at transition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consolidation, continuity, and non-abandonment at transition and use the EVAL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Review outcome, alliance, implementation, barriers, unintended effects, and client meaning together before continuing, adapting, or ending.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CTA-LMFT-AMFTRB-CP2-Q054</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D4 - Evaluating Ongoing Process and Terminating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04.05, 04.06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KA45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Difficult</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EVAL</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UNDER, OVER, EVAL</w:t>
            </w:r>
          </w:p>
        </w:tc>
      </w:tr>
    </w:tbl>
    <w:p>
      <w:pPr>
        <w:spacing w:after="20"/>
      </w:pPr>
    </w:p>
    <w:p>
      <w:r>
        <w:br w:type="page"/>
      </w:r>
    </w:p>
    <w:p>
      <w:pPr>
        <w:pStyle w:val="Heading1"/>
      </w:pPr>
      <w:r>
        <w:t>Item 55 - Controlled Rationale</w:t>
      </w:r>
    </w:p>
    <w:p>
      <w:pPr>
        <w:spacing w:after="80" w:line="245" w:lineRule="auto"/>
      </w:pPr>
      <w:r>
        <w:rPr>
          <w:rFonts w:ascii="Calibri" w:hAnsi="Calibri"/>
          <w:b/>
          <w:color w:val="0B2545"/>
          <w:sz w:val="18"/>
        </w:rPr>
        <w:t xml:space="preserve">Stem: </w:t>
      </w:r>
      <w:r>
        <w:rPr>
          <w:rFonts w:ascii="Calibri" w:hAnsi="Calibri"/>
          <w:color w:val="1D2939"/>
          <w:sz w:val="18"/>
        </w:rPr>
        <w:t>A school counselor asks a therapist to discuss a shared client's worsening attendance. The release is vague, and the counselor offers information about family conflict not yet in the record. Which response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Discuss the complete case because collaboration permits broad disclosure among helping professionals.</w:t>
      </w:r>
    </w:p>
    <w:p>
      <w:pPr>
        <w:spacing w:after="44" w:line="240" w:lineRule="auto"/>
        <w:ind w:left="173" w:hanging="173"/>
      </w:pPr>
      <w:r>
        <w:rPr>
          <w:rFonts w:ascii="Calibri" w:hAnsi="Calibri"/>
          <w:b/>
          <w:color w:val="0B2545"/>
          <w:sz w:val="18"/>
        </w:rPr>
        <w:t xml:space="preserve">B. </w:t>
      </w:r>
      <w:r>
        <w:rPr>
          <w:rFonts w:ascii="Calibri" w:hAnsi="Calibri"/>
          <w:color w:val="1D2939"/>
          <w:sz w:val="18"/>
        </w:rPr>
        <w:t>Refuse to receive any information until the client signs a release naming every possible topic.</w:t>
      </w:r>
    </w:p>
    <w:p>
      <w:pPr>
        <w:spacing w:after="44" w:line="240" w:lineRule="auto"/>
        <w:ind w:left="173" w:hanging="173"/>
      </w:pPr>
      <w:r>
        <w:rPr>
          <w:rFonts w:ascii="Calibri" w:hAnsi="Calibri"/>
          <w:b/>
          <w:color w:val="0B2545"/>
          <w:sz w:val="18"/>
        </w:rPr>
        <w:t xml:space="preserve">C. </w:t>
      </w:r>
      <w:r>
        <w:rPr>
          <w:rFonts w:ascii="Calibri" w:hAnsi="Calibri"/>
          <w:color w:val="1D2939"/>
          <w:sz w:val="18"/>
        </w:rPr>
        <w:t>Clarify roles and authorization, limit disclosure to what is permitted and necessary, consult, and document.</w:t>
      </w:r>
    </w:p>
    <w:p>
      <w:pPr>
        <w:spacing w:after="44" w:line="240" w:lineRule="auto"/>
        <w:ind w:left="173" w:hanging="173"/>
      </w:pPr>
      <w:r>
        <w:rPr>
          <w:rFonts w:ascii="Calibri" w:hAnsi="Calibri"/>
          <w:b/>
          <w:color w:val="0B2545"/>
          <w:sz w:val="18"/>
        </w:rPr>
        <w:t xml:space="preserve">D. </w:t>
      </w:r>
      <w:r>
        <w:rPr>
          <w:rFonts w:ascii="Calibri" w:hAnsi="Calibri"/>
          <w:color w:val="1D2939"/>
          <w:sz w:val="18"/>
        </w:rPr>
        <w:t>Ask the counselor to send the information through a family member so professional confidentiality rules do not apply.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discuss the complete case. It treats policy, payment, convenience, or a signature as a substitute for verified legal, ethical, consent, privacy, record, or client-rights duties. It therefore does not resolve consultation, documentation, and interprofessional responsibility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refuse to receive any information until the client signs a release naming every possible topic. It uses an automatic, universal, coercive, or unnecessarily restrictive response that the stated facts do not justify. It therefore does not resolve consultation, documentation, and interprofessional responsibility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consultation, documentation, and interprofessional responsibility at the BEST decision point. The supported action is: Clarify roles and authorization, limit disclosure to what is permitted and necessary, consult, and document. This integrates jurisdiction, law, ethics, policy, role, competence, informed consent, client rights, privacy, records, consultation, and documentation.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ask the counselor to send the information through a family member. It treats policy, payment, convenience, or a signature as a substitute for verified legal, ethical, consent, privacy, record, or client-rights duties. It therefore does not resolve consultation, documentation, and interprofessional responsibility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consultation, documentation, and interprofessional responsibility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06.12, 06.13</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KA64, KA65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Application</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 OVER</w:t>
            </w:r>
          </w:p>
        </w:tc>
      </w:tr>
    </w:tbl>
    <w:p>
      <w:pPr>
        <w:spacing w:after="20"/>
      </w:pPr>
    </w:p>
    <w:p>
      <w:r>
        <w:br w:type="page"/>
      </w:r>
    </w:p>
    <w:p>
      <w:pPr>
        <w:pStyle w:val="Heading1"/>
      </w:pPr>
      <w:r>
        <w:t>Item 56 - Controlled Rationale</w:t>
      </w:r>
    </w:p>
    <w:p>
      <w:pPr>
        <w:spacing w:after="80" w:line="245" w:lineRule="auto"/>
      </w:pPr>
      <w:r>
        <w:rPr>
          <w:rFonts w:ascii="Calibri" w:hAnsi="Calibri"/>
          <w:b/>
          <w:color w:val="0B2545"/>
          <w:sz w:val="18"/>
        </w:rPr>
        <w:t xml:space="preserve">Stem: </w:t>
      </w:r>
      <w:r>
        <w:rPr>
          <w:rFonts w:ascii="Calibri" w:hAnsi="Calibri"/>
          <w:color w:val="1D2939"/>
          <w:sz w:val="18"/>
        </w:rPr>
        <w:t>During teletherapy, a client says someone dangerous has entered the building and then the video connection fails. What should the therapist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Wait for the client to reconnect because contacting anyone else could violate confidentiality.</w:t>
      </w:r>
    </w:p>
    <w:p>
      <w:pPr>
        <w:spacing w:after="44" w:line="240" w:lineRule="auto"/>
        <w:ind w:left="173" w:hanging="173"/>
      </w:pPr>
      <w:r>
        <w:rPr>
          <w:rFonts w:ascii="Calibri" w:hAnsi="Calibri"/>
          <w:b/>
          <w:color w:val="0B2545"/>
          <w:sz w:val="18"/>
        </w:rPr>
        <w:t xml:space="preserve">B. </w:t>
      </w:r>
      <w:r>
        <w:rPr>
          <w:rFonts w:ascii="Calibri" w:hAnsi="Calibri"/>
          <w:color w:val="1D2939"/>
          <w:sz w:val="18"/>
        </w:rPr>
        <w:t>Send a routine scheduling message and document that technology prevented further assessment.</w:t>
      </w:r>
    </w:p>
    <w:p>
      <w:pPr>
        <w:spacing w:after="44" w:line="240" w:lineRule="auto"/>
        <w:ind w:left="173" w:hanging="173"/>
      </w:pPr>
      <w:r>
        <w:rPr>
          <w:rFonts w:ascii="Calibri" w:hAnsi="Calibri"/>
          <w:b/>
          <w:color w:val="0B2545"/>
          <w:sz w:val="18"/>
        </w:rPr>
        <w:t xml:space="preserve">C. </w:t>
      </w:r>
      <w:r>
        <w:rPr>
          <w:rFonts w:ascii="Calibri" w:hAnsi="Calibri"/>
          <w:color w:val="1D2939"/>
          <w:sz w:val="18"/>
        </w:rPr>
        <w:t>Call the client's usual family contact without first considering location, consent, or immediacy.</w:t>
      </w:r>
    </w:p>
    <w:p>
      <w:pPr>
        <w:spacing w:after="44" w:line="240" w:lineRule="auto"/>
        <w:ind w:left="173" w:hanging="173"/>
      </w:pPr>
      <w:r>
        <w:rPr>
          <w:rFonts w:ascii="Calibri" w:hAnsi="Calibri"/>
          <w:b/>
          <w:color w:val="0B2545"/>
          <w:sz w:val="18"/>
        </w:rPr>
        <w:t xml:space="preserve">D. </w:t>
      </w:r>
      <w:r>
        <w:rPr>
          <w:rFonts w:ascii="Calibri" w:hAnsi="Calibri"/>
          <w:color w:val="1D2939"/>
          <w:sz w:val="18"/>
        </w:rPr>
        <w:t>Confirm location, reconnect, assess danger, and activate local resources under the telehealth emergency plan.</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for the client to reconnect. It delays, minimizes, conceals, or leaves the supported concern unresolved when direct action is already indicated. It therefore does not resolve modality-responsive crisis action and resource use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send a routine scheduling message and document that technology prevented further assessment. It does not directly assess or respond to the supported risk, medical urgency, access, protection, or level-of-care question. It therefore does not resolve modality-responsive crisis action and resource use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underprioritized immediate safety or level of care. This choice proposes: call the client's usual family contact without first considering location, consent, or immediacy. It does not directly assess or respond to the supported risk, medical urgency, access, protection, or level-of-care question. It therefore does not resolve modality-responsive crisis action and resource use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modality-responsive crisis action and resource use at the NEXT decision point. The supported action is: Confirm location, reconnect, assess danger, and activate local resources under the telehealth emergency plan. This integrates direct risk or medical assessment, immediacy, intent, means or access, protection, level of care, local resources, and documentation.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modality-responsive crisis action and resource use and use the SAFETY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When supported danger or medical urgency appears, assess directly and select the indicated protection or level of care before routine technique.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CTA-LMFT-AMFTRB-CP2-Q056</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D5 - Managing Crisis Situations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05.10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KA46</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WB6</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Knowledge/Recall</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SAFETY</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UNDER, SAFETY</w:t>
            </w:r>
          </w:p>
        </w:tc>
      </w:tr>
    </w:tbl>
    <w:p>
      <w:pPr>
        <w:spacing w:after="20"/>
      </w:pPr>
    </w:p>
    <w:p>
      <w:r>
        <w:br w:type="page"/>
      </w:r>
    </w:p>
    <w:p>
      <w:pPr>
        <w:pStyle w:val="Heading1"/>
      </w:pPr>
      <w:r>
        <w:t>Item 57 - Controlled Rationale</w:t>
      </w:r>
    </w:p>
    <w:p>
      <w:pPr>
        <w:spacing w:after="80" w:line="245" w:lineRule="auto"/>
      </w:pPr>
      <w:r>
        <w:rPr>
          <w:rFonts w:ascii="Calibri" w:hAnsi="Calibri"/>
          <w:b/>
          <w:color w:val="0B2545"/>
          <w:sz w:val="18"/>
        </w:rPr>
        <w:t xml:space="preserve">Stem: </w:t>
      </w:r>
      <w:r>
        <w:rPr>
          <w:rFonts w:ascii="Calibri" w:hAnsi="Calibri"/>
          <w:color w:val="1D2939"/>
          <w:sz w:val="18"/>
        </w:rPr>
        <w:t>A hard-of-hearing family member misses rapid exchanges and says the therapist's communication exercise increases exclusion. Which adaptation is MOST appropriate?</w:t>
      </w:r>
    </w:p>
    <w:p>
      <w:pPr>
        <w:spacing w:after="44" w:line="240" w:lineRule="auto"/>
        <w:ind w:left="173" w:hanging="173"/>
      </w:pPr>
      <w:r>
        <w:rPr>
          <w:rFonts w:ascii="Calibri" w:hAnsi="Calibri"/>
          <w:b/>
          <w:color w:val="0B2545"/>
          <w:sz w:val="18"/>
        </w:rPr>
        <w:t xml:space="preserve">A. </w:t>
      </w:r>
      <w:r>
        <w:rPr>
          <w:rFonts w:ascii="Calibri" w:hAnsi="Calibri"/>
          <w:color w:val="1D2939"/>
          <w:sz w:val="18"/>
        </w:rPr>
        <w:t>Add communication access, slow and structure turn-taking, verify understanding, and adapt the model-consistent exercise collaboratively.</w:t>
      </w:r>
    </w:p>
    <w:p>
      <w:pPr>
        <w:spacing w:after="44" w:line="240" w:lineRule="auto"/>
        <w:ind w:left="173" w:hanging="173"/>
      </w:pPr>
      <w:r>
        <w:rPr>
          <w:rFonts w:ascii="Calibri" w:hAnsi="Calibri"/>
          <w:b/>
          <w:color w:val="0B2545"/>
          <w:sz w:val="18"/>
        </w:rPr>
        <w:t xml:space="preserve">B. </w:t>
      </w:r>
      <w:r>
        <w:rPr>
          <w:rFonts w:ascii="Calibri" w:hAnsi="Calibri"/>
          <w:color w:val="1D2939"/>
          <w:sz w:val="18"/>
        </w:rPr>
        <w:t>Ask another relative to summarize afterward so the session can maintain its original pace.</w:t>
      </w:r>
    </w:p>
    <w:p>
      <w:pPr>
        <w:spacing w:after="44" w:line="240" w:lineRule="auto"/>
        <w:ind w:left="173" w:hanging="173"/>
      </w:pPr>
      <w:r>
        <w:rPr>
          <w:rFonts w:ascii="Calibri" w:hAnsi="Calibri"/>
          <w:b/>
          <w:color w:val="0B2545"/>
          <w:sz w:val="18"/>
        </w:rPr>
        <w:t xml:space="preserve">C. </w:t>
      </w:r>
      <w:r>
        <w:rPr>
          <w:rFonts w:ascii="Calibri" w:hAnsi="Calibri"/>
          <w:color w:val="1D2939"/>
          <w:sz w:val="18"/>
        </w:rPr>
        <w:t>Move the family member to individual treatment because conjoint work requires rapid verbal exchange.</w:t>
      </w:r>
    </w:p>
    <w:p>
      <w:pPr>
        <w:spacing w:after="44" w:line="240" w:lineRule="auto"/>
        <w:ind w:left="173" w:hanging="173"/>
      </w:pPr>
      <w:r>
        <w:rPr>
          <w:rFonts w:ascii="Calibri" w:hAnsi="Calibri"/>
          <w:b/>
          <w:color w:val="0B2545"/>
          <w:sz w:val="18"/>
        </w:rPr>
        <w:t xml:space="preserve">D. </w:t>
      </w:r>
      <w:r>
        <w:rPr>
          <w:rFonts w:ascii="Calibri" w:hAnsi="Calibri"/>
          <w:color w:val="1D2939"/>
          <w:sz w:val="18"/>
        </w:rPr>
        <w:t>Continue the exercise unchanged and treat frustration as avoidance of relational work.</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A</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relational communication and model-responsive adaptation at the MOST decision point. The supported action is: Add communication access, slow and structure turn-taking, verify understanding, and adapt the model-consistent exercise collaboratively. This integrates shared goals, systemic formulation, treatment unit, sequence, safety, autonomy, change mechanism, and observable outcomes.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ask another relative to summarize afterward. It selects an action without a shared goal, coherent formulation, treatment-unit decision, sequence, or observable outcome. It therefore does not resolve relational communication and model-responsive adaptation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move the family member to individual treatment. It selects an action without a shared goal, coherent formulation, treatment-unit decision, sequence, or observable outcome. It therefore does not resolve relational communication and model-responsive adaptation at the MOST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selected action without collaborative goals, sequence, or fit. This choice proposes: continue the exercise unchanged and treat frustration as avoidance of relational work. It selects an action without a shared goal, coherent formulation, treatment-unit decision, sequence, or observable outcome. It therefore does not resolve relational communication and model-responsive adaptation at the MOST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Match the response to the strongest supported facts and scope; reject choices that add unsupported assumptions or absolutes. Keep the analysis centered on relational communication and model-responsive adaptation and use the PLAN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Connect every intervention to a shared goal, systemic hypothesis, change mechanism, treatment unit, sequence, and observable outcome.</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CTA-LMFT-AMFTRB-CP2-Q057</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D3 - Designing and Conducting Treatment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03.15, 03.22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KA02, KA10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WB7</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PLAN</w:t>
            </w:r>
          </w:p>
        </w:tc>
      </w:tr>
    </w:tbl>
    <w:p>
      <w:pPr>
        <w:spacing w:after="20"/>
      </w:pPr>
    </w:p>
    <w:p>
      <w:r>
        <w:br w:type="page"/>
      </w:r>
    </w:p>
    <w:p>
      <w:pPr>
        <w:pStyle w:val="Heading1"/>
      </w:pPr>
      <w:r>
        <w:t>Item 58 - Controlled Rationale</w:t>
      </w:r>
    </w:p>
    <w:p>
      <w:pPr>
        <w:spacing w:after="80" w:line="245" w:lineRule="auto"/>
      </w:pPr>
      <w:r>
        <w:rPr>
          <w:rFonts w:ascii="Calibri" w:hAnsi="Calibri"/>
          <w:b/>
          <w:color w:val="0B2545"/>
          <w:sz w:val="18"/>
        </w:rPr>
        <w:t xml:space="preserve">Stem: </w:t>
      </w:r>
      <w:r>
        <w:rPr>
          <w:rFonts w:ascii="Calibri" w:hAnsi="Calibri"/>
          <w:color w:val="1D2939"/>
          <w:sz w:val="18"/>
        </w:rPr>
        <w:t>Screening measures suggest significant trauma symptoms and hazardous alcohol use, while the interview reveals memory gaps and declining work performance. What should the therapist do FIRST?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Assign a trauma diagnosis from the screening score and defer discussion until the client accepts it.</w:t>
      </w:r>
    </w:p>
    <w:p>
      <w:pPr>
        <w:spacing w:after="44" w:line="240" w:lineRule="auto"/>
        <w:ind w:left="173" w:hanging="173"/>
      </w:pPr>
      <w:r>
        <w:rPr>
          <w:rFonts w:ascii="Calibri" w:hAnsi="Calibri"/>
          <w:b/>
          <w:color w:val="0B2545"/>
          <w:sz w:val="18"/>
        </w:rPr>
        <w:t xml:space="preserve">B. </w:t>
      </w:r>
      <w:r>
        <w:rPr>
          <w:rFonts w:ascii="Calibri" w:hAnsi="Calibri"/>
          <w:color w:val="1D2939"/>
          <w:sz w:val="18"/>
        </w:rPr>
        <w:t>Review results collaboratively, assess safety and substance or medical effects, set priorities, and arrange evaluation or referral.</w:t>
      </w:r>
    </w:p>
    <w:p>
      <w:pPr>
        <w:spacing w:after="44" w:line="240" w:lineRule="auto"/>
        <w:ind w:left="173" w:hanging="173"/>
      </w:pPr>
      <w:r>
        <w:rPr>
          <w:rFonts w:ascii="Calibri" w:hAnsi="Calibri"/>
          <w:b/>
          <w:color w:val="0B2545"/>
          <w:sz w:val="18"/>
        </w:rPr>
        <w:t xml:space="preserve">C. </w:t>
      </w:r>
      <w:r>
        <w:rPr>
          <w:rFonts w:ascii="Calibri" w:hAnsi="Calibri"/>
          <w:color w:val="1D2939"/>
          <w:sz w:val="18"/>
        </w:rPr>
        <w:t>Discard the measures because more than one problem area was elevated.</w:t>
      </w:r>
    </w:p>
    <w:p>
      <w:pPr>
        <w:spacing w:after="44" w:line="240" w:lineRule="auto"/>
        <w:ind w:left="173" w:hanging="173"/>
      </w:pPr>
      <w:r>
        <w:rPr>
          <w:rFonts w:ascii="Calibri" w:hAnsi="Calibri"/>
          <w:b/>
          <w:color w:val="0B2545"/>
          <w:sz w:val="18"/>
        </w:rPr>
        <w:t xml:space="preserve">D. </w:t>
      </w:r>
      <w:r>
        <w:rPr>
          <w:rFonts w:ascii="Calibri" w:hAnsi="Calibri"/>
          <w:color w:val="1D2939"/>
          <w:sz w:val="18"/>
        </w:rPr>
        <w:t>Begin trauma processing immediately so avoidance does not interfere with diagnostic clarity.</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B</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assign a trauma diagnosis from the screening score and defer discussion until the client accepts it. It reaches a conclusion or selects a response before integrating the clinical, relational, contextual, and functional data needed for this decision. It therefore does not resolve instruments, collaborative diagnosis, priorities, and referral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instruments, collaborative diagnosis, priorities, and referral at the FIRST decision point. The supported action is: Review results collaboratively, assess safety and substance or medical effects, set priorities, and arrange evaluation or referral. This integrates interview, observation, history, mental status, functioning, valid measures, context, and revisable hypotheses.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discard the measures. It reaches a conclusion or selects a response before integrating the clinical, relational, contextual, and functional data needed for this decision. It therefore does not resolve instruments, collaborative diagnosis, priorities, and referral at the FIRST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reached a conclusion before integrating assessment data. This choice proposes: begin trauma processing immediately. It reaches a conclusion or selects a response before integrating the clinical, relational, contextual, and functional data needed for this decision. It therefore does not resolve instruments, collaborative diagnosis, priorities, and referral at the FIRST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Identify the step that must occur before later actions can be safe, informed, clinically defensible, or lawful. Keep the analysis centered on instruments, collaborative diagnosis, priorities, and referral and use the ASSESS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Integrate interview, observation, history, valid measures, functioning, context, strengths, and collateral data before concluding.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CTA-LMFT-AMFTRB-CP2-Q058</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D2 - Assessing, Hypothesizing, and Diagnosing</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5"/>
              </w:rPr>
              <w:t>02.16, 02.21, 02.22</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5"/>
              </w:rPr>
              <w:t>KA18, KA28, KA30</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WB4</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FIRST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ASSESS</w:t>
            </w:r>
          </w:p>
        </w:tc>
      </w:tr>
    </w:tbl>
    <w:p>
      <w:pPr>
        <w:spacing w:after="20"/>
      </w:pPr>
    </w:p>
    <w:p>
      <w:r>
        <w:br w:type="page"/>
      </w:r>
    </w:p>
    <w:p>
      <w:pPr>
        <w:pStyle w:val="Heading1"/>
      </w:pPr>
      <w:r>
        <w:t>Item 59 - Controlled Rationale</w:t>
      </w:r>
    </w:p>
    <w:p>
      <w:pPr>
        <w:spacing w:after="80" w:line="245" w:lineRule="auto"/>
      </w:pPr>
      <w:r>
        <w:rPr>
          <w:rFonts w:ascii="Calibri" w:hAnsi="Calibri"/>
          <w:b/>
          <w:color w:val="0B2545"/>
          <w:sz w:val="18"/>
        </w:rPr>
        <w:t xml:space="preserve">Stem: </w:t>
      </w:r>
      <w:r>
        <w:rPr>
          <w:rFonts w:ascii="Calibri" w:hAnsi="Calibri"/>
          <w:color w:val="1D2939"/>
          <w:sz w:val="18"/>
        </w:rPr>
        <w:t>An adult client seeks help with conflict in a multigenerational household. Some affected relatives want involvement, one fears retaliation, and the payer assumes everyone will attend. Which treatment-unit decision is BEST?</w:t>
      </w:r>
    </w:p>
    <w:p>
      <w:pPr>
        <w:spacing w:after="44" w:line="240" w:lineRule="auto"/>
        <w:ind w:left="173" w:hanging="173"/>
      </w:pPr>
      <w:r>
        <w:rPr>
          <w:rFonts w:ascii="Calibri" w:hAnsi="Calibri"/>
          <w:b/>
          <w:color w:val="0B2545"/>
          <w:sz w:val="18"/>
        </w:rPr>
        <w:t xml:space="preserve">A. </w:t>
      </w:r>
      <w:r>
        <w:rPr>
          <w:rFonts w:ascii="Calibri" w:hAnsi="Calibri"/>
          <w:color w:val="1D2939"/>
          <w:sz w:val="18"/>
        </w:rPr>
        <w:t>Include every household member because systemic therapy requires participation by the whole family.</w:t>
      </w:r>
    </w:p>
    <w:p>
      <w:pPr>
        <w:spacing w:after="44" w:line="240" w:lineRule="auto"/>
        <w:ind w:left="173" w:hanging="173"/>
      </w:pPr>
      <w:r>
        <w:rPr>
          <w:rFonts w:ascii="Calibri" w:hAnsi="Calibri"/>
          <w:b/>
          <w:color w:val="0B2545"/>
          <w:sz w:val="18"/>
        </w:rPr>
        <w:t xml:space="preserve">B. </w:t>
      </w:r>
      <w:r>
        <w:rPr>
          <w:rFonts w:ascii="Calibri" w:hAnsi="Calibri"/>
          <w:color w:val="1D2939"/>
          <w:sz w:val="18"/>
        </w:rPr>
        <w:t>See only the identified client because adding relatives always creates confidentiality conflicts.</w:t>
      </w:r>
    </w:p>
    <w:p>
      <w:pPr>
        <w:spacing w:after="44" w:line="240" w:lineRule="auto"/>
        <w:ind w:left="173" w:hanging="173"/>
      </w:pPr>
      <w:r>
        <w:rPr>
          <w:rFonts w:ascii="Calibri" w:hAnsi="Calibri"/>
          <w:b/>
          <w:color w:val="0B2545"/>
          <w:sz w:val="18"/>
        </w:rPr>
        <w:t xml:space="preserve">C. </w:t>
      </w:r>
      <w:r>
        <w:rPr>
          <w:rFonts w:ascii="Calibri" w:hAnsi="Calibri"/>
          <w:color w:val="1D2939"/>
          <w:sz w:val="18"/>
        </w:rPr>
        <w:t>Define the client system, assess safety and consent, and include participants strategically.</w:t>
      </w:r>
    </w:p>
    <w:p>
      <w:pPr>
        <w:spacing w:after="44" w:line="240" w:lineRule="auto"/>
        <w:ind w:left="173" w:hanging="173"/>
      </w:pPr>
      <w:r>
        <w:rPr>
          <w:rFonts w:ascii="Calibri" w:hAnsi="Calibri"/>
          <w:b/>
          <w:color w:val="0B2545"/>
          <w:sz w:val="18"/>
        </w:rPr>
        <w:t xml:space="preserve">D. </w:t>
      </w:r>
      <w:r>
        <w:rPr>
          <w:rFonts w:ascii="Calibri" w:hAnsi="Calibri"/>
          <w:color w:val="1D2939"/>
          <w:sz w:val="18"/>
        </w:rPr>
        <w:t>Let the payer determine participation because financial responsibility establishes the treatment unit.</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C</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include every household member. It uses an automatic, universal, coercive, or unnecessarily restrictive response that the stated facts do not justify. It therefore does not resolve context-responsive treatment-unit and planning decisions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overreacted, overgeneralized, or chose an unsupported restriction. This choice proposes: see only the identified client. It uses an automatic, universal, coercive, or unnecessarily restrictive response that the stated facts do not justify. It therefore does not resolve context-responsive treatment-unit and planning decisions at the BEST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context-responsive treatment-unit and planning decisions at the BEST decision point. The supported action is: Define the client system, assess safety and consent, and include participants strategically. This integrates reciprocal interaction, meaning, context, strengths, power, alliance, and model fit. It does not add facts, surrender professional judgment, or skip a required precursor.</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underweighted culture, power, access, identity, or autonomy. This choice proposes: let the payer determine participation. It underweights culture, power, access, identity, autonomy, or the client's meaning and makes participation less safe or feasible. It therefore does not resolve context-responsive treatment-unit and planning decisions at the BEST decision point.</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Choose the most comprehensive, proportionate, collaborative, and defensible response for the facts presented. Keep the analysis centered on context-responsive treatment-unit and planning decisions and use the SYSTEM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Map the symptom, reciprocal sequence, meanings, context, strengths, and attempted solutions before choosing a systemic intervention.</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CTA-LMFT-AMFTRB-CP2-Q059</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D1 - Practice of Systemic Therapy</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01.04, 01.05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KA09, KA15</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BEST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SYSTEM</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OVER, CONTEXT</w:t>
            </w:r>
          </w:p>
        </w:tc>
      </w:tr>
    </w:tbl>
    <w:p>
      <w:pPr>
        <w:spacing w:after="20"/>
      </w:pPr>
    </w:p>
    <w:p>
      <w:r>
        <w:br w:type="page"/>
      </w:r>
    </w:p>
    <w:p>
      <w:pPr>
        <w:pStyle w:val="Heading1"/>
      </w:pPr>
      <w:r>
        <w:t>Item 60 - Controlled Rationale</w:t>
      </w:r>
    </w:p>
    <w:p>
      <w:pPr>
        <w:spacing w:after="80" w:line="245" w:lineRule="auto"/>
      </w:pPr>
      <w:r>
        <w:rPr>
          <w:rFonts w:ascii="Calibri" w:hAnsi="Calibri"/>
          <w:b/>
          <w:color w:val="0B2545"/>
          <w:sz w:val="18"/>
        </w:rPr>
        <w:t xml:space="preserve">Stem: </w:t>
      </w:r>
      <w:r>
        <w:rPr>
          <w:rFonts w:ascii="Calibri" w:hAnsi="Calibri"/>
          <w:color w:val="1D2939"/>
          <w:sz w:val="18"/>
        </w:rPr>
        <w:t>A supervisor learns that a supervisee has delayed several crisis notes and used an unapproved documentation template that omits required review fields. What should the supervisor do NEXT?</w:t>
      </w:r>
    </w:p>
    <w:p>
      <w:pPr>
        <w:spacing w:after="44" w:line="240" w:lineRule="auto"/>
        <w:ind w:left="173" w:hanging="173"/>
      </w:pPr>
      <w:r>
        <w:rPr>
          <w:rFonts w:ascii="Calibri" w:hAnsi="Calibri"/>
          <w:b/>
          <w:color w:val="0B2545"/>
          <w:sz w:val="18"/>
        </w:rPr>
        <w:t xml:space="preserve">A. </w:t>
      </w:r>
      <w:r>
        <w:rPr>
          <w:rFonts w:ascii="Calibri" w:hAnsi="Calibri"/>
          <w:color w:val="1D2939"/>
          <w:sz w:val="18"/>
        </w:rPr>
        <w:t>Ask the supervisee to correct the notes privately and avoid recording the problem if no client has complained.</w:t>
      </w:r>
    </w:p>
    <w:p>
      <w:pPr>
        <w:spacing w:after="44" w:line="240" w:lineRule="auto"/>
        <w:ind w:left="173" w:hanging="173"/>
      </w:pPr>
      <w:r>
        <w:rPr>
          <w:rFonts w:ascii="Calibri" w:hAnsi="Calibri"/>
          <w:b/>
          <w:color w:val="0B2545"/>
          <w:sz w:val="18"/>
        </w:rPr>
        <w:t xml:space="preserve">B. </w:t>
      </w:r>
      <w:r>
        <w:rPr>
          <w:rFonts w:ascii="Calibri" w:hAnsi="Calibri"/>
          <w:color w:val="1D2939"/>
          <w:sz w:val="18"/>
        </w:rPr>
        <w:t>Complete the missing records under the supervisor's name without identifying the supervisee's role.</w:t>
      </w:r>
    </w:p>
    <w:p>
      <w:pPr>
        <w:spacing w:after="44" w:line="240" w:lineRule="auto"/>
        <w:ind w:left="173" w:hanging="173"/>
      </w:pPr>
      <w:r>
        <w:rPr>
          <w:rFonts w:ascii="Calibri" w:hAnsi="Calibri"/>
          <w:b/>
          <w:color w:val="0B2545"/>
          <w:sz w:val="18"/>
        </w:rPr>
        <w:t xml:space="preserve">C. </w:t>
      </w:r>
      <w:r>
        <w:rPr>
          <w:rFonts w:ascii="Calibri" w:hAnsi="Calibri"/>
          <w:color w:val="1D2939"/>
          <w:sz w:val="18"/>
        </w:rPr>
        <w:t>Wait until the annual evaluation because immediate review could be experienced as punitive.</w:t>
      </w:r>
    </w:p>
    <w:p>
      <w:pPr>
        <w:spacing w:after="44" w:line="240" w:lineRule="auto"/>
        <w:ind w:left="173" w:hanging="173"/>
      </w:pPr>
      <w:r>
        <w:rPr>
          <w:rFonts w:ascii="Calibri" w:hAnsi="Calibri"/>
          <w:b/>
          <w:color w:val="0B2545"/>
          <w:sz w:val="18"/>
        </w:rPr>
        <w:t xml:space="preserve">D. </w:t>
      </w:r>
      <w:r>
        <w:rPr>
          <w:rFonts w:ascii="Calibri" w:hAnsi="Calibri"/>
          <w:color w:val="1D2939"/>
          <w:sz w:val="18"/>
        </w:rPr>
        <w:t>Assess risk and record integrity, provide corrective supervision, document remediation, and verify accountability requirements.</w:t>
      </w:r>
    </w:p>
    <w:p>
      <w:pPr>
        <w:spacing w:before="40" w:after="80" w:line="250" w:lineRule="auto"/>
        <w:ind w:left="86" w:right="86"/>
        <w:shd w:fill="EAF7EF"/>
        <w:pBdr>
          <w:top w:val="single" w:sz="8" w:space="5" w:color="19734A"/>
          <w:left w:val="single" w:sz="8" w:space="5" w:color="19734A"/>
          <w:bottom w:val="single" w:sz="8" w:space="5" w:color="19734A"/>
          <w:right w:val="single" w:sz="8" w:space="5" w:color="19734A"/>
        </w:pBdr>
      </w:pPr>
      <w:r>
        <w:rPr>
          <w:rFonts w:ascii="Calibri" w:hAnsi="Calibri"/>
          <w:b/>
          <w:color w:val="19734A"/>
          <w:sz w:val="18"/>
        </w:rPr>
        <w:t xml:space="preserve">CORRECT ANSWER  </w:t>
      </w:r>
      <w:r>
        <w:rPr>
          <w:rFonts w:ascii="Calibri" w:hAnsi="Calibri"/>
          <w:color w:val="1D2939"/>
          <w:sz w:val="18"/>
        </w:rPr>
        <w:t>D</w:t>
      </w:r>
    </w:p>
    <w:tbl>
      <w:tblPr>
        <w:tblW w:type="dxa" w:w="9240"/>
        <w:jc w:val="left"/>
        <w:tblLayout w:type="fixed"/>
        <w:tblLook w:firstColumn="1" w:firstRow="1" w:lastColumn="0" w:lastRow="0" w:noHBand="0" w:noVBand="1" w:val="04A0"/>
        <w:tblInd w:w="120" w:type="dxa"/>
      </w:tblPr>
      <w:tblGrid>
        <w:gridCol w:w="800"/>
        <w:gridCol w:w="8440"/>
      </w:tblGrid>
      <w:tr>
        <w:trPr>
          <w:cantSplit/>
          <w:tblHeader w:val="true"/>
        </w:trPr>
        <w:tc>
          <w:tcPr>
            <w:tcW w:type="dxa" w:w="8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Option</w:t>
            </w:r>
          </w:p>
        </w:tc>
        <w:tc>
          <w:tcPr>
            <w:tcW w:type="dxa" w:w="8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6"/>
              </w:rPr>
            </w:r>
            <w:r>
              <w:rPr>
                <w:rFonts w:ascii="Calibri" w:hAnsi="Calibri"/>
                <w:b/>
                <w:color w:val="FFFFFF"/>
                <w:sz w:val="16"/>
              </w:rPr>
              <w:t>Controlled rationale</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A</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ask the supervisee to correct the notes privately and avoid recording the problem if no client has complained. It treats policy, payment, convenience, or a signature as a substitute for verified legal, ethical, consent, privacy, record, or client-rights duties. It therefore does not resolve bridge-level supervision, record, and accountability controls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B</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confused law, ethics, policy, rights, or documentation duties. This choice proposes: complete the missing records under the supervisor's name without identifying the supervisee's role. It treats policy, payment, convenience, or a signature as a substitute for verified legal, ethical, consent, privacy, record, or client-rights duties. It therefore does not resolve bridge-level supervision, record, and accountability controls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C</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Incorrect - delayed, minimized, or chose an incomplete response. This choice proposes: wait until the annual evaluation. It delays, minimizes, conceals, or leaves the supported concern unresolved when direct action is already indicated. It therefore does not resolve bridge-level supervision, record, and accountability controls at the NEXT decision point.</w:t>
            </w:r>
          </w:p>
        </w:tc>
      </w:tr>
      <w:tr>
        <w:trPr>
          <w:cantSplit/>
        </w:trPr>
        <w:tc>
          <w:tcPr>
            <w:tcW w:type="dxa" w:w="8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6"/>
              </w:rPr>
              <w:t>D</w:t>
            </w:r>
          </w:p>
        </w:tc>
        <w:tc>
          <w:tcPr>
            <w:tcW w:type="dxa" w:w="8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6"/>
              </w:rPr>
              <w:t>Correct. This response directly addresses bridge-level supervision, record, and accountability controls at the NEXT decision point. The supported action is: Assess risk and record integrity, provide corrective supervision, document remediation, and verify accountability requirements. This integrates jurisdiction, law, ethics, policy, role, competence, informed consent, client rights, privacy, records, consultation, and documentation. It does not add facts, surrender professional judgment, or skip a required precursor.</w:t>
            </w:r>
          </w:p>
        </w:tc>
      </w:tr>
    </w:tbl>
    <w:p>
      <w:pPr>
        <w:spacing w:after="20"/>
      </w:pPr>
    </w:p>
    <w:p>
      <w:pPr>
        <w:spacing w:before="40" w:after="60" w:line="250" w:lineRule="auto"/>
        <w:ind w:left="86" w:right="86"/>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17"/>
        </w:rPr>
        <w:t xml:space="preserve">CTA EXAM STRATEGY  </w:t>
      </w:r>
      <w:r>
        <w:rPr>
          <w:rFonts w:ascii="Calibri" w:hAnsi="Calibri"/>
          <w:color w:val="1D2939"/>
          <w:sz w:val="17"/>
        </w:rPr>
        <w:t>Use the facts already established, then choose the immediate follow-through rather than repeating an earlier step or jumping to a later phase. Keep the analysis centered on bridge-level supervision, record, and accountability controls and use the ETHICS remediation lens.</w:t>
      </w:r>
    </w:p>
    <w:p>
      <w:pPr>
        <w:spacing w:before="40" w:after="6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7"/>
        </w:rPr>
        <w:t xml:space="preserve">TRANSFERABLE REPAIR RULE  </w:t>
      </w:r>
      <w:r>
        <w:rPr>
          <w:rFonts w:ascii="Calibri" w:hAnsi="Calibri"/>
          <w:color w:val="1D2939"/>
          <w:sz w:val="17"/>
        </w:rPr>
        <w:t>Separate law, regulation, ethics, policy, contract, and client rights; verify current authority, act proportionately, and document the reasoning.</w:t>
      </w:r>
    </w:p>
    <w:tbl>
      <w:tblPr>
        <w:tblW w:type="dxa" w:w="9240"/>
        <w:jc w:val="left"/>
        <w:tblLayout w:type="fixed"/>
        <w:tblLook w:firstColumn="1" w:firstRow="1" w:lastColumn="0" w:lastRow="0" w:noHBand="0" w:noVBand="1" w:val="04A0"/>
        <w:tblInd w:w="120" w:type="dxa"/>
      </w:tblPr>
      <w:tblGrid>
        <w:gridCol w:w="1200"/>
        <w:gridCol w:w="2550"/>
        <w:gridCol w:w="1400"/>
        <w:gridCol w:w="4090"/>
      </w:tblGrid>
      <w:tr>
        <w:trPr>
          <w:cantSplit/>
          <w:tblHeader w:val="true"/>
        </w:trPr>
        <w:tc>
          <w:tcPr>
            <w:tcW w:type="dxa" w:w="12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2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Control</w:t>
            </w:r>
          </w:p>
        </w:tc>
        <w:tc>
          <w:tcPr>
            <w:tcW w:type="dxa" w:w="40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Value</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Controlled ID</w:t>
            </w:r>
          </w:p>
        </w:tc>
        <w:tc>
          <w:tcPr>
            <w:tcW w:type="dxa" w:w="25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CTA-LMFT-AMFTRB-CP2-Q060</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Primary domain</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D6 - Maintaining Ethical, Legal, and Professional Standards</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Task ID</w:t>
            </w:r>
          </w:p>
        </w:tc>
        <w:tc>
          <w:tcPr>
            <w:tcW w:type="dxa" w:w="255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5"/>
              </w:rPr>
              <w:t>06.07, 06.14, 06.15</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Knowledge areas</w:t>
            </w:r>
          </w:p>
        </w:tc>
        <w:tc>
          <w:tcPr>
            <w:tcW w:type="dxa" w:w="409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5"/>
              </w:rPr>
              <w:t>KA54, KA63, KA66</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Workbook</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WB5</w:t>
            </w:r>
          </w:p>
        </w:tc>
        <w:tc>
          <w:tcPr>
            <w:tcW w:type="dxa" w:w="14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Item type</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Scenario-Based</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Difficulty</w:t>
            </w:r>
          </w:p>
        </w:tc>
        <w:tc>
          <w:tcPr>
            <w:tcW w:type="dxa" w:w="2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Moderate</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Decision word</w:t>
            </w:r>
          </w:p>
        </w:tc>
        <w:tc>
          <w:tcPr>
            <w:tcW w:type="dxa" w:w="40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t>NEXT</w:t>
            </w:r>
          </w:p>
        </w:tc>
      </w:tr>
      <w:tr>
        <w:trPr>
          <w:cantSplit/>
        </w:trPr>
        <w:tc>
          <w:tcPr>
            <w:tcW w:type="dxa" w:w="1200"/>
            <w:tcMar>
              <w:top w:w="65" w:type="dxa"/>
              <w:start w:w="110" w:type="dxa"/>
              <w:bottom w:w="65" w:type="dxa"/>
              <w:end w:w="110" w:type="dxa"/>
            </w:tcMar>
            <w:vAlign w:val="center"/>
            <w:shd w:fill="E8EEF5"/>
          </w:tcPr>
          <w:p>
            <w:pPr>
              <w:spacing w:before="0" w:after="30" w:line="240" w:lineRule="auto"/>
              <w:jc w:val="center"/>
            </w:pPr>
            <w:r>
              <w:rPr>
                <w:rFonts w:ascii="Calibri" w:hAnsi="Calibri"/>
                <w:b/>
                <w:color w:val="0B2545"/>
                <w:sz w:val="15"/>
              </w:rPr>
            </w:r>
            <w:r>
              <w:rPr>
                <w:rFonts w:ascii="Calibri" w:hAnsi="Calibri"/>
                <w:b/>
                <w:color w:val="0B2545"/>
                <w:sz w:val="15"/>
              </w:rPr>
              <w:t>Primary code</w:t>
            </w:r>
          </w:p>
        </w:tc>
        <w:tc>
          <w:tcPr>
            <w:tcW w:type="dxa" w:w="2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t>ETHICS</w:t>
            </w:r>
          </w:p>
        </w:tc>
        <w:tc>
          <w:tcPr>
            <w:tcW w:type="dxa" w:w="1400"/>
            <w:tcMar>
              <w:top w:w="65" w:type="dxa"/>
              <w:start w:w="110" w:type="dxa"/>
              <w:bottom w:w="65" w:type="dxa"/>
              <w:end w:w="110" w:type="dxa"/>
            </w:tcMar>
            <w:vAlign w:val="center"/>
            <w:shd w:fill="E8EEF5"/>
          </w:tcPr>
          <w:p>
            <w:pPr>
              <w:spacing w:before="0" w:after="30" w:line="240" w:lineRule="auto"/>
              <w:jc w:val="left"/>
            </w:pPr>
            <w:r>
              <w:rPr>
                <w:rFonts w:ascii="Calibri" w:hAnsi="Calibri"/>
                <w:b/>
                <w:color w:val="0B2545"/>
                <w:sz w:val="15"/>
              </w:rPr>
            </w:r>
            <w:r>
              <w:rPr>
                <w:rFonts w:ascii="Calibri" w:hAnsi="Calibri"/>
                <w:b/>
                <w:color w:val="0B2545"/>
                <w:sz w:val="15"/>
              </w:rPr>
              <w:t>Distractor codes</w:t>
            </w:r>
          </w:p>
        </w:tc>
        <w:tc>
          <w:tcPr>
            <w:tcW w:type="dxa" w:w="409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5"/>
              </w:rPr>
              <w:t>ETHICS, UNDER</w:t>
            </w:r>
          </w:p>
        </w:tc>
      </w:tr>
    </w:tbl>
    <w:p>
      <w:pPr>
        <w:spacing w:after="20"/>
      </w:pPr>
    </w:p>
    <w:p>
      <w:r>
        <w:br w:type="page"/>
      </w:r>
    </w:p>
    <w:p>
      <w:pPr>
        <w:pStyle w:val="Heading1"/>
      </w:pPr>
      <w:r>
        <w:t>Post-Attempt Remediation Record</w:t>
      </w:r>
    </w:p>
    <w:p>
      <w:pPr>
        <w:spacing w:before="40" w:after="10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8"/>
        </w:rPr>
        <w:t xml:space="preserve">CONTROLLED SCORING  </w:t>
      </w:r>
      <w:r>
        <w:rPr>
          <w:rFonts w:ascii="Calibri" w:hAnsi="Calibri"/>
          <w:color w:val="1D2939"/>
          <w:sz w:val="18"/>
        </w:rPr>
        <w:t>Preserve the original response and confidence rating. Record corrections separately. A corrected response does not replace the first-attempt result.</w:t>
      </w:r>
    </w:p>
    <w:tbl>
      <w:tblPr>
        <w:tblW w:type="dxa" w:w="9240"/>
        <w:jc w:val="left"/>
        <w:tblLayout w:type="fixed"/>
        <w:tblLook w:firstColumn="1" w:firstRow="1" w:lastColumn="0" w:lastRow="0" w:noHBand="0" w:noVBand="1" w:val="04A0"/>
        <w:tblInd w:w="120" w:type="dxa"/>
      </w:tblPr>
      <w:tblGrid>
        <w:gridCol w:w="2250"/>
        <w:gridCol w:w="6990"/>
      </w:tblGrid>
      <w:tr>
        <w:trPr>
          <w:cantSplit/>
          <w:tblHeader w:val="true"/>
        </w:trPr>
        <w:tc>
          <w:tcPr>
            <w:tcW w:type="dxa" w:w="22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8"/>
              </w:rPr>
            </w:r>
            <w:r>
              <w:rPr>
                <w:rFonts w:ascii="Calibri" w:hAnsi="Calibri"/>
                <w:b/>
                <w:color w:val="FFFFFF"/>
                <w:sz w:val="18"/>
              </w:rPr>
              <w:t>Record field</w:t>
            </w:r>
          </w:p>
        </w:tc>
        <w:tc>
          <w:tcPr>
            <w:tcW w:type="dxa" w:w="699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8"/>
              </w:rPr>
            </w:r>
            <w:r>
              <w:rPr>
                <w:rFonts w:ascii="Calibri" w:hAnsi="Calibri"/>
                <w:b/>
                <w:color w:val="FFFFFF"/>
                <w:sz w:val="18"/>
              </w:rPr>
              <w:t>Entry</w:t>
            </w:r>
          </w:p>
        </w:tc>
      </w:tr>
      <w:tr>
        <w:trPr>
          <w:cantSplit/>
        </w:trPr>
        <w:tc>
          <w:tcPr>
            <w:tcW w:type="dxa" w:w="22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8"/>
              </w:rPr>
              <w:t>Candidate</w:t>
            </w:r>
          </w:p>
        </w:tc>
        <w:tc>
          <w:tcPr>
            <w:tcW w:type="dxa" w:w="69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8"/>
              </w:rPr>
            </w:r>
          </w:p>
        </w:tc>
      </w:tr>
      <w:tr>
        <w:trPr>
          <w:cantSplit/>
        </w:trPr>
        <w:tc>
          <w:tcPr>
            <w:tcW w:type="dxa" w:w="22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8"/>
              </w:rPr>
              <w:t>Attempt date</w:t>
            </w:r>
          </w:p>
        </w:tc>
        <w:tc>
          <w:tcPr>
            <w:tcW w:type="dxa" w:w="69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8"/>
              </w:rPr>
            </w:r>
          </w:p>
        </w:tc>
      </w:tr>
      <w:tr>
        <w:trPr>
          <w:cantSplit/>
        </w:trPr>
        <w:tc>
          <w:tcPr>
            <w:tcW w:type="dxa" w:w="22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8"/>
              </w:rPr>
              <w:t>Start / end / elapsed time</w:t>
            </w:r>
          </w:p>
        </w:tc>
        <w:tc>
          <w:tcPr>
            <w:tcW w:type="dxa" w:w="69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8"/>
              </w:rPr>
            </w:r>
          </w:p>
        </w:tc>
      </w:tr>
      <w:tr>
        <w:trPr>
          <w:cantSplit/>
        </w:trPr>
        <w:tc>
          <w:tcPr>
            <w:tcW w:type="dxa" w:w="22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8"/>
              </w:rPr>
              <w:t>Raw total</w:t>
            </w:r>
          </w:p>
        </w:tc>
        <w:tc>
          <w:tcPr>
            <w:tcW w:type="dxa" w:w="69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8"/>
              </w:rPr>
              <w:t>_____ / 60</w:t>
            </w:r>
          </w:p>
        </w:tc>
      </w:tr>
      <w:tr>
        <w:trPr>
          <w:cantSplit/>
        </w:trPr>
        <w:tc>
          <w:tcPr>
            <w:tcW w:type="dxa" w:w="22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8"/>
              </w:rPr>
              <w:t>Confidence 1-2 correct items</w:t>
            </w:r>
          </w:p>
        </w:tc>
        <w:tc>
          <w:tcPr>
            <w:tcW w:type="dxa" w:w="69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8"/>
              </w:rPr>
            </w:r>
          </w:p>
        </w:tc>
      </w:tr>
      <w:tr>
        <w:trPr>
          <w:cantSplit/>
        </w:trPr>
        <w:tc>
          <w:tcPr>
            <w:tcW w:type="dxa" w:w="225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8"/>
              </w:rPr>
              <w:t>Incorrect items</w:t>
            </w:r>
          </w:p>
        </w:tc>
        <w:tc>
          <w:tcPr>
            <w:tcW w:type="dxa" w:w="699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8"/>
              </w:rPr>
            </w:r>
          </w:p>
        </w:tc>
      </w:tr>
      <w:tr>
        <w:trPr>
          <w:cantSplit/>
        </w:trPr>
        <w:tc>
          <w:tcPr>
            <w:tcW w:type="dxa" w:w="225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8"/>
              </w:rPr>
              <w:t>Pacing or interruption notes</w:t>
            </w:r>
          </w:p>
        </w:tc>
        <w:tc>
          <w:tcPr>
            <w:tcW w:type="dxa" w:w="699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8"/>
              </w:rPr>
            </w:r>
          </w:p>
        </w:tc>
      </w:tr>
    </w:tbl>
    <w:p>
      <w:pPr>
        <w:spacing w:after="20"/>
      </w:pPr>
    </w:p>
    <w:p>
      <w:pPr>
        <w:pStyle w:val="Heading2"/>
      </w:pPr>
      <w:r>
        <w:t>Raw Domain Profile</w:t>
      </w:r>
    </w:p>
    <w:tbl>
      <w:tblPr>
        <w:tblW w:type="dxa" w:w="9240"/>
        <w:jc w:val="left"/>
        <w:tblLayout w:type="fixed"/>
        <w:tblLook w:firstColumn="1" w:firstRow="1" w:lastColumn="0" w:lastRow="0" w:noHBand="0" w:noVBand="1" w:val="04A0"/>
        <w:tblInd w:w="120" w:type="dxa"/>
      </w:tblPr>
      <w:tblGrid>
        <w:gridCol w:w="850"/>
        <w:gridCol w:w="5440"/>
        <w:gridCol w:w="1400"/>
        <w:gridCol w:w="1550"/>
      </w:tblGrid>
      <w:tr>
        <w:trPr>
          <w:cantSplit/>
          <w:tblHeader w:val="true"/>
        </w:trPr>
        <w:tc>
          <w:tcPr>
            <w:tcW w:type="dxa" w:w="8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Domain</w:t>
            </w:r>
          </w:p>
        </w:tc>
        <w:tc>
          <w:tcPr>
            <w:tcW w:type="dxa" w:w="5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Practice area</w:t>
            </w:r>
          </w:p>
        </w:tc>
        <w:tc>
          <w:tcPr>
            <w:tcW w:type="dxa" w:w="14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Possible</w:t>
            </w:r>
          </w:p>
        </w:tc>
        <w:tc>
          <w:tcPr>
            <w:tcW w:type="dxa" w:w="1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Raw correct</w:t>
            </w:r>
          </w:p>
        </w:tc>
      </w:tr>
      <w:tr>
        <w:trPr>
          <w:cantSplit/>
        </w:trPr>
        <w:tc>
          <w:tcPr>
            <w:tcW w:type="dxa" w:w="8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D1</w:t>
            </w:r>
          </w:p>
        </w:tc>
        <w:tc>
          <w:tcPr>
            <w:tcW w:type="dxa" w:w="5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Practice of Systemic Therapy</w:t>
            </w:r>
          </w:p>
        </w:tc>
        <w:tc>
          <w:tcPr>
            <w:tcW w:type="dxa" w:w="14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10</w:t>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r>
          </w:p>
        </w:tc>
      </w:tr>
      <w:tr>
        <w:trPr>
          <w:cantSplit/>
        </w:trPr>
        <w:tc>
          <w:tcPr>
            <w:tcW w:type="dxa" w:w="8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D2</w:t>
            </w:r>
          </w:p>
        </w:tc>
        <w:tc>
          <w:tcPr>
            <w:tcW w:type="dxa" w:w="54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Assessing, Hypothesizing, and Diagnosing</w:t>
            </w:r>
          </w:p>
        </w:tc>
        <w:tc>
          <w:tcPr>
            <w:tcW w:type="dxa" w:w="14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10</w:t>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r>
          </w:p>
        </w:tc>
      </w:tr>
      <w:tr>
        <w:trPr>
          <w:cantSplit/>
        </w:trPr>
        <w:tc>
          <w:tcPr>
            <w:tcW w:type="dxa" w:w="8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D3</w:t>
            </w:r>
          </w:p>
        </w:tc>
        <w:tc>
          <w:tcPr>
            <w:tcW w:type="dxa" w:w="5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Designing and Conducting Treatment</w:t>
            </w:r>
          </w:p>
        </w:tc>
        <w:tc>
          <w:tcPr>
            <w:tcW w:type="dxa" w:w="14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10</w:t>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r>
          </w:p>
        </w:tc>
      </w:tr>
      <w:tr>
        <w:trPr>
          <w:cantSplit/>
        </w:trPr>
        <w:tc>
          <w:tcPr>
            <w:tcW w:type="dxa" w:w="8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D4</w:t>
            </w:r>
          </w:p>
        </w:tc>
        <w:tc>
          <w:tcPr>
            <w:tcW w:type="dxa" w:w="54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Evaluating Ongoing Process and Terminating Treatment</w:t>
            </w:r>
          </w:p>
        </w:tc>
        <w:tc>
          <w:tcPr>
            <w:tcW w:type="dxa" w:w="14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9</w:t>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r>
          </w:p>
        </w:tc>
      </w:tr>
      <w:tr>
        <w:trPr>
          <w:cantSplit/>
        </w:trPr>
        <w:tc>
          <w:tcPr>
            <w:tcW w:type="dxa" w:w="8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D5</w:t>
            </w:r>
          </w:p>
        </w:tc>
        <w:tc>
          <w:tcPr>
            <w:tcW w:type="dxa" w:w="54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Managing Crisis Situations</w:t>
            </w:r>
          </w:p>
        </w:tc>
        <w:tc>
          <w:tcPr>
            <w:tcW w:type="dxa" w:w="14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t>10</w:t>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7"/>
              </w:rPr>
            </w:r>
          </w:p>
        </w:tc>
      </w:tr>
      <w:tr>
        <w:trPr>
          <w:cantSplit/>
        </w:trPr>
        <w:tc>
          <w:tcPr>
            <w:tcW w:type="dxa" w:w="8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D6</w:t>
            </w:r>
          </w:p>
        </w:tc>
        <w:tc>
          <w:tcPr>
            <w:tcW w:type="dxa" w:w="54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Maintaining Ethical, Legal, and Professional Standards</w:t>
            </w:r>
          </w:p>
        </w:tc>
        <w:tc>
          <w:tcPr>
            <w:tcW w:type="dxa" w:w="14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t>11</w:t>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7"/>
              </w:rPr>
            </w:r>
          </w:p>
        </w:tc>
      </w:tr>
    </w:tbl>
    <w:p>
      <w:pPr>
        <w:spacing w:after="20"/>
      </w:pPr>
    </w:p>
    <w:p>
      <w:pPr>
        <w:spacing w:before="40" w:after="100" w:line="250" w:lineRule="auto"/>
        <w:ind w:left="86" w:right="86"/>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18"/>
        </w:rPr>
        <w:t xml:space="preserve">INTERPRETATION LIMIT  </w:t>
      </w:r>
      <w:r>
        <w:rPr>
          <w:rFonts w:ascii="Calibri" w:hAnsi="Calibri"/>
          <w:color w:val="1D2939"/>
          <w:sz w:val="18"/>
        </w:rPr>
        <w:t>Use the raw profile only to route study and remediation. Do not convert it into an official scaled score, passing percentage, or licensing prediction.</w:t>
      </w:r>
    </w:p>
    <w:p>
      <w:r>
        <w:br w:type="page"/>
      </w:r>
    </w:p>
    <w:p>
      <w:pPr>
        <w:pStyle w:val="Heading1"/>
      </w:pPr>
      <w:r>
        <w:t>Item-Level Repair Log</w:t>
      </w:r>
    </w:p>
    <w:p>
      <w:pPr>
        <w:spacing w:after="140"/>
      </w:pPr>
      <w:r>
        <w:t>Complete one row for every incorrect item and every correct response marked confidence 1 or 2. Continue on a duplicate of this page if needed.</w:t>
      </w:r>
    </w:p>
    <w:tbl>
      <w:tblPr>
        <w:tblW w:type="dxa" w:w="9240"/>
        <w:jc w:val="left"/>
        <w:tblLayout w:type="fixed"/>
        <w:tblLook w:firstColumn="1" w:firstRow="1" w:lastColumn="0" w:lastRow="0" w:noHBand="0" w:noVBand="1" w:val="04A0"/>
        <w:tblInd w:w="120" w:type="dxa"/>
      </w:tblPr>
      <w:tblGrid>
        <w:gridCol w:w="650"/>
        <w:gridCol w:w="1550"/>
        <w:gridCol w:w="600"/>
        <w:gridCol w:w="1700"/>
        <w:gridCol w:w="2300"/>
        <w:gridCol w:w="2440"/>
      </w:tblGrid>
      <w:tr>
        <w:trPr>
          <w:cantSplit/>
          <w:tblHeader w:val="true"/>
        </w:trPr>
        <w:tc>
          <w:tcPr>
            <w:tcW w:type="dxa" w:w="6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Item</w:t>
            </w:r>
          </w:p>
        </w:tc>
        <w:tc>
          <w:tcPr>
            <w:tcW w:type="dxa" w:w="155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First response / confidence</w:t>
            </w:r>
          </w:p>
        </w:tc>
        <w:tc>
          <w:tcPr>
            <w:tcW w:type="dxa" w:w="6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Key</w:t>
            </w:r>
          </w:p>
        </w:tc>
        <w:tc>
          <w:tcPr>
            <w:tcW w:type="dxa" w:w="17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Primary / secondary code</w:t>
            </w:r>
          </w:p>
        </w:tc>
        <w:tc>
          <w:tcPr>
            <w:tcW w:type="dxa" w:w="23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Corrected rule</w:t>
            </w:r>
          </w:p>
        </w:tc>
        <w:tc>
          <w:tcPr>
            <w:tcW w:type="dxa" w:w="24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5"/>
              </w:rPr>
            </w:r>
            <w:r>
              <w:rPr>
                <w:rFonts w:ascii="Calibri" w:hAnsi="Calibri"/>
                <w:b/>
                <w:color w:val="FFFFFF"/>
                <w:sz w:val="15"/>
              </w:rPr>
              <w:t>Fresh application evidence</w:t>
            </w:r>
          </w:p>
        </w:tc>
      </w:tr>
      <w:tr>
        <w:trPr>
          <w:cantSplit/>
        </w:trPr>
        <w:tc>
          <w:tcPr>
            <w:tcW w:type="dxa" w:w="6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tcPr>
          <w:p>
            <w:pPr>
              <w:spacing w:before="0" w:after="30" w:line="240" w:lineRule="auto"/>
              <w:jc w:val="center"/>
            </w:pPr>
            <w:r/>
            <w:r>
              <w:rPr>
                <w:rFonts w:ascii="Calibri" w:hAnsi="Calibri"/>
                <w:b w:val="0"/>
                <w:color w:val="1D2939"/>
                <w:sz w:val="15"/>
              </w:rPr>
            </w:r>
          </w:p>
        </w:tc>
      </w:tr>
      <w:tr>
        <w:trPr>
          <w:cantSplit/>
        </w:trPr>
        <w:tc>
          <w:tcPr>
            <w:tcW w:type="dxa" w:w="6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55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6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17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30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c>
          <w:tcPr>
            <w:tcW w:type="dxa" w:w="2440"/>
            <w:tcMar>
              <w:top w:w="65" w:type="dxa"/>
              <w:start w:w="110" w:type="dxa"/>
              <w:bottom w:w="65" w:type="dxa"/>
              <w:end w:w="110" w:type="dxa"/>
            </w:tcMar>
            <w:vAlign w:val="center"/>
            <w:shd w:fill="F9FAFB"/>
          </w:tcPr>
          <w:p>
            <w:pPr>
              <w:spacing w:before="0" w:after="30" w:line="240" w:lineRule="auto"/>
              <w:jc w:val="center"/>
            </w:pPr>
            <w:r/>
            <w:r>
              <w:rPr>
                <w:rFonts w:ascii="Calibri" w:hAnsi="Calibri"/>
                <w:b w:val="0"/>
                <w:color w:val="1D2939"/>
                <w:sz w:val="15"/>
              </w:rPr>
            </w:r>
          </w:p>
        </w:tc>
      </w:tr>
    </w:tbl>
    <w:p>
      <w:pPr>
        <w:spacing w:after="20"/>
      </w:pPr>
    </w:p>
    <w:p>
      <w:pPr>
        <w:spacing w:before="40" w:after="10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8"/>
        </w:rPr>
        <w:t xml:space="preserve">PROGRESSION RULE  </w:t>
      </w:r>
      <w:r>
        <w:rPr>
          <w:rFonts w:ascii="Calibri" w:hAnsi="Calibri"/>
          <w:color w:val="1D2939"/>
          <w:sz w:val="18"/>
        </w:rPr>
        <w:t>Checkpoint 2 remediation is complete only when the learner can state the decision point, explain why the keyed option is strongest, identify each distractor defect, and apply the corrected rule to a fresh case. Follow the controlled progression decision before beginning Workbook 9.</w:t>
      </w:r>
    </w:p>
    <w:p>
      <w:r>
        <w:br w:type="page"/>
      </w:r>
    </w:p>
    <w:p>
      <w:pPr>
        <w:pStyle w:val="Heading1"/>
      </w:pPr>
      <w:r>
        <w:t>Currency and Source Controls</w:t>
      </w:r>
    </w:p>
    <w:p>
      <w:pPr>
        <w:spacing w:after="160"/>
      </w:pPr>
      <w:r>
        <w:t>These sources control examination mechanics and selected ethical, privacy, technology, and safety principles. They do not replace jurisdiction-specific law, regulation, employer policy, consultation, or individualized clinical judgment.</w:t>
      </w:r>
    </w:p>
    <w:p>
      <w:pPr>
        <w:spacing w:after="120"/>
      </w:pPr>
      <w:hyperlink r:id="rId12">
        <w:r>
          <w:rPr>
            <w:color w:val="087E76"/>
            <w:u w:val="single"/>
          </w:rPr>
          <w:t>1. 2026 PTC/AMFTRB Handbook for Candidates</w:t>
        </w:r>
      </w:hyperlink>
      <w:r>
        <w:rPr>
          <w:rFonts w:ascii="Calibri" w:hAnsi="Calibri"/>
          <w:color w:val="1D2939"/>
          <w:sz w:val="19"/>
        </w:rPr>
        <w:t xml:space="preserve"> - Candidate rules, examination administration, and six-domain content controls.</w:t>
      </w:r>
    </w:p>
    <w:p>
      <w:pPr>
        <w:spacing w:after="120"/>
      </w:pPr>
      <w:hyperlink r:id="rId13">
        <w:r>
          <w:rPr>
            <w:color w:val="087E76"/>
            <w:u w:val="single"/>
          </w:rPr>
          <w:t>2. AMFTRB Exam Reference</w:t>
        </w:r>
      </w:hyperlink>
      <w:r>
        <w:rPr>
          <w:rFonts w:ascii="Calibri" w:hAnsi="Calibri"/>
          <w:color w:val="1D2939"/>
          <w:sz w:val="19"/>
        </w:rPr>
        <w:t xml:space="preserve"> - 180 items, four options, one best answer, four-hour administration, scoring and equating information.</w:t>
      </w:r>
    </w:p>
    <w:p>
      <w:pPr>
        <w:spacing w:after="120"/>
      </w:pPr>
      <w:hyperlink r:id="rId14">
        <w:r>
          <w:rPr>
            <w:color w:val="087E76"/>
            <w:u w:val="single"/>
          </w:rPr>
          <w:t>3. AAMFT Code of Ethics effective January 1, 2026</w:t>
        </w:r>
      </w:hyperlink>
      <w:r>
        <w:rPr>
          <w:rFonts w:ascii="Calibri" w:hAnsi="Calibri"/>
          <w:color w:val="1D2939"/>
          <w:sz w:val="19"/>
        </w:rPr>
        <w:t xml:space="preserve"> - Current professional ethics source; apply within its scope and alongside governing authority.</w:t>
      </w:r>
    </w:p>
    <w:p>
      <w:pPr>
        <w:spacing w:after="120"/>
      </w:pPr>
      <w:hyperlink r:id="rId15">
        <w:r>
          <w:rPr>
            <w:color w:val="087E76"/>
            <w:u w:val="single"/>
          </w:rPr>
          <w:t>4. HHS/OCR HIPAA and Telehealth</w:t>
        </w:r>
      </w:hyperlink>
      <w:r>
        <w:rPr>
          <w:rFonts w:ascii="Calibri" w:hAnsi="Calibri"/>
          <w:color w:val="1D2939"/>
          <w:sz w:val="19"/>
        </w:rPr>
        <w:t xml:space="preserve"> - Federal telehealth privacy and security guidance for regulated entities.</w:t>
      </w:r>
    </w:p>
    <w:p>
      <w:pPr>
        <w:spacing w:after="120"/>
      </w:pPr>
      <w:hyperlink r:id="rId16">
        <w:r>
          <w:rPr>
            <w:color w:val="087E76"/>
            <w:u w:val="single"/>
          </w:rPr>
          <w:t>5. FTC Health Breach Notification Rule Guidance</w:t>
        </w:r>
      </w:hyperlink>
      <w:r>
        <w:rPr>
          <w:rFonts w:ascii="Calibri" w:hAnsi="Calibri"/>
          <w:color w:val="1D2939"/>
          <w:sz w:val="19"/>
        </w:rPr>
        <w:t xml:space="preserve"> - Federal consumer-health privacy and breach guidance outside or alongside HIPAA as applicable.</w:t>
      </w:r>
    </w:p>
    <w:p>
      <w:pPr>
        <w:spacing w:after="120"/>
      </w:pPr>
      <w:hyperlink r:id="rId17">
        <w:r>
          <w:rPr>
            <w:color w:val="087E76"/>
            <w:u w:val="single"/>
          </w:rPr>
          <w:t>6. NIST AI Risk Management Framework</w:t>
        </w:r>
      </w:hyperlink>
      <w:r>
        <w:rPr>
          <w:rFonts w:ascii="Calibri" w:hAnsi="Calibri"/>
          <w:color w:val="1D2939"/>
          <w:sz w:val="19"/>
        </w:rPr>
        <w:t xml:space="preserve"> - Voluntary AI risk-management framework; not a substitute for law, ethics, or clinical judgment.</w:t>
      </w:r>
    </w:p>
    <w:p>
      <w:pPr>
        <w:spacing w:after="120"/>
      </w:pPr>
      <w:hyperlink r:id="rId18">
        <w:r>
          <w:rPr>
            <w:color w:val="087E76"/>
            <w:u w:val="single"/>
          </w:rPr>
          <w:t>7. SAMHSA SAFE-T</w:t>
        </w:r>
      </w:hyperlink>
      <w:r>
        <w:rPr>
          <w:rFonts w:ascii="Calibri" w:hAnsi="Calibri"/>
          <w:color w:val="1D2939"/>
          <w:sz w:val="19"/>
        </w:rPr>
        <w:t xml:space="preserve"> - Structured suicide assessment and triage reference supporting direct risk evaluation and safety planning.</w:t>
      </w:r>
    </w:p>
    <w:p>
      <w:pPr>
        <w:spacing w:before="40" w:after="100" w:line="250" w:lineRule="auto"/>
        <w:ind w:left="86" w:right="86"/>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18"/>
        </w:rPr>
        <w:t xml:space="preserve">CURRENCY CHECK  </w:t>
      </w:r>
      <w:r>
        <w:rPr>
          <w:rFonts w:ascii="Calibri" w:hAnsi="Calibri"/>
          <w:color w:val="1D2939"/>
          <w:sz w:val="18"/>
        </w:rPr>
        <w:t>Verify the current handbook, ethics code, governing jurisdiction, and applicable privacy, technology, emergency, supervision, and record requirements before operational or learner release.</w:t>
      </w:r>
    </w:p>
    <w:p>
      <w:pPr>
        <w:pStyle w:val="Heading2"/>
      </w:pPr>
      <w:r>
        <w:t>Controlled Access and Release Record</w:t>
      </w:r>
    </w:p>
    <w:tbl>
      <w:tblPr>
        <w:tblW w:type="dxa" w:w="9240"/>
        <w:jc w:val="left"/>
        <w:tblLayout w:type="fixed"/>
        <w:tblLook w:firstColumn="1" w:firstRow="1" w:lastColumn="0" w:lastRow="0" w:noHBand="0" w:noVBand="1" w:val="04A0"/>
        <w:tblInd w:w="120" w:type="dxa"/>
      </w:tblPr>
      <w:tblGrid>
        <w:gridCol w:w="2500"/>
        <w:gridCol w:w="6740"/>
      </w:tblGrid>
      <w:tr>
        <w:trPr>
          <w:cantSplit/>
          <w:tblHeader w:val="true"/>
        </w:trPr>
        <w:tc>
          <w:tcPr>
            <w:tcW w:type="dxa" w:w="250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Control</w:t>
            </w:r>
          </w:p>
        </w:tc>
        <w:tc>
          <w:tcPr>
            <w:tcW w:type="dxa" w:w="6740"/>
            <w:tcMar>
              <w:top w:w="65" w:type="dxa"/>
              <w:start w:w="110" w:type="dxa"/>
              <w:bottom w:w="65" w:type="dxa"/>
              <w:end w:w="110" w:type="dxa"/>
            </w:tcMar>
            <w:vAlign w:val="center"/>
            <w:shd w:fill="0B2545"/>
          </w:tcPr>
          <w:p>
            <w:pPr>
              <w:spacing w:before="0" w:after="30" w:line="240" w:lineRule="auto"/>
              <w:jc w:val="left"/>
            </w:pPr>
            <w:r>
              <w:rPr>
                <w:rFonts w:ascii="Calibri" w:hAnsi="Calibri"/>
                <w:b/>
                <w:color w:val="FFFFFF"/>
                <w:sz w:val="17"/>
              </w:rPr>
            </w:r>
            <w:r>
              <w:rPr>
                <w:rFonts w:ascii="Calibri" w:hAnsi="Calibri"/>
                <w:b/>
                <w:color w:val="FFFFFF"/>
                <w:sz w:val="17"/>
              </w:rPr>
              <w:t>Required record</w:t>
            </w:r>
          </w:p>
        </w:tc>
      </w:tr>
      <w:tr>
        <w:trPr>
          <w:cantSplit/>
        </w:trPr>
        <w:tc>
          <w:tcPr>
            <w:tcW w:type="dxa" w:w="25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Candidate-form synchronization</w:t>
            </w:r>
          </w:p>
        </w:tc>
        <w:tc>
          <w:tcPr>
            <w:tcW w:type="dxa" w:w="67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Confirmed: 60 stems and 240 options match exactly</w:t>
            </w:r>
          </w:p>
        </w:tc>
      </w:tr>
      <w:tr>
        <w:trPr>
          <w:cantSplit/>
        </w:trPr>
        <w:tc>
          <w:tcPr>
            <w:tcW w:type="dxa" w:w="25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Key synchronization</w:t>
            </w:r>
          </w:p>
        </w:tc>
        <w:tc>
          <w:tcPr>
            <w:tcW w:type="dxa" w:w="67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Confirmed: 15 each A / B / C / D</w:t>
            </w:r>
          </w:p>
        </w:tc>
      </w:tr>
      <w:tr>
        <w:trPr>
          <w:cantSplit/>
        </w:trPr>
        <w:tc>
          <w:tcPr>
            <w:tcW w:type="dxa" w:w="25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Blueprint traceability</w:t>
            </w:r>
          </w:p>
        </w:tc>
        <w:tc>
          <w:tcPr>
            <w:tcW w:type="dxa" w:w="67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Confirmed: 60 IDs, six domains, WB1-WB8, tasks, knowledge areas, type, difficulty, qualifier, and remediation</w:t>
            </w:r>
          </w:p>
        </w:tc>
      </w:tr>
      <w:tr>
        <w:trPr>
          <w:cantSplit/>
        </w:trPr>
        <w:tc>
          <w:tcPr>
            <w:tcW w:type="dxa" w:w="25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Controlled placement</w:t>
            </w:r>
          </w:p>
        </w:tc>
        <w:tc>
          <w:tcPr>
            <w:tcW w:type="dxa" w:w="67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Restricted answer-visible location only</w:t>
            </w:r>
          </w:p>
        </w:tc>
      </w:tr>
      <w:tr>
        <w:trPr>
          <w:cantSplit/>
        </w:trPr>
        <w:tc>
          <w:tcPr>
            <w:tcW w:type="dxa" w:w="250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Approved by / date</w:t>
            </w:r>
          </w:p>
        </w:tc>
        <w:tc>
          <w:tcPr>
            <w:tcW w:type="dxa" w:w="6740"/>
            <w:tcMar>
              <w:top w:w="65" w:type="dxa"/>
              <w:start w:w="110" w:type="dxa"/>
              <w:bottom w:w="65" w:type="dxa"/>
              <w:end w:w="110" w:type="dxa"/>
            </w:tcMar>
            <w:vAlign w:val="center"/>
          </w:tcPr>
          <w:p>
            <w:pPr>
              <w:spacing w:before="0" w:after="30" w:line="240" w:lineRule="auto"/>
              <w:jc w:val="left"/>
            </w:pPr>
            <w:r/>
            <w:r>
              <w:rPr>
                <w:rFonts w:ascii="Calibri" w:hAnsi="Calibri"/>
                <w:b w:val="0"/>
                <w:color w:val="1D2939"/>
                <w:sz w:val="17"/>
              </w:rPr>
              <w:t>____________________________________________</w:t>
            </w:r>
          </w:p>
        </w:tc>
      </w:tr>
      <w:tr>
        <w:trPr>
          <w:cantSplit/>
        </w:trPr>
        <w:tc>
          <w:tcPr>
            <w:tcW w:type="dxa" w:w="250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Release notes</w:t>
            </w:r>
          </w:p>
        </w:tc>
        <w:tc>
          <w:tcPr>
            <w:tcW w:type="dxa" w:w="6740"/>
            <w:tcMar>
              <w:top w:w="65" w:type="dxa"/>
              <w:start w:w="110" w:type="dxa"/>
              <w:bottom w:w="65" w:type="dxa"/>
              <w:end w:w="110" w:type="dxa"/>
            </w:tcMar>
            <w:vAlign w:val="center"/>
            <w:shd w:fill="F9FAFB"/>
          </w:tcPr>
          <w:p>
            <w:pPr>
              <w:spacing w:before="0" w:after="30" w:line="240" w:lineRule="auto"/>
              <w:jc w:val="left"/>
            </w:pPr>
            <w:r/>
            <w:r>
              <w:rPr>
                <w:rFonts w:ascii="Calibri" w:hAnsi="Calibri"/>
                <w:b w:val="0"/>
                <w:color w:val="1D2939"/>
                <w:sz w:val="17"/>
              </w:rPr>
              <w:t>____________________________________________</w:t>
            </w:r>
          </w:p>
        </w:tc>
      </w:tr>
    </w:tbl>
    <w:p>
      <w:pPr>
        <w:spacing w:after="20"/>
      </w:pPr>
    </w:p>
    <w:p>
      <w:pPr>
        <w:spacing w:before="40" w:after="100" w:line="250" w:lineRule="auto"/>
        <w:ind w:left="86" w:right="86"/>
        <w:shd w:fill="E8EEF5"/>
        <w:pBdr>
          <w:top w:val="single" w:sz="8" w:space="5" w:color="0B2545"/>
          <w:left w:val="single" w:sz="8" w:space="5" w:color="0B2545"/>
          <w:bottom w:val="single" w:sz="8" w:space="5" w:color="0B2545"/>
          <w:right w:val="single" w:sz="8" w:space="5" w:color="0B2545"/>
        </w:pBdr>
      </w:pPr>
      <w:r>
        <w:rPr>
          <w:rFonts w:ascii="Calibri" w:hAnsi="Calibri"/>
          <w:b/>
          <w:color w:val="0B2545"/>
          <w:sz w:val="18"/>
        </w:rPr>
        <w:t xml:space="preserve">FINAL LIMITATION  </w:t>
      </w:r>
      <w:r>
        <w:rPr>
          <w:rFonts w:ascii="Calibri" w:hAnsi="Calibri"/>
          <w:color w:val="1D2939"/>
          <w:sz w:val="18"/>
        </w:rPr>
        <w:t>This original CTA practice support is not the live examination, grants no CE credit, does not determine licensing eligibility, and cannot guarantee or predict an official examination outcome.</w:t>
      </w: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6"/>
      </w:rPr>
      <w:t xml:space="preserve">Controlled | No CE Credit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0E9F92"/>
      </w:pBdr>
    </w:pPr>
    <w:r>
      <w:rPr>
        <w:rFonts w:ascii="Calibri" w:hAnsi="Calibri"/>
        <w:b/>
        <w:color w:val="667085"/>
        <w:sz w:val="16"/>
      </w:rPr>
      <w:t>CTA LMFT AMFTRB  |  Checkpoint 2 Controlled Rationales  |  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Calibri" w:hAnsi="Calibri"/>
      <w:color w:val="1D293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B2545"/>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87E7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087E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tcny.com/pdf/AMFTRB.pdf" TargetMode="External"/><Relationship Id="rId13" Type="http://schemas.openxmlformats.org/officeDocument/2006/relationships/hyperlink" Target="https://amftrb.org/exam-info/" TargetMode="External"/><Relationship Id="rId14" Type="http://schemas.openxmlformats.org/officeDocument/2006/relationships/hyperlink" Target="https://www.aamft.org/web/web/Action-Advocacy/Code-of-Ethics-New.aspx" TargetMode="External"/><Relationship Id="rId15" Type="http://schemas.openxmlformats.org/officeDocument/2006/relationships/hyperlink" Target="https://www.hhs.gov/hipaa/for-professionals/special-topics/telehealth/index.html" TargetMode="External"/><Relationship Id="rId16" Type="http://schemas.openxmlformats.org/officeDocument/2006/relationships/hyperlink" Target="https://www.ftc.gov/business-guidance/resources/complying-ftcs-health-breach-notification-rule-0" TargetMode="External"/><Relationship Id="rId17" Type="http://schemas.openxmlformats.org/officeDocument/2006/relationships/hyperlink" Target="https://www.nist.gov/itl/ai-risk-management-framework" TargetMode="External"/><Relationship Id="rId18" Type="http://schemas.openxmlformats.org/officeDocument/2006/relationships/hyperlink" Target="https://library.samhsa.gov/product/safe-t-suicide-assessment-five-step-evaluation-and-triage/pep24-01-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Checkpoint 2 Controlled Answer Key and Detailed Rationales</dc:title>
  <dc:subject>Controlled scoring and remediation companion for the 60-question Checkpoint 2 assessment</dc:subject>
  <dc:creator>Clinical Training &amp; Supervision Academy</dc:creator>
  <cp:keywords>CTA, LMFT, AMFTRB, Checkpoint 2, controlled answer key, rationales, remediation</cp:keywords>
  <dc:description>Internal Controlled Use | Exam Preparation Only | No CE Credit</dc:description>
  <cp:lastModifiedBy/>
  <cp:revision>1</cp:revision>
  <dcterms:created xsi:type="dcterms:W3CDTF">2026-08-03T12:00:00Z</dcterms:created>
  <dcterms:modified xsi:type="dcterms:W3CDTF">2026-08-03T12:00:00Z</dcterms:modified>
  <cp:category/>
</cp:coreProperties>
</file>