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234440" cy="892311"/>
            <wp:docPr id="1" name="Picture 1" descr="Clinical Training and Supervision Academy stacked logo"/>
            <wp:cNvGraphicFramePr>
              <a:graphicFrameLocks noChangeAspect="1"/>
            </wp:cNvGraphicFramePr>
            <a:graphic>
              <a:graphicData uri="http://schemas.openxmlformats.org/drawingml/2006/picture">
                <pic:pic>
                  <pic:nvPicPr>
                    <pic:cNvPr id="0" name="05-CTA_Stacked_Logo.png"/>
                    <pic:cNvPicPr/>
                  </pic:nvPicPr>
                  <pic:blipFill>
                    <a:blip r:embed="rId13"/>
                    <a:stretch>
                      <a:fillRect/>
                    </a:stretch>
                  </pic:blipFill>
                  <pic:spPr>
                    <a:xfrm>
                      <a:off x="0" y="0"/>
                      <a:ext cx="1234440" cy="892311"/>
                    </a:xfrm>
                    <a:prstGeom prst="rect"/>
                  </pic:spPr>
                </pic:pic>
              </a:graphicData>
            </a:graphic>
          </wp:inline>
        </w:drawing>
      </w:r>
    </w:p>
    <w:p>
      <w:pPr>
        <w:spacing w:after="20"/>
        <w:jc w:val="center"/>
      </w:pPr>
      <w:r>
        <w:rPr>
          <w:rFonts w:ascii="Calibri" w:hAnsi="Calibri" w:eastAsia="Calibri"/>
          <w:b/>
          <w:color w:val="13A6A6"/>
          <w:sz w:val="28"/>
        </w:rPr>
        <w:t>CTA LMFT AMFTRB</w:t>
      </w:r>
    </w:p>
    <w:p>
      <w:pPr>
        <w:spacing w:after="240"/>
        <w:jc w:val="center"/>
      </w:pPr>
      <w:r>
        <w:rPr>
          <w:rFonts w:ascii="Calibri" w:hAnsi="Calibri" w:eastAsia="Calibri"/>
          <w:b/>
          <w:color w:val="12385B"/>
          <w:sz w:val="20"/>
        </w:rPr>
        <w:t>NATIONAL EXAM PREPARATION PROGRAM</w:t>
      </w:r>
    </w:p>
    <w:p>
      <w:pPr>
        <w:pStyle w:val="Title"/>
        <w:jc w:val="center"/>
      </w:pPr>
      <w:r>
        <w:t>Checkpoint 3</w:t>
      </w:r>
    </w:p>
    <w:p>
      <w:pPr>
        <w:pStyle w:val="Title"/>
        <w:jc w:val="center"/>
      </w:pPr>
      <w:r>
        <w:t>Controlled Answer Key and Detailed Rationales</w:t>
      </w:r>
    </w:p>
    <w:p>
      <w:pPr>
        <w:pStyle w:val="Subtitle"/>
        <w:jc w:val="center"/>
      </w:pPr>
      <w:r>
        <w:t>90 synchronized items | 360 option-specific rationales | 120-minute first-attempt form</w:t>
      </w:r>
    </w:p>
    <w:p>
      <w:pPr>
        <w:spacing w:after="240"/>
        <w:jc w:val="center"/>
      </w:pPr>
      <w:r>
        <w:rPr>
          <w:rFonts w:ascii="Calibri" w:hAnsi="Calibri" w:eastAsia="Calibri"/>
          <w:color w:val="56616A"/>
          <w:sz w:val="18"/>
        </w:rPr>
        <w:t>Version 1.0 | August 3, 2026 | Internal Controlled Use | Exam Preparation Only | No CE Credit</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9B1C1C"/>
                <w:sz w:val="18"/>
              </w:rPr>
              <w:t xml:space="preserve">CONTROLLED USE: </w:t>
            </w:r>
            <w:r>
              <w:rPr>
                <w:rFonts w:ascii="Calibri" w:hAnsi="Calibri" w:eastAsia="Calibri"/>
                <w:color w:val="1E2D38"/>
                <w:sz w:val="18"/>
              </w:rPr>
              <w:t>Release only after the candidate completes and preserves the timed first attempt. Do not place this file in an unrestricted learner area, public website, or shared answer-visible folder.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PROGRAM DESIGNATION: </w:t>
            </w:r>
            <w:r>
              <w:rPr>
                <w:rFonts w:ascii="Calibri" w:hAnsi="Calibri" w:eastAsia="Calibri"/>
                <w:color w:val="1E2D38"/>
                <w:sz w:val="18"/>
              </w:rPr>
              <w:t>Original CTA practice assessment support | National AMFTRB program only | Separate from California Clinical and California Law and Ethics products | Editable Word document | No CE credit.</w:t>
            </w:r>
          </w:p>
        </w:tc>
      </w:tr>
    </w:tbl>
    <w:p>
      <w:pPr>
        <w:spacing w:after="0"/>
      </w:pPr>
    </w:p>
    <w:p>
      <w:pPr>
        <w:pStyle w:val="Heading1"/>
        <w:pageBreakBefore/>
      </w:pPr>
      <w:r>
        <w:t>Scoring and Controlled Review</w:t>
      </w:r>
    </w:p>
    <w:p>
      <w:pPr>
        <w:ind w:left="288" w:hanging="288"/>
      </w:pPr>
      <w:r>
        <w:rPr>
          <w:rFonts w:ascii="Calibri" w:hAnsi="Calibri" w:eastAsia="Calibri"/>
          <w:b/>
          <w:color w:val="12385B"/>
        </w:rPr>
        <w:t xml:space="preserve">1. </w:t>
      </w:r>
      <w:r>
        <w:rPr>
          <w:rFonts w:ascii="Calibri" w:hAnsi="Calibri" w:eastAsia="Calibri"/>
          <w:color w:val="1E2D38"/>
        </w:rPr>
        <w:t>Score the preserved first attempt using the compact key. Record the raw total, time used, confidence profile, and raw domain profile.</w:t>
      </w:r>
    </w:p>
    <w:p>
      <w:pPr>
        <w:ind w:left="288" w:hanging="288"/>
      </w:pPr>
      <w:r>
        <w:rPr>
          <w:rFonts w:ascii="Calibri" w:hAnsi="Calibri" w:eastAsia="Calibri"/>
          <w:b/>
          <w:color w:val="12385B"/>
        </w:rPr>
        <w:t xml:space="preserve">2. </w:t>
      </w:r>
      <w:r>
        <w:rPr>
          <w:rFonts w:ascii="Calibri" w:hAnsi="Calibri" w:eastAsia="Calibri"/>
          <w:color w:val="1E2D38"/>
        </w:rPr>
        <w:t>Review every incorrect response and every correct response marked confidence 1 or 2. Read all four option rationales before writing a repair rule.</w:t>
      </w:r>
    </w:p>
    <w:p>
      <w:pPr>
        <w:ind w:left="288" w:hanging="288"/>
      </w:pPr>
      <w:r>
        <w:rPr>
          <w:rFonts w:ascii="Calibri" w:hAnsi="Calibri" w:eastAsia="Calibri"/>
          <w:b/>
          <w:color w:val="12385B"/>
        </w:rPr>
        <w:t xml:space="preserve">3. </w:t>
      </w:r>
      <w:r>
        <w:rPr>
          <w:rFonts w:ascii="Calibri" w:hAnsi="Calibri" w:eastAsia="Calibri"/>
          <w:color w:val="1E2D38"/>
        </w:rPr>
        <w:t>Assign the blueprint remediation code and any recurring secondary reasoning pattern. Remediate the decision process—not only the content fact.</w:t>
      </w:r>
    </w:p>
    <w:p>
      <w:pPr>
        <w:ind w:left="288" w:hanging="288"/>
      </w:pPr>
      <w:r>
        <w:rPr>
          <w:rFonts w:ascii="Calibri" w:hAnsi="Calibri" w:eastAsia="Calibri"/>
          <w:b/>
          <w:color w:val="12385B"/>
        </w:rPr>
        <w:t xml:space="preserve">4. </w:t>
      </w:r>
      <w:r>
        <w:rPr>
          <w:rFonts w:ascii="Calibri" w:hAnsi="Calibri" w:eastAsia="Calibri"/>
          <w:color w:val="1E2D38"/>
        </w:rPr>
        <w:t>Return to the named workbook, task, and knowledge areas. Retake only after the learner can state the decision point, explain the key, and identify the defect in each distractor.</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SCORE INTERPRETATION: </w:t>
            </w:r>
            <w:r>
              <w:rPr>
                <w:rFonts w:ascii="Calibri" w:hAnsi="Calibri" w:eastAsia="Calibri"/>
                <w:color w:val="1E2D38"/>
                <w:sz w:val="18"/>
              </w:rPr>
              <w:t>Report raw performance only. This CTA checkpoint does not establish, estimate, or predict an official AMFTRB passing score or scaled score.</w:t>
            </w:r>
          </w:p>
        </w:tc>
      </w:tr>
    </w:tbl>
    <w:p>
      <w:pPr>
        <w:spacing w:after="0"/>
      </w:pPr>
    </w:p>
    <w:p>
      <w:pPr>
        <w:pStyle w:val="Heading2"/>
      </w:pPr>
      <w:r>
        <w:t>Compact Answer Key</w:t>
      </w:r>
    </w:p>
    <w:tbl>
      <w:tblPr>
        <w:tblW w:type="dxa" w:w="9360"/>
        <w:jc w:val="center"/>
        <w:tblLayout w:type="fixed"/>
        <w:tblLook w:firstColumn="1" w:firstRow="1" w:lastColumn="0" w:lastRow="0" w:noHBand="0" w:noVBand="1" w:val="04A0"/>
        <w:tblInd w:w="0" w:type="dxa"/>
      </w:tblPr>
      <w:tblGrid>
        <w:gridCol w:w="650"/>
        <w:gridCol w:w="1222"/>
        <w:gridCol w:w="650"/>
        <w:gridCol w:w="1222"/>
        <w:gridCol w:w="650"/>
        <w:gridCol w:w="1222"/>
        <w:gridCol w:w="650"/>
        <w:gridCol w:w="1222"/>
        <w:gridCol w:w="650"/>
        <w:gridCol w:w="1222"/>
      </w:tblGrid>
      <w:tr>
        <w:trPr>
          <w:cantSplit/>
          <w:tblHeader w:val="true"/>
        </w:trPr>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bl>
    <w:p>
      <w:pPr>
        <w:pStyle w:val="Heading2"/>
      </w:pPr>
      <w:r>
        <w:t>Blueprint Synchronization Audit</w:t>
      </w:r>
    </w:p>
    <w:tbl>
      <w:tblPr>
        <w:tblW w:type="dxa" w:w="9360"/>
        <w:jc w:val="center"/>
        <w:tblLayout w:type="fixed"/>
        <w:tblLook w:firstColumn="1" w:firstRow="1" w:lastColumn="0" w:lastRow="0" w:noHBand="0" w:noVBand="1" w:val="04A0"/>
        <w:tblInd w:w="0" w:type="dxa"/>
      </w:tblPr>
      <w:tblGrid>
        <w:gridCol w:w="1700"/>
        <w:gridCol w:w="2800"/>
        <w:gridCol w:w="3260"/>
        <w:gridCol w:w="1600"/>
      </w:tblGrid>
      <w:tr>
        <w:trPr>
          <w:cantSplit/>
          <w:tblHeader w:val="true"/>
        </w:trPr>
        <w:tc>
          <w:tcPr>
            <w:tcW w:type="dxa" w:w="170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Dimension</w:t>
            </w:r>
          </w:p>
        </w:tc>
        <w:tc>
          <w:tcPr>
            <w:tcW w:type="dxa" w:w="280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Approved control</w:t>
            </w:r>
          </w:p>
        </w:tc>
        <w:tc>
          <w:tcPr>
            <w:tcW w:type="dxa" w:w="326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Controlled result</w:t>
            </w:r>
          </w:p>
        </w:tc>
        <w:tc>
          <w:tcPr>
            <w:tcW w:type="dxa" w:w="160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Status</w:t>
            </w:r>
          </w:p>
        </w:tc>
      </w:tr>
      <w:tr>
        <w:tc>
          <w:tcPr>
            <w:tcW w:type="dxa" w:w="1700"/>
            <w:shd w:fill="F2F4F7"/>
          </w:tcPr>
          <w:p>
            <w:pPr>
              <w:spacing w:before="0" w:after="0" w:line="252" w:lineRule="auto"/>
              <w:jc w:val="left"/>
            </w:pPr>
            <w:r>
              <w:rPr>
                <w:rFonts w:ascii="Calibri" w:hAnsi="Calibri" w:eastAsia="Calibri"/>
                <w:b w:val="0"/>
                <w:color w:val="1E2D38"/>
                <w:sz w:val="16"/>
              </w:rPr>
              <w:t>Total items</w:t>
            </w:r>
          </w:p>
        </w:tc>
        <w:tc>
          <w:tcPr>
            <w:tcW w:type="dxa" w:w="2800"/>
            <w:shd w:fill="F2F4F7"/>
          </w:tcPr>
          <w:p>
            <w:pPr>
              <w:spacing w:before="0" w:after="0" w:line="252" w:lineRule="auto"/>
              <w:jc w:val="left"/>
            </w:pPr>
            <w:r>
              <w:rPr>
                <w:rFonts w:ascii="Calibri" w:hAnsi="Calibri" w:eastAsia="Calibri"/>
                <w:b w:val="0"/>
                <w:color w:val="1E2D38"/>
                <w:sz w:val="16"/>
              </w:rPr>
              <w:t>90</w:t>
            </w:r>
          </w:p>
        </w:tc>
        <w:tc>
          <w:tcPr>
            <w:tcW w:type="dxa" w:w="3260"/>
            <w:shd w:fill="F2F4F7"/>
          </w:tcPr>
          <w:p>
            <w:pPr>
              <w:spacing w:before="0" w:after="0" w:line="252" w:lineRule="auto"/>
              <w:jc w:val="left"/>
            </w:pPr>
            <w:r>
              <w:rPr>
                <w:rFonts w:ascii="Calibri" w:hAnsi="Calibri" w:eastAsia="Calibri"/>
                <w:b w:val="0"/>
                <w:color w:val="1E2D38"/>
                <w:sz w:val="16"/>
              </w:rPr>
              <w:t>90</w:t>
            </w:r>
          </w:p>
        </w:tc>
        <w:tc>
          <w:tcPr>
            <w:tcW w:type="dxa" w:w="1600"/>
            <w:shd w:fill="F2F4F7"/>
          </w:tcPr>
          <w:p>
            <w:pPr>
              <w:spacing w:before="0" w:after="0" w:line="252" w:lineRule="auto"/>
              <w:jc w:val="center"/>
            </w:pPr>
            <w:r>
              <w:rPr>
                <w:rFonts w:ascii="Calibri" w:hAnsi="Calibri" w:eastAsia="Calibri"/>
                <w:b/>
                <w:color w:val="13A6A6"/>
                <w:sz w:val="16"/>
              </w:rPr>
              <w:t>PASS</w:t>
            </w:r>
          </w:p>
        </w:tc>
      </w:tr>
      <w:tr>
        <w:tc>
          <w:tcPr>
            <w:tcW w:type="dxa" w:w="1700"/>
            <w:shd w:fill="FFFFFF"/>
          </w:tcPr>
          <w:p>
            <w:pPr>
              <w:spacing w:before="0" w:after="0" w:line="252" w:lineRule="auto"/>
              <w:jc w:val="left"/>
            </w:pPr>
            <w:r>
              <w:rPr>
                <w:rFonts w:ascii="Calibri" w:hAnsi="Calibri" w:eastAsia="Calibri"/>
                <w:b w:val="0"/>
                <w:color w:val="1E2D38"/>
                <w:sz w:val="16"/>
              </w:rPr>
              <w:t>Domains</w:t>
            </w:r>
          </w:p>
        </w:tc>
        <w:tc>
          <w:tcPr>
            <w:tcW w:type="dxa" w:w="2800"/>
            <w:shd w:fill="FFFFFF"/>
          </w:tcPr>
          <w:p>
            <w:pPr>
              <w:spacing w:before="0" w:after="0" w:line="252" w:lineRule="auto"/>
              <w:jc w:val="left"/>
            </w:pPr>
            <w:r>
              <w:rPr>
                <w:rFonts w:ascii="Calibri" w:hAnsi="Calibri" w:eastAsia="Calibri"/>
                <w:b w:val="0"/>
                <w:color w:val="1E2D38"/>
                <w:sz w:val="16"/>
              </w:rPr>
              <w:t>14 / 15 / 15 / 14 / 15 / 17</w:t>
            </w:r>
          </w:p>
        </w:tc>
        <w:tc>
          <w:tcPr>
            <w:tcW w:type="dxa" w:w="3260"/>
            <w:shd w:fill="FFFFFF"/>
          </w:tcPr>
          <w:p>
            <w:pPr>
              <w:spacing w:before="0" w:after="0" w:line="252" w:lineRule="auto"/>
              <w:jc w:val="left"/>
            </w:pPr>
            <w:r>
              <w:rPr>
                <w:rFonts w:ascii="Calibri" w:hAnsi="Calibri" w:eastAsia="Calibri"/>
                <w:b w:val="0"/>
                <w:color w:val="1E2D38"/>
                <w:sz w:val="16"/>
              </w:rPr>
              <w:t>14 / 15 / 15 / 14 / 15 / 17</w:t>
            </w:r>
          </w:p>
        </w:tc>
        <w:tc>
          <w:tcPr>
            <w:tcW w:type="dxa" w:w="1600"/>
            <w:shd w:fill="FFFFFF"/>
          </w:tcPr>
          <w:p>
            <w:pPr>
              <w:spacing w:before="0" w:after="0" w:line="252" w:lineRule="auto"/>
              <w:jc w:val="center"/>
            </w:pPr>
            <w:r>
              <w:rPr>
                <w:rFonts w:ascii="Calibri" w:hAnsi="Calibri" w:eastAsia="Calibri"/>
                <w:b/>
                <w:color w:val="13A6A6"/>
                <w:sz w:val="16"/>
              </w:rPr>
              <w:t>PASS</w:t>
            </w:r>
          </w:p>
        </w:tc>
      </w:tr>
      <w:tr>
        <w:tc>
          <w:tcPr>
            <w:tcW w:type="dxa" w:w="1700"/>
            <w:shd w:fill="F2F4F7"/>
          </w:tcPr>
          <w:p>
            <w:pPr>
              <w:spacing w:before="0" w:after="0" w:line="252" w:lineRule="auto"/>
              <w:jc w:val="left"/>
            </w:pPr>
            <w:r>
              <w:rPr>
                <w:rFonts w:ascii="Calibri" w:hAnsi="Calibri" w:eastAsia="Calibri"/>
                <w:b w:val="0"/>
                <w:color w:val="1E2D38"/>
                <w:sz w:val="16"/>
              </w:rPr>
              <w:t>Difficulty</w:t>
            </w:r>
          </w:p>
        </w:tc>
        <w:tc>
          <w:tcPr>
            <w:tcW w:type="dxa" w:w="2800"/>
            <w:shd w:fill="F2F4F7"/>
          </w:tcPr>
          <w:p>
            <w:pPr>
              <w:spacing w:before="0" w:after="0" w:line="252" w:lineRule="auto"/>
              <w:jc w:val="left"/>
            </w:pPr>
            <w:r>
              <w:rPr>
                <w:rFonts w:ascii="Calibri" w:hAnsi="Calibri" w:eastAsia="Calibri"/>
                <w:b w:val="0"/>
                <w:color w:val="1E2D38"/>
                <w:sz w:val="16"/>
              </w:rPr>
              <w:t>26 Easy / 38 Moderate / 26 Difficult</w:t>
            </w:r>
          </w:p>
        </w:tc>
        <w:tc>
          <w:tcPr>
            <w:tcW w:type="dxa" w:w="3260"/>
            <w:shd w:fill="F2F4F7"/>
          </w:tcPr>
          <w:p>
            <w:pPr>
              <w:spacing w:before="0" w:after="0" w:line="252" w:lineRule="auto"/>
              <w:jc w:val="left"/>
            </w:pPr>
            <w:r>
              <w:rPr>
                <w:rFonts w:ascii="Calibri" w:hAnsi="Calibri" w:eastAsia="Calibri"/>
                <w:b w:val="0"/>
                <w:color w:val="1E2D38"/>
                <w:sz w:val="16"/>
              </w:rPr>
              <w:t>26 / 38 / 26</w:t>
            </w:r>
          </w:p>
        </w:tc>
        <w:tc>
          <w:tcPr>
            <w:tcW w:type="dxa" w:w="1600"/>
            <w:shd w:fill="F2F4F7"/>
          </w:tcPr>
          <w:p>
            <w:pPr>
              <w:spacing w:before="0" w:after="0" w:line="252" w:lineRule="auto"/>
              <w:jc w:val="center"/>
            </w:pPr>
            <w:r>
              <w:rPr>
                <w:rFonts w:ascii="Calibri" w:hAnsi="Calibri" w:eastAsia="Calibri"/>
                <w:b/>
                <w:color w:val="13A6A6"/>
                <w:sz w:val="16"/>
              </w:rPr>
              <w:t>PASS</w:t>
            </w:r>
          </w:p>
        </w:tc>
      </w:tr>
      <w:tr>
        <w:tc>
          <w:tcPr>
            <w:tcW w:type="dxa" w:w="1700"/>
            <w:shd w:fill="FFFFFF"/>
          </w:tcPr>
          <w:p>
            <w:pPr>
              <w:spacing w:before="0" w:after="0" w:line="252" w:lineRule="auto"/>
              <w:jc w:val="left"/>
            </w:pPr>
            <w:r>
              <w:rPr>
                <w:rFonts w:ascii="Calibri" w:hAnsi="Calibri" w:eastAsia="Calibri"/>
                <w:b w:val="0"/>
                <w:color w:val="1E2D38"/>
                <w:sz w:val="16"/>
              </w:rPr>
              <w:t>Cognitive type</w:t>
            </w:r>
          </w:p>
        </w:tc>
        <w:tc>
          <w:tcPr>
            <w:tcW w:type="dxa" w:w="2800"/>
            <w:shd w:fill="FFFFFF"/>
          </w:tcPr>
          <w:p>
            <w:pPr>
              <w:spacing w:before="0" w:after="0" w:line="252" w:lineRule="auto"/>
              <w:jc w:val="left"/>
            </w:pPr>
            <w:r>
              <w:rPr>
                <w:rFonts w:ascii="Calibri" w:hAnsi="Calibri" w:eastAsia="Calibri"/>
                <w:b w:val="0"/>
                <w:color w:val="1E2D38"/>
                <w:sz w:val="16"/>
              </w:rPr>
              <w:t>K16 / A26 / S32 / I16</w:t>
            </w:r>
          </w:p>
        </w:tc>
        <w:tc>
          <w:tcPr>
            <w:tcW w:type="dxa" w:w="3260"/>
            <w:shd w:fill="FFFFFF"/>
          </w:tcPr>
          <w:p>
            <w:pPr>
              <w:spacing w:before="0" w:after="0" w:line="252" w:lineRule="auto"/>
              <w:jc w:val="left"/>
            </w:pPr>
            <w:r>
              <w:rPr>
                <w:rFonts w:ascii="Calibri" w:hAnsi="Calibri" w:eastAsia="Calibri"/>
                <w:b w:val="0"/>
                <w:color w:val="1E2D38"/>
                <w:sz w:val="16"/>
              </w:rPr>
              <w:t>16 / 26 / 32 / 16</w:t>
            </w:r>
          </w:p>
        </w:tc>
        <w:tc>
          <w:tcPr>
            <w:tcW w:type="dxa" w:w="1600"/>
            <w:shd w:fill="FFFFFF"/>
          </w:tcPr>
          <w:p>
            <w:pPr>
              <w:spacing w:before="0" w:after="0" w:line="252" w:lineRule="auto"/>
              <w:jc w:val="center"/>
            </w:pPr>
            <w:r>
              <w:rPr>
                <w:rFonts w:ascii="Calibri" w:hAnsi="Calibri" w:eastAsia="Calibri"/>
                <w:b/>
                <w:color w:val="13A6A6"/>
                <w:sz w:val="16"/>
              </w:rPr>
              <w:t>PASS</w:t>
            </w:r>
          </w:p>
        </w:tc>
      </w:tr>
      <w:tr>
        <w:tc>
          <w:tcPr>
            <w:tcW w:type="dxa" w:w="1700"/>
            <w:shd w:fill="F2F4F7"/>
          </w:tcPr>
          <w:p>
            <w:pPr>
              <w:spacing w:before="0" w:after="0" w:line="252" w:lineRule="auto"/>
              <w:jc w:val="left"/>
            </w:pPr>
            <w:r>
              <w:rPr>
                <w:rFonts w:ascii="Calibri" w:hAnsi="Calibri" w:eastAsia="Calibri"/>
                <w:b w:val="0"/>
                <w:color w:val="1E2D38"/>
                <w:sz w:val="16"/>
              </w:rPr>
              <w:t>Key positions</w:t>
            </w:r>
          </w:p>
        </w:tc>
        <w:tc>
          <w:tcPr>
            <w:tcW w:type="dxa" w:w="2800"/>
            <w:shd w:fill="F2F4F7"/>
          </w:tcPr>
          <w:p>
            <w:pPr>
              <w:spacing w:before="0" w:after="0" w:line="252" w:lineRule="auto"/>
              <w:jc w:val="left"/>
            </w:pPr>
            <w:r>
              <w:rPr>
                <w:rFonts w:ascii="Calibri" w:hAnsi="Calibri" w:eastAsia="Calibri"/>
                <w:b w:val="0"/>
                <w:color w:val="1E2D38"/>
                <w:sz w:val="16"/>
              </w:rPr>
              <w:t>A23 / B23 / C22 / D22</w:t>
            </w:r>
          </w:p>
        </w:tc>
        <w:tc>
          <w:tcPr>
            <w:tcW w:type="dxa" w:w="3260"/>
            <w:shd w:fill="F2F4F7"/>
          </w:tcPr>
          <w:p>
            <w:pPr>
              <w:spacing w:before="0" w:after="0" w:line="252" w:lineRule="auto"/>
              <w:jc w:val="left"/>
            </w:pPr>
            <w:r>
              <w:rPr>
                <w:rFonts w:ascii="Calibri" w:hAnsi="Calibri" w:eastAsia="Calibri"/>
                <w:b w:val="0"/>
                <w:color w:val="1E2D38"/>
                <w:sz w:val="16"/>
              </w:rPr>
              <w:t>23 / 23 / 22 / 22</w:t>
            </w:r>
          </w:p>
        </w:tc>
        <w:tc>
          <w:tcPr>
            <w:tcW w:type="dxa" w:w="1600"/>
            <w:shd w:fill="F2F4F7"/>
          </w:tcPr>
          <w:p>
            <w:pPr>
              <w:spacing w:before="0" w:after="0" w:line="252" w:lineRule="auto"/>
              <w:jc w:val="center"/>
            </w:pPr>
            <w:r>
              <w:rPr>
                <w:rFonts w:ascii="Calibri" w:hAnsi="Calibri" w:eastAsia="Calibri"/>
                <w:b/>
                <w:color w:val="13A6A6"/>
                <w:sz w:val="16"/>
              </w:rPr>
              <w:t>PASS</w:t>
            </w:r>
          </w:p>
        </w:tc>
      </w:tr>
      <w:tr>
        <w:tc>
          <w:tcPr>
            <w:tcW w:type="dxa" w:w="1700"/>
            <w:shd w:fill="FFFFFF"/>
          </w:tcPr>
          <w:p>
            <w:pPr>
              <w:spacing w:before="0" w:after="0" w:line="252" w:lineRule="auto"/>
              <w:jc w:val="left"/>
            </w:pPr>
            <w:r>
              <w:rPr>
                <w:rFonts w:ascii="Calibri" w:hAnsi="Calibri" w:eastAsia="Calibri"/>
                <w:b w:val="0"/>
                <w:color w:val="1E2D38"/>
                <w:sz w:val="16"/>
              </w:rPr>
              <w:t>Traceability</w:t>
            </w:r>
          </w:p>
        </w:tc>
        <w:tc>
          <w:tcPr>
            <w:tcW w:type="dxa" w:w="2800"/>
            <w:shd w:fill="FFFFFF"/>
          </w:tcPr>
          <w:p>
            <w:pPr>
              <w:spacing w:before="0" w:after="0" w:line="252" w:lineRule="auto"/>
              <w:jc w:val="left"/>
            </w:pPr>
            <w:r>
              <w:rPr>
                <w:rFonts w:ascii="Calibri" w:hAnsi="Calibri" w:eastAsia="Calibri"/>
                <w:b w:val="0"/>
                <w:color w:val="1E2D38"/>
                <w:sz w:val="16"/>
              </w:rPr>
              <w:t>82 tasks / 75 knowledge areas</w:t>
            </w:r>
          </w:p>
        </w:tc>
        <w:tc>
          <w:tcPr>
            <w:tcW w:type="dxa" w:w="3260"/>
            <w:shd w:fill="FFFFFF"/>
          </w:tcPr>
          <w:p>
            <w:pPr>
              <w:spacing w:before="0" w:after="0" w:line="252" w:lineRule="auto"/>
              <w:jc w:val="left"/>
            </w:pPr>
            <w:r>
              <w:rPr>
                <w:rFonts w:ascii="Calibri" w:hAnsi="Calibri" w:eastAsia="Calibri"/>
                <w:b w:val="0"/>
                <w:color w:val="1E2D38"/>
                <w:sz w:val="16"/>
              </w:rPr>
              <w:t>All routed by approved blueprint</w:t>
            </w:r>
          </w:p>
        </w:tc>
        <w:tc>
          <w:tcPr>
            <w:tcW w:type="dxa" w:w="1600"/>
            <w:shd w:fill="FFFFFF"/>
          </w:tcPr>
          <w:p>
            <w:pPr>
              <w:spacing w:before="0" w:after="0" w:line="252" w:lineRule="auto"/>
              <w:jc w:val="center"/>
            </w:pPr>
            <w:r>
              <w:rPr>
                <w:rFonts w:ascii="Calibri" w:hAnsi="Calibri" w:eastAsia="Calibri"/>
                <w:b/>
                <w:color w:val="13A6A6"/>
                <w:sz w:val="16"/>
              </w:rPr>
              <w:t>PASS</w:t>
            </w:r>
          </w:p>
        </w:tc>
      </w:tr>
    </w:tbl>
    <w:p>
      <w:pPr>
        <w:pStyle w:val="Heading2"/>
      </w:pPr>
      <w:r>
        <w:t>Remediation Code Profiles</w:t>
      </w:r>
    </w:p>
    <w:tbl>
      <w:tblPr>
        <w:tblW w:type="dxa" w:w="9360"/>
        <w:jc w:val="center"/>
        <w:tblLayout w:type="fixed"/>
        <w:tblLook w:firstColumn="1" w:firstRow="1" w:lastColumn="0" w:lastRow="0" w:noHBand="0" w:noVBand="1" w:val="04A0"/>
        <w:tblInd w:w="0" w:type="dxa"/>
      </w:tblPr>
      <w:tblGrid>
        <w:gridCol w:w="1100"/>
        <w:gridCol w:w="3550"/>
        <w:gridCol w:w="4710"/>
      </w:tblGrid>
      <w:tr>
        <w:trPr>
          <w:cantSplit/>
          <w:tblHeader w:val="true"/>
        </w:trPr>
        <w:tc>
          <w:tcPr>
            <w:tcW w:type="dxa" w:w="11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Code</w:t>
            </w:r>
          </w:p>
        </w:tc>
        <w:tc>
          <w:tcPr>
            <w:tcW w:type="dxa" w:w="355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Reasoning defect</w:t>
            </w:r>
          </w:p>
        </w:tc>
        <w:tc>
          <w:tcPr>
            <w:tcW w:type="dxa" w:w="471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Required repair</w:t>
            </w:r>
          </w:p>
        </w:tc>
      </w:tr>
      <w:tr>
        <w:tc>
          <w:tcPr>
            <w:tcW w:type="dxa" w:w="1100"/>
            <w:shd w:fill="E7F5F4"/>
          </w:tcPr>
          <w:p>
            <w:pPr>
              <w:spacing w:before="0" w:after="0" w:line="252" w:lineRule="auto"/>
              <w:jc w:val="center"/>
            </w:pPr>
            <w:r>
              <w:rPr>
                <w:rFonts w:ascii="Calibri" w:hAnsi="Calibri" w:eastAsia="Calibri"/>
                <w:b/>
                <w:color w:val="12385B"/>
                <w:sz w:val="16"/>
              </w:rPr>
              <w:t>TASK</w:t>
            </w:r>
          </w:p>
        </w:tc>
        <w:tc>
          <w:tcPr>
            <w:tcW w:type="dxa" w:w="3550"/>
          </w:tcPr>
          <w:p>
            <w:pPr>
              <w:spacing w:before="0" w:after="0" w:line="252" w:lineRule="auto"/>
              <w:jc w:val="left"/>
            </w:pPr>
            <w:r>
              <w:rPr>
                <w:rFonts w:ascii="Calibri" w:hAnsi="Calibri" w:eastAsia="Calibri"/>
                <w:b w:val="0"/>
                <w:color w:val="1E2D38"/>
                <w:sz w:val="16"/>
              </w:rPr>
              <w:t>Misread the task or decision qualifier</w:t>
            </w:r>
          </w:p>
        </w:tc>
        <w:tc>
          <w:tcPr>
            <w:tcW w:type="dxa" w:w="4710"/>
          </w:tcPr>
          <w:p>
            <w:pPr>
              <w:spacing w:before="0" w:after="0" w:line="252" w:lineRule="auto"/>
              <w:jc w:val="left"/>
            </w:pPr>
            <w:r>
              <w:rPr>
                <w:rFonts w:ascii="Calibri" w:hAnsi="Calibri" w:eastAsia="Calibri"/>
                <w:b w:val="0"/>
                <w:color w:val="1E2D38"/>
                <w:sz w:val="16"/>
              </w:rPr>
              <w:t>Underline the qualifier, state the present decision point in one sentence, and reject options that answer a later or different question.</w:t>
            </w:r>
          </w:p>
        </w:tc>
      </w:tr>
      <w:tr>
        <w:tc>
          <w:tcPr>
            <w:tcW w:type="dxa" w:w="1100"/>
            <w:shd w:fill="E7F5F4"/>
          </w:tcPr>
          <w:p>
            <w:pPr>
              <w:spacing w:before="0" w:after="0" w:line="252" w:lineRule="auto"/>
              <w:jc w:val="center"/>
            </w:pPr>
            <w:r>
              <w:rPr>
                <w:rFonts w:ascii="Calibri" w:hAnsi="Calibri" w:eastAsia="Calibri"/>
                <w:b/>
                <w:color w:val="12385B"/>
                <w:sz w:val="16"/>
              </w:rPr>
              <w:t>STAGE</w:t>
            </w:r>
          </w:p>
        </w:tc>
        <w:tc>
          <w:tcPr>
            <w:tcW w:type="dxa" w:w="3550"/>
          </w:tcPr>
          <w:p>
            <w:pPr>
              <w:spacing w:before="0" w:after="0" w:line="252" w:lineRule="auto"/>
              <w:jc w:val="left"/>
            </w:pPr>
            <w:r>
              <w:rPr>
                <w:rFonts w:ascii="Calibri" w:hAnsi="Calibri" w:eastAsia="Calibri"/>
                <w:b w:val="0"/>
                <w:color w:val="1E2D38"/>
                <w:sz w:val="16"/>
              </w:rPr>
              <w:t>Acted at the wrong stage of care</w:t>
            </w:r>
          </w:p>
        </w:tc>
        <w:tc>
          <w:tcPr>
            <w:tcW w:type="dxa" w:w="4710"/>
          </w:tcPr>
          <w:p>
            <w:pPr>
              <w:spacing w:before="0" w:after="0" w:line="252" w:lineRule="auto"/>
              <w:jc w:val="left"/>
            </w:pPr>
            <w:r>
              <w:rPr>
                <w:rFonts w:ascii="Calibri" w:hAnsi="Calibri" w:eastAsia="Calibri"/>
                <w:b w:val="0"/>
                <w:color w:val="1E2D38"/>
                <w:sz w:val="16"/>
              </w:rPr>
              <w:t>Stabilize and clarify roles first; coordinate the next level or system response before returning to routine treatment.</w:t>
            </w:r>
          </w:p>
        </w:tc>
      </w:tr>
      <w:tr>
        <w:tc>
          <w:tcPr>
            <w:tcW w:type="dxa" w:w="1100"/>
            <w:shd w:fill="E7F5F4"/>
          </w:tcPr>
          <w:p>
            <w:pPr>
              <w:spacing w:before="0" w:after="0" w:line="252" w:lineRule="auto"/>
              <w:jc w:val="center"/>
            </w:pPr>
            <w:r>
              <w:rPr>
                <w:rFonts w:ascii="Calibri" w:hAnsi="Calibri" w:eastAsia="Calibri"/>
                <w:b/>
                <w:color w:val="12385B"/>
                <w:sz w:val="16"/>
              </w:rPr>
              <w:t>SYSTEM</w:t>
            </w:r>
          </w:p>
        </w:tc>
        <w:tc>
          <w:tcPr>
            <w:tcW w:type="dxa" w:w="3550"/>
          </w:tcPr>
          <w:p>
            <w:pPr>
              <w:spacing w:before="0" w:after="0" w:line="252" w:lineRule="auto"/>
              <w:jc w:val="left"/>
            </w:pPr>
            <w:r>
              <w:rPr>
                <w:rFonts w:ascii="Calibri" w:hAnsi="Calibri" w:eastAsia="Calibri"/>
                <w:b w:val="0"/>
                <w:color w:val="1E2D38"/>
                <w:sz w:val="16"/>
              </w:rPr>
              <w:t>Used linear rather than reciprocal reasoning</w:t>
            </w:r>
          </w:p>
        </w:tc>
        <w:tc>
          <w:tcPr>
            <w:tcW w:type="dxa" w:w="4710"/>
          </w:tcPr>
          <w:p>
            <w:pPr>
              <w:spacing w:before="0" w:after="0" w:line="252" w:lineRule="auto"/>
              <w:jc w:val="left"/>
            </w:pPr>
            <w:r>
              <w:rPr>
                <w:rFonts w:ascii="Calibri" w:hAnsi="Calibri" w:eastAsia="Calibri"/>
                <w:b w:val="0"/>
                <w:color w:val="1E2D38"/>
                <w:sz w:val="16"/>
              </w:rPr>
              <w:t>Map the symptom, reciprocal sequence, beliefs, context, strengths, and attempted solutions before choosing a systemic intervention.</w:t>
            </w:r>
          </w:p>
        </w:tc>
      </w:tr>
      <w:tr>
        <w:tc>
          <w:tcPr>
            <w:tcW w:type="dxa" w:w="1100"/>
            <w:shd w:fill="E7F5F4"/>
          </w:tcPr>
          <w:p>
            <w:pPr>
              <w:spacing w:before="0" w:after="0" w:line="252" w:lineRule="auto"/>
              <w:jc w:val="center"/>
            </w:pPr>
            <w:r>
              <w:rPr>
                <w:rFonts w:ascii="Calibri" w:hAnsi="Calibri" w:eastAsia="Calibri"/>
                <w:b/>
                <w:color w:val="12385B"/>
                <w:sz w:val="16"/>
              </w:rPr>
              <w:t>ASSESS</w:t>
            </w:r>
          </w:p>
        </w:tc>
        <w:tc>
          <w:tcPr>
            <w:tcW w:type="dxa" w:w="3550"/>
          </w:tcPr>
          <w:p>
            <w:pPr>
              <w:spacing w:before="0" w:after="0" w:line="252" w:lineRule="auto"/>
              <w:jc w:val="left"/>
            </w:pPr>
            <w:r>
              <w:rPr>
                <w:rFonts w:ascii="Calibri" w:hAnsi="Calibri" w:eastAsia="Calibri"/>
                <w:b w:val="0"/>
                <w:color w:val="1E2D38"/>
                <w:sz w:val="16"/>
              </w:rPr>
              <w:t>Reached a conclusion before integrating assessment data</w:t>
            </w:r>
          </w:p>
        </w:tc>
        <w:tc>
          <w:tcPr>
            <w:tcW w:type="dxa" w:w="4710"/>
          </w:tcPr>
          <w:p>
            <w:pPr>
              <w:spacing w:before="0" w:after="0" w:line="252" w:lineRule="auto"/>
              <w:jc w:val="left"/>
            </w:pPr>
            <w:r>
              <w:rPr>
                <w:rFonts w:ascii="Calibri" w:hAnsi="Calibri" w:eastAsia="Calibri"/>
                <w:b w:val="0"/>
                <w:color w:val="1E2D38"/>
                <w:sz w:val="16"/>
              </w:rPr>
              <w:t>Integrate interview, observation, history, valid measures, functioning, context, strengths, and collateral data before concluding.</w:t>
            </w:r>
          </w:p>
        </w:tc>
      </w:tr>
      <w:tr>
        <w:tc>
          <w:tcPr>
            <w:tcW w:type="dxa" w:w="1100"/>
            <w:shd w:fill="E7F5F4"/>
          </w:tcPr>
          <w:p>
            <w:pPr>
              <w:spacing w:before="0" w:after="0" w:line="252" w:lineRule="auto"/>
              <w:jc w:val="center"/>
            </w:pPr>
            <w:r>
              <w:rPr>
                <w:rFonts w:ascii="Calibri" w:hAnsi="Calibri" w:eastAsia="Calibri"/>
                <w:b/>
                <w:color w:val="12385B"/>
                <w:sz w:val="16"/>
              </w:rPr>
              <w:t>SAFETY</w:t>
            </w:r>
          </w:p>
        </w:tc>
        <w:tc>
          <w:tcPr>
            <w:tcW w:type="dxa" w:w="3550"/>
          </w:tcPr>
          <w:p>
            <w:pPr>
              <w:spacing w:before="0" w:after="0" w:line="252" w:lineRule="auto"/>
              <w:jc w:val="left"/>
            </w:pPr>
            <w:r>
              <w:rPr>
                <w:rFonts w:ascii="Calibri" w:hAnsi="Calibri" w:eastAsia="Calibri"/>
                <w:b w:val="0"/>
                <w:color w:val="1E2D38"/>
                <w:sz w:val="16"/>
              </w:rPr>
              <w:t>Underprioritized immediate safety or level of care</w:t>
            </w:r>
          </w:p>
        </w:tc>
        <w:tc>
          <w:tcPr>
            <w:tcW w:type="dxa" w:w="4710"/>
          </w:tcPr>
          <w:p>
            <w:pPr>
              <w:spacing w:before="0" w:after="0" w:line="252" w:lineRule="auto"/>
              <w:jc w:val="left"/>
            </w:pPr>
            <w:r>
              <w:rPr>
                <w:rFonts w:ascii="Calibri" w:hAnsi="Calibri" w:eastAsia="Calibri"/>
                <w:b w:val="0"/>
                <w:color w:val="1E2D38"/>
                <w:sz w:val="16"/>
              </w:rPr>
              <w:t>When supported danger or medical urgency appears, assess directly and select the indicated protection or level of care before routine technique.</w:t>
            </w:r>
          </w:p>
        </w:tc>
      </w:tr>
      <w:tr>
        <w:tc>
          <w:tcPr>
            <w:tcW w:type="dxa" w:w="1100"/>
            <w:shd w:fill="E7F5F4"/>
          </w:tcPr>
          <w:p>
            <w:pPr>
              <w:spacing w:before="0" w:after="0" w:line="252" w:lineRule="auto"/>
              <w:jc w:val="center"/>
            </w:pPr>
            <w:r>
              <w:rPr>
                <w:rFonts w:ascii="Calibri" w:hAnsi="Calibri" w:eastAsia="Calibri"/>
                <w:b/>
                <w:color w:val="12385B"/>
                <w:sz w:val="16"/>
              </w:rPr>
              <w:t>SCOPE</w:t>
            </w:r>
          </w:p>
        </w:tc>
        <w:tc>
          <w:tcPr>
            <w:tcW w:type="dxa" w:w="3550"/>
          </w:tcPr>
          <w:p>
            <w:pPr>
              <w:spacing w:before="0" w:after="0" w:line="252" w:lineRule="auto"/>
              <w:jc w:val="left"/>
            </w:pPr>
            <w:r>
              <w:rPr>
                <w:rFonts w:ascii="Calibri" w:hAnsi="Calibri" w:eastAsia="Calibri"/>
                <w:b w:val="0"/>
                <w:color w:val="1E2D38"/>
                <w:sz w:val="16"/>
              </w:rPr>
              <w:t>Exceeded or failed to verify competence, role, or authority</w:t>
            </w:r>
          </w:p>
        </w:tc>
        <w:tc>
          <w:tcPr>
            <w:tcW w:type="dxa" w:w="4710"/>
          </w:tcPr>
          <w:p>
            <w:pPr>
              <w:spacing w:before="0" w:after="0" w:line="252" w:lineRule="auto"/>
              <w:jc w:val="left"/>
            </w:pPr>
            <w:r>
              <w:rPr>
                <w:rFonts w:ascii="Calibri" w:hAnsi="Calibri" w:eastAsia="Calibri"/>
                <w:b w:val="0"/>
                <w:color w:val="1E2D38"/>
                <w:sz w:val="16"/>
              </w:rPr>
              <w:t>Verify competence, role, jurisdiction, and governing authority; consult, limit, train, or refer before exceeding a defensible boundary.</w:t>
            </w:r>
          </w:p>
        </w:tc>
      </w:tr>
      <w:tr>
        <w:tc>
          <w:tcPr>
            <w:tcW w:type="dxa" w:w="1100"/>
            <w:shd w:fill="E7F5F4"/>
          </w:tcPr>
          <w:p>
            <w:pPr>
              <w:spacing w:before="0" w:after="0" w:line="252" w:lineRule="auto"/>
              <w:jc w:val="center"/>
            </w:pPr>
            <w:r>
              <w:rPr>
                <w:rFonts w:ascii="Calibri" w:hAnsi="Calibri" w:eastAsia="Calibri"/>
                <w:b/>
                <w:color w:val="12385B"/>
                <w:sz w:val="16"/>
              </w:rPr>
              <w:t>CONTEXT</w:t>
            </w:r>
          </w:p>
        </w:tc>
        <w:tc>
          <w:tcPr>
            <w:tcW w:type="dxa" w:w="3550"/>
          </w:tcPr>
          <w:p>
            <w:pPr>
              <w:spacing w:before="0" w:after="0" w:line="252" w:lineRule="auto"/>
              <w:jc w:val="left"/>
            </w:pPr>
            <w:r>
              <w:rPr>
                <w:rFonts w:ascii="Calibri" w:hAnsi="Calibri" w:eastAsia="Calibri"/>
                <w:b w:val="0"/>
                <w:color w:val="1E2D38"/>
                <w:sz w:val="16"/>
              </w:rPr>
              <w:t>Underweighted culture, power, access, identity, or autonomy</w:t>
            </w:r>
          </w:p>
        </w:tc>
        <w:tc>
          <w:tcPr>
            <w:tcW w:type="dxa" w:w="4710"/>
          </w:tcPr>
          <w:p>
            <w:pPr>
              <w:spacing w:before="0" w:after="0" w:line="252" w:lineRule="auto"/>
              <w:jc w:val="left"/>
            </w:pPr>
            <w:r>
              <w:rPr>
                <w:rFonts w:ascii="Calibri" w:hAnsi="Calibri" w:eastAsia="Calibri"/>
                <w:b w:val="0"/>
                <w:color w:val="1E2D38"/>
                <w:sz w:val="16"/>
              </w:rPr>
              <w:t>Ask how identity, power, access, culture, structural conditions, and client meaning change both the formulation and the feasible response.</w:t>
            </w:r>
          </w:p>
        </w:tc>
      </w:tr>
      <w:tr>
        <w:tc>
          <w:tcPr>
            <w:tcW w:type="dxa" w:w="1100"/>
            <w:shd w:fill="E7F5F4"/>
          </w:tcPr>
          <w:p>
            <w:pPr>
              <w:spacing w:before="0" w:after="0" w:line="252" w:lineRule="auto"/>
              <w:jc w:val="center"/>
            </w:pPr>
            <w:r>
              <w:rPr>
                <w:rFonts w:ascii="Calibri" w:hAnsi="Calibri" w:eastAsia="Calibri"/>
                <w:b/>
                <w:color w:val="12385B"/>
                <w:sz w:val="16"/>
              </w:rPr>
              <w:t>PLAN</w:t>
            </w:r>
          </w:p>
        </w:tc>
        <w:tc>
          <w:tcPr>
            <w:tcW w:type="dxa" w:w="3550"/>
          </w:tcPr>
          <w:p>
            <w:pPr>
              <w:spacing w:before="0" w:after="0" w:line="252" w:lineRule="auto"/>
              <w:jc w:val="left"/>
            </w:pPr>
            <w:r>
              <w:rPr>
                <w:rFonts w:ascii="Calibri" w:hAnsi="Calibri" w:eastAsia="Calibri"/>
                <w:b w:val="0"/>
                <w:color w:val="1E2D38"/>
                <w:sz w:val="16"/>
              </w:rPr>
              <w:t>Selected action without collaborative goals, sequence, or fit</w:t>
            </w:r>
          </w:p>
        </w:tc>
        <w:tc>
          <w:tcPr>
            <w:tcW w:type="dxa" w:w="4710"/>
          </w:tcPr>
          <w:p>
            <w:pPr>
              <w:spacing w:before="0" w:after="0" w:line="252" w:lineRule="auto"/>
              <w:jc w:val="left"/>
            </w:pPr>
            <w:r>
              <w:rPr>
                <w:rFonts w:ascii="Calibri" w:hAnsi="Calibri" w:eastAsia="Calibri"/>
                <w:b w:val="0"/>
                <w:color w:val="1E2D38"/>
                <w:sz w:val="16"/>
              </w:rPr>
              <w:t>Connect every intervention to a shared goal, systemic hypothesis, change mechanism, treatment unit, sequence, and observable outcome.</w:t>
            </w:r>
          </w:p>
        </w:tc>
      </w:tr>
      <w:tr>
        <w:tc>
          <w:tcPr>
            <w:tcW w:type="dxa" w:w="1100"/>
            <w:shd w:fill="E7F5F4"/>
          </w:tcPr>
          <w:p>
            <w:pPr>
              <w:spacing w:before="0" w:after="0" w:line="252" w:lineRule="auto"/>
              <w:jc w:val="center"/>
            </w:pPr>
            <w:r>
              <w:rPr>
                <w:rFonts w:ascii="Calibri" w:hAnsi="Calibri" w:eastAsia="Calibri"/>
                <w:b/>
                <w:color w:val="12385B"/>
                <w:sz w:val="16"/>
              </w:rPr>
              <w:t>EVAL</w:t>
            </w:r>
          </w:p>
        </w:tc>
        <w:tc>
          <w:tcPr>
            <w:tcW w:type="dxa" w:w="3550"/>
          </w:tcPr>
          <w:p>
            <w:pPr>
              <w:spacing w:before="0" w:after="0" w:line="252" w:lineRule="auto"/>
              <w:jc w:val="left"/>
            </w:pPr>
            <w:r>
              <w:rPr>
                <w:rFonts w:ascii="Calibri" w:hAnsi="Calibri" w:eastAsia="Calibri"/>
                <w:b w:val="0"/>
                <w:color w:val="1E2D38"/>
                <w:sz w:val="16"/>
              </w:rPr>
              <w:t>Relied on one outcome signal or skipped collaborative review</w:t>
            </w:r>
          </w:p>
        </w:tc>
        <w:tc>
          <w:tcPr>
            <w:tcW w:type="dxa" w:w="4710"/>
          </w:tcPr>
          <w:p>
            <w:pPr>
              <w:spacing w:before="0" w:after="0" w:line="252" w:lineRule="auto"/>
              <w:jc w:val="left"/>
            </w:pPr>
            <w:r>
              <w:rPr>
                <w:rFonts w:ascii="Calibri" w:hAnsi="Calibri" w:eastAsia="Calibri"/>
                <w:b w:val="0"/>
                <w:color w:val="1E2D38"/>
                <w:sz w:val="16"/>
              </w:rPr>
              <w:t>Review outcome, alliance, implementation, barriers, unintended effects, and client meaning together before continuing, adapting, or ending.</w:t>
            </w:r>
          </w:p>
        </w:tc>
      </w:tr>
      <w:tr>
        <w:tc>
          <w:tcPr>
            <w:tcW w:type="dxa" w:w="1100"/>
            <w:shd w:fill="E7F5F4"/>
          </w:tcPr>
          <w:p>
            <w:pPr>
              <w:spacing w:before="0" w:after="0" w:line="252" w:lineRule="auto"/>
              <w:jc w:val="center"/>
            </w:pPr>
            <w:r>
              <w:rPr>
                <w:rFonts w:ascii="Calibri" w:hAnsi="Calibri" w:eastAsia="Calibri"/>
                <w:b/>
                <w:color w:val="12385B"/>
                <w:sz w:val="16"/>
              </w:rPr>
              <w:t>ETHICS</w:t>
            </w:r>
          </w:p>
        </w:tc>
        <w:tc>
          <w:tcPr>
            <w:tcW w:type="dxa" w:w="3550"/>
          </w:tcPr>
          <w:p>
            <w:pPr>
              <w:spacing w:before="0" w:after="0" w:line="252" w:lineRule="auto"/>
              <w:jc w:val="left"/>
            </w:pPr>
            <w:r>
              <w:rPr>
                <w:rFonts w:ascii="Calibri" w:hAnsi="Calibri" w:eastAsia="Calibri"/>
                <w:b w:val="0"/>
                <w:color w:val="1E2D38"/>
                <w:sz w:val="16"/>
              </w:rPr>
              <w:t>Confused law, ethics, policy, rights, or documentation duties</w:t>
            </w:r>
          </w:p>
        </w:tc>
        <w:tc>
          <w:tcPr>
            <w:tcW w:type="dxa" w:w="4710"/>
          </w:tcPr>
          <w:p>
            <w:pPr>
              <w:spacing w:before="0" w:after="0" w:line="252" w:lineRule="auto"/>
              <w:jc w:val="left"/>
            </w:pPr>
            <w:r>
              <w:rPr>
                <w:rFonts w:ascii="Calibri" w:hAnsi="Calibri" w:eastAsia="Calibri"/>
                <w:b w:val="0"/>
                <w:color w:val="1E2D38"/>
                <w:sz w:val="16"/>
              </w:rPr>
              <w:t>Separate law, regulation, ethics, policy, contract, and client rights; verify current authority, act proportionately, and document the reasoning.</w:t>
            </w:r>
          </w:p>
        </w:tc>
      </w:tr>
      <w:tr>
        <w:tc>
          <w:tcPr>
            <w:tcW w:type="dxa" w:w="1100"/>
            <w:shd w:fill="E7F5F4"/>
          </w:tcPr>
          <w:p>
            <w:pPr>
              <w:spacing w:before="0" w:after="0" w:line="252" w:lineRule="auto"/>
              <w:jc w:val="center"/>
            </w:pPr>
            <w:r>
              <w:rPr>
                <w:rFonts w:ascii="Calibri" w:hAnsi="Calibri" w:eastAsia="Calibri"/>
                <w:b/>
                <w:color w:val="12385B"/>
                <w:sz w:val="16"/>
              </w:rPr>
              <w:t>OVER</w:t>
            </w:r>
          </w:p>
        </w:tc>
        <w:tc>
          <w:tcPr>
            <w:tcW w:type="dxa" w:w="3550"/>
          </w:tcPr>
          <w:p>
            <w:pPr>
              <w:spacing w:before="0" w:after="0" w:line="252" w:lineRule="auto"/>
              <w:jc w:val="left"/>
            </w:pPr>
            <w:r>
              <w:rPr>
                <w:rFonts w:ascii="Calibri" w:hAnsi="Calibri" w:eastAsia="Calibri"/>
                <w:b w:val="0"/>
                <w:color w:val="1E2D38"/>
                <w:sz w:val="16"/>
              </w:rPr>
              <w:t>Overreacted, overgeneralized, or chose an unsupported restriction</w:t>
            </w:r>
          </w:p>
        </w:tc>
        <w:tc>
          <w:tcPr>
            <w:tcW w:type="dxa" w:w="4710"/>
          </w:tcPr>
          <w:p>
            <w:pPr>
              <w:spacing w:before="0" w:after="0" w:line="252" w:lineRule="auto"/>
              <w:jc w:val="left"/>
            </w:pPr>
            <w:r>
              <w:rPr>
                <w:rFonts w:ascii="Calibri" w:hAnsi="Calibri" w:eastAsia="Calibri"/>
                <w:b w:val="0"/>
                <w:color w:val="1E2D38"/>
                <w:sz w:val="16"/>
              </w:rPr>
              <w:t>Do not use automatic, universal, coercive, or maximum-restriction responses unless the facts and governing authority specifically support them.</w:t>
            </w:r>
          </w:p>
        </w:tc>
      </w:tr>
      <w:tr>
        <w:tc>
          <w:tcPr>
            <w:tcW w:type="dxa" w:w="1100"/>
            <w:shd w:fill="E7F5F4"/>
          </w:tcPr>
          <w:p>
            <w:pPr>
              <w:spacing w:before="0" w:after="0" w:line="252" w:lineRule="auto"/>
              <w:jc w:val="center"/>
            </w:pPr>
            <w:r>
              <w:rPr>
                <w:rFonts w:ascii="Calibri" w:hAnsi="Calibri" w:eastAsia="Calibri"/>
                <w:b/>
                <w:color w:val="12385B"/>
                <w:sz w:val="16"/>
              </w:rPr>
              <w:t>UNDER</w:t>
            </w:r>
          </w:p>
        </w:tc>
        <w:tc>
          <w:tcPr>
            <w:tcW w:type="dxa" w:w="3550"/>
          </w:tcPr>
          <w:p>
            <w:pPr>
              <w:spacing w:before="0" w:after="0" w:line="252" w:lineRule="auto"/>
              <w:jc w:val="left"/>
            </w:pPr>
            <w:r>
              <w:rPr>
                <w:rFonts w:ascii="Calibri" w:hAnsi="Calibri" w:eastAsia="Calibri"/>
                <w:b w:val="0"/>
                <w:color w:val="1E2D38"/>
                <w:sz w:val="16"/>
              </w:rPr>
              <w:t>Delayed, minimized, or chose an incomplete response</w:t>
            </w:r>
          </w:p>
        </w:tc>
        <w:tc>
          <w:tcPr>
            <w:tcW w:type="dxa" w:w="4710"/>
          </w:tcPr>
          <w:p>
            <w:pPr>
              <w:spacing w:before="0" w:after="0" w:line="252" w:lineRule="auto"/>
              <w:jc w:val="left"/>
            </w:pPr>
            <w:r>
              <w:rPr>
                <w:rFonts w:ascii="Calibri" w:hAnsi="Calibri" w:eastAsia="Calibri"/>
                <w:b w:val="0"/>
                <w:color w:val="1E2D38"/>
                <w:sz w:val="16"/>
              </w:rPr>
              <w:t>Do not delay, minimize, or rely on reassurance when the vignette already supports direct assessment, clarification, or protective action.</w:t>
            </w:r>
          </w:p>
        </w:tc>
      </w:tr>
    </w:tbl>
    <w:p>
      <w:pPr>
        <w:pStyle w:val="Heading1"/>
        <w:pageBreakBefore/>
      </w:pPr>
      <w:r>
        <w:t>Item 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therapist wants to use an AI tool to summarize intake data for clients who may be located in several jurisdictions.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Identify the governing jurisdictions and applicable requirements, evaluate the tool and the therapist's competence, and resolve consent, privacy, and human-review controls before use.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Use the tool only for clients who sign the practice's existing general technology acknowledgment, because a signature transfers responsibility to the client.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Ask the vendor whether the tool is lawful in every jurisdiction and rely on the vendor's answer as the practice's legal and clinical review.</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Begin with low-risk cases and address jurisdiction, consent, and accuracy only if the summaries create a visible clinical problem.</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FIRST qualifier and the approved focus of legal competence across modalities and ai use. It preserves competence, role, authority, consultation, training, and referral limits. The competing choices show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legal competence across modalities and ai use at the FIRST decision point. Its sequence incorporates competence, role, authority, consultation, training, and referral limits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legal competence across modalities and ai use and omits competence, role, authority, consultation, training, and referral limits.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legal competence across modalities and ai use and omits competence, role, authority, consultation, training, and referral limits.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legal competence across modalities and ai use and omits competence, role, authority, consultation, training, and referral limits.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legal competence across modalities and ai use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KA58, KA73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w:t>
            </w:r>
          </w:p>
        </w:tc>
      </w:tr>
    </w:tbl>
    <w:p>
      <w:pPr>
        <w:pStyle w:val="Heading1"/>
        <w:pageBreakBefore/>
      </w:pPr>
      <w:r>
        <w:t>Item 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During a conjoint session, a client becomes disoriented, cannot state where they are, and reports a recent sexual assault. Which response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Invite the partner to describe the assault in detail so the therapist can compare both accounts before changing the session plan.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Pause routine therapy, assess immediate safety and medical needs, stabilize the client, and arrange the level of emergency or specialized care indicated.</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Complete the planned trauma-processing exercise because disorientation is expected when difficult memories are discussed.</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End the session and schedule an individual appointment after the client has independently obtained medical clearance.</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BEST qualifier and the approved focus of crisis impairment and immediate intervention. It preserves direct danger or medical assessment, immediacy, means, protection, and level of care. The competing choices show safety,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crisis impairment and immediate intervention and omits direct danger or medical assessment, immediacy, means, protection, and level of care.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crisis impairment and immediate intervention at the BEST decision point. Its sequence incorporates direct danger or medical assessment, immediacy, means, protection, and level of care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crisis impairment and immediate intervention and omits direct danger or medical assessment, immediacy, means, protection, and level of care.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crisis impairment and immediate intervention and omits direct danger or medical assessment, immediacy, means, protection, and level of care.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crisis impairment and immediate intervention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KA21, KA52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UNDER</w:t>
            </w:r>
          </w:p>
        </w:tc>
      </w:tr>
    </w:tbl>
    <w:p>
      <w:pPr>
        <w:pStyle w:val="Heading1"/>
        <w:pageBreakBefore/>
      </w:pPr>
      <w:r>
        <w:t>Item 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In the third family session, one parent says therapy is pointless while the adolescent becomes silent and the other parent answers for everyone. Which intervention is MOST likely to strengthen the alliance?</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Explain that resistance is a predictable stage of family treatment and continue the planned intervention without discussing the tension.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the more cooperative parent to persuade the others to participate so the therapist can preserve the treatment plan.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Name the strain in the room, invite each person's view of therapy and its risks, and renegotiate how each member can participate safely.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Meet only with the adolescent until the therapist has established which parent is causing the family's lack of engagement.</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MOST qualifier and the approved focus of alliance quality and maintenance. It preserves collaborative goals, alliance, sequencing, treatment-unit fit, and completion criteria. The competing choices show plan,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alliance quality and maintenance and omits collaborative goals, alliance, sequencing, treatment-unit fit, and completion criteria.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alliance quality and maintenance and omits collaborative goals, alliance, sequencing, treatment-unit fit, and completion criteria.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alliance quality and maintenance at the MOST decision point. Its sequence incorporates collaborative goals, alliance, sequencing, treatment-unit fit, and completion criteria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alliance quality and maintenance and omits collaborative goals, alliance, sequencing, treatment-unit fit, and completion criteria.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alliance quality and maintenance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recently resettled family reports escalating conflict after an older child begins translating for the parents. The child avoids eye contact, and a school note labels the child oppositional. Which assessment approach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Treat eye-contact avoidance and refusal to translate as evidence of an oppositional pattern that should be assessed separately from migration stress.</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the child to continue translating during assessment because this preserves the family's established hierarchy and reduces outside influence.</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Focus on the parents' discipline practices because the child's school behavior is most likely maintained by inconsistent consequences at home.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Use qualified language support and explore migration, developmental roles, school context, nonverbal meaning, and reciprocal family responses before forming a hypothesis.</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BEST qualifier and the approved focus of verbal/nonverbal communication and reciprocal patterns. It preserves integrated, provisional assessment using multiple valid data sources and context. The competing choices show assess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verbal/nonverbal communication and reciprocal patterns and omits integrated, provisional assessment using multiple valid data sources and context.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verbal/nonverbal communication and reciprocal patterns and omits integrated, provisional assessment using multiple valid data sources and context.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verbal/nonverbal communication and reciprocal patterns and omits integrated, provisional assessment using multiple valid data sources and context.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verbal/nonverbal communication and reciprocal patterns at the BEST decision point. Its sequence incorporates integrated, provisional assessment using multiple valid data sources and context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verbal/nonverbal communication and reciprocal patterns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KA14, KA33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r>
    </w:tbl>
    <w:p>
      <w:pPr>
        <w:pStyle w:val="Heading1"/>
        <w:pageBreakBefore/>
      </w:pPr>
      <w:r>
        <w:t>Item 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couple's weekly outcome scores have worsened for a month, yet both partners say a new evening ritual feels helpful. Attendance has also become inconsistent. Which evaluation strategy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Review the score trend, alliance, attendance, implementation, and the couple's experience together; clarify what the ritual changes and revise the plan collaboratively.</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Continue the ritual unchanged because client preference is more clinically valid than standardized outcome information.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Discontinue the ritual because worsening scores establish that the intervention is ineffective regardless of other data.</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Wait another month before discussing the discrepancy so short-term variability does not affect the couple's confidence.</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BEST qualifier and the approved focus of theory and research in process/outcome evaluation. It preserves outcomes, alliance, implementation, barriers, client feedback, and plan revision. The competing choices show eval, over,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theory and research in process/outcome evaluation at the BEST decision point. Its sequence incorporates outcomes, alliance, implementation, barriers, client feedback, and plan revision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theory and research in process/outcome evaluation and omits outcomes, alliance, implementation, barriers, client feedback, and plan revision.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theory and research in process/outcome evaluation and omits outcomes, alliance, implementation, barriers, client feedback, and plan revision.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theory and research in process/outcome evaluation and omits outcomes, alliance, implementation, barriers, client feedback, and plan revision.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theory and research in process/outcome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 OVER, UNDER</w:t>
            </w:r>
          </w:p>
        </w:tc>
      </w:tr>
    </w:tbl>
    <w:p>
      <w:pPr>
        <w:pStyle w:val="Heading1"/>
        <w:pageBreakBefore/>
      </w:pPr>
      <w:r>
        <w:t>Item 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After identifying an individual's symptom and the family sequence that reliably follows it, what is the therapist's NEXT systemic conceptualization task?</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Select the diagnosis that best assigns responsibility for the sequence to the symptomatic family member.</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Develop a provisional account of how reciprocal responses, beliefs, context, and attempted solutions may maintain the pattern.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Choose a technique from the therapist's preferred model before exploring the sequence with the family.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Determine which family member's version of the sequence is most factually accurate and use it as the treatment narrative.</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NEXT qualifier and the approved focus of systemic conceptualization. It preserves reciprocal patterns, attempted solutions, roles, and contextual meaning. The competing choices show system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systemic conceptualization and omits reciprocal patterns, attempted solutions, roles, and contextual meaning.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systemic conceptualization at the NEXT decision point. Its sequence incorporates reciprocal patterns, attempted solutions, roles, and contextual meaning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systemic conceptualization and omits reciprocal patterns, attempted solutions, roles, and contextual meaning.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systemic conceptualization and omits reciprocal patterns, attempted solutions, roles, and contextual meaning.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systemic conceptualization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jurisdiction permits a clinical use of AI, an employer policy allows it with manager approval, and a professional ethics code requires protections that are more stringent than both.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Follow the employer policy because an organizational rule replaces voluntary professional standards during paid work.</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Follow the least restrictive requirement because the jurisdiction has already determined the use is legally acceptable.</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Map all applicable duties, meet the higher applicable standard when the requirements do not conflict, and seek consultation if the obligations cannot be reconciled.</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Avoid documenting the conflict because describing uncertainty may create discoverable evidence of an ethical concern.</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NEXT qualifier and the approved focus of policy-law-ethics conflict and higher standard. It preserves current governing authority, client rights, informed agreement, minimum necessary action, and documentation. The competing choices show ethics,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policy-law-ethics conflict and higher standard and omits current governing authority, client rights, informed agreement, minimum necessary action, and documentation.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policy-law-ethics conflict and higher standard and omits current governing authority, client rights, informed agreement, minimum necessary action, and documentation.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policy-law-ethics conflict and higher standard at the NEXT decision point. Its sequence incorporates current governing authority, client rights, informed agreement, minimum necessary action, and documentation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policy-law-ethics conflict and higher standard and omits current governing authority, client rights, informed agreement, minimum necessary action, and documentation.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policy-law-ethics conflict and higher standard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KA59, KA74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PLAN</w:t>
            </w:r>
          </w:p>
        </w:tc>
      </w:tr>
    </w:tbl>
    <w:p>
      <w:pPr>
        <w:pStyle w:val="Heading1"/>
        <w:pageBreakBefore/>
      </w:pPr>
      <w:r>
        <w:t>Item 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16-year-old reports suicidal intent, access to a firearm at home, and fear of being harmed by a caregiver if the disclosure is shared.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Promise confidentiality until the adolescent identifies a trusted adult who can be present for any later safety discussion.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the adolescent to surrender the firearm at the next session and provide a written no-harm agreement in the meantime.</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Confront the caregiver about both allegations before assessing whether the adolescent can leave the office safely.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Assess immediacy, access, supervision, and current danger; initiate the indicated emergency and protective actions using the safest communication plan.</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FIRST qualifier and the approved focus of suicide risk and intervention level. It preserves direct danger or medical assessment, immediacy, means, protection, and level of care. The competing choices show under, safety,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suicide risk and intervention level and omits direct danger or medical assessment, immediacy, means, protection, and level of care.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suicide risk and intervention level and omits direct danger or medical assessment, immediacy, means, protection, and level of care.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suicide risk and intervention level and omits direct danger or medical assessment, immediacy, means, protection, and level of care. It therefore cannot be the FIRST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suicide risk and intervention level at the FIRST decision point. Its sequence incorporates direct danger or medical assessment, immediacy, means, protection, and level of care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suicide risk and intervention level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CTA-LMFT-AMFTRB-CP3-Q008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SAFETY, PLAN</w:t>
            </w:r>
          </w:p>
        </w:tc>
      </w:tr>
    </w:tbl>
    <w:p>
      <w:pPr>
        <w:pStyle w:val="Heading1"/>
        <w:pageBreakBefore/>
      </w:pPr>
      <w:r>
        <w:t>Item 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Parents request therapy to make their adult child resume a psychiatric medication, while the adult child wants fewer arguments and more independence. Which therapeutic contract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Create a shared, observable agreement about communication, decision roles, safety concerns, and progress criteria while preserving the adult client's treatment autonomy.</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Contract with the parents to monitor medication adherence because family stability depends on eliminating the symptomatic behavior.</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Accept only the adult child's goal and exclude the parents from treatment so homeostatic pressure cannot interfere with autonomy.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Postpone goal setting until the prescriber determines which family member's expectations are medically appropriate.</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BEST qualifier and the approved focus of therapeutic contracts; integrated with homeostasis and goal attainment. It preserves collaborative goals, alliance, sequencing, treatment-unit fit, and completion criteria. The competing choices show plan, over,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therapeutic contracts; integrated with homeostasis and goal attainment at the BEST decision point. Its sequence incorporates collaborative goals, alliance, sequencing, treatment-unit fit, and completion criteria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therapeutic contracts; integrated with homeostasis and goal attainment and omits collaborative goals, alliance, sequencing, treatment-unit fit, and completion criteria.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therapeutic contracts; integrated with homeostasis and goal attainment and omits collaborative goals, alliance, sequencing, treatment-unit fit, and completion criteria.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therapeutic contracts; integrated with homeostasis and goal attainment and omits collaborative goals, alliance, sequencing, treatment-unit fit, and completion criteria.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therapeutic contracts; integrated with homeostasis and goal attainment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03.02, 03.16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OVER, UNDER</w:t>
            </w:r>
          </w:p>
        </w:tc>
      </w:tr>
    </w:tbl>
    <w:p>
      <w:pPr>
        <w:pStyle w:val="Heading1"/>
        <w:pageBreakBefore/>
      </w:pPr>
      <w:r>
        <w:t>Item 10 -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An adult appears guarded and irritable during an interview, and a personality inventory is invalid because of inconsistent responding. Which interpretation is MOST appropriate?</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Assign the diagnosis suggested by the highest available scale because an invalid profile still contains useful trait information.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Integrate the mental-status findings with interview, history, collateral information when authorized, context, and the instrument's validity limits before reaching conclusions.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Repeat the same inventory immediately and accept the second profile if its validity indicators fall within range.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Treat guardedness as proof of a personality disorder because the client interfered with both the interview and standardized assessment.</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MOST qualifier and the approved focus of mental-status assessment; integrated with selection and interpretation of instruments. It preserves integrated, provisional assessment using multiple valid data sources and context. The competing choices show assess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mental-status assessment; integrated with selection and interpretation of instruments and omits integrated, provisional assessment using multiple valid data sources and context.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mental-status assessment; integrated with selection and interpretation of instruments at the MOST decision point. Its sequence incorporates integrated, provisional assessment using multiple valid data sources and context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mental-status assessment; integrated with selection and interpretation of instruments and omits integrated, provisional assessment using multiple valid data sources and context.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mental-status assessment; integrated with selection and interpretation of instruments and omits integrated, provisional assessment using multiple valid data sources and context.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mental-status assessment; integrated with selection and interpretation of instruments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02.02, 02.16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r>
    </w:tbl>
    <w:p>
      <w:pPr>
        <w:pStyle w:val="Heading1"/>
        <w:pageBreakBefore/>
      </w:pPr>
      <w:r>
        <w:t>Item 11 -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family has completed six sessions under a plan with three measurable objectives. What should the therapist do FIRST when evaluating progress?</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Compare the family with published norms and determine whether the average family would have improved more quickly.</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the referring professional to rate progress before inviting the family to influence the evaluation.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Review the agreed objectives and available outcome information with the family, including their view of change, barriers, and unintended effects.</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Introduce a new intervention so the evaluation includes evidence from more than one treatment approach.</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FIRST qualifier and the approved focus of collaborative progress evaluation. It preserves outcomes, alliance, implementation, barriers, client feedback, and plan revision. The competing choices show eval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collaborative progress evaluation and omits outcomes, alliance, implementation, barriers, client feedback, and plan revision.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collaborative progress evaluation and omits outcomes, alliance, implementation, barriers, client feedback, and plan revision. It therefore cannot be the FIRST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collaborative progress evaluation at the FIRST decision point. Its sequence incorporates outcomes, alliance, implementation, barriers, client feedback, and plan revision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collaborative progress evaluation and omits outcomes, alliance, implementation, barriers, client feedback, and plan revision.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collaborative progress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12 -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When a therapist is considering a technique from a systemic model for a complex family, which task should occur FIRST to preserve theory-practice consistency?</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Determine whether the technique is widely used by experienced therapists, even if its change mechanism differs from the therapist's case formulation.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the family which named model they prefer and apply its signature technique without further conceptual review.</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Select the least directive intervention so the therapist's theoretical assumptions cannot influence the family.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State the systemic hypothesis and intended change mechanism, then confirm that the proposed technique logically addresses that mechanism and fits the family.</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FIRST qualifier and the approved focus of theory-practice consistency. It preserves reciprocal patterns, attempted solutions, roles, and contextual meaning. The competing choices show system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theory-practice consistency and omits reciprocal patterns, attempted solutions, roles, and contextual meaning.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theory-practice consistency and omits reciprocal patterns, attempted solutions, roles, and contextual meaning.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theory-practice consistency and omits reciprocal patterns, attempted solutions, roles, and contextual meaning. It therefore cannot be the FIRST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theory-practice consistency at the FIRST decision point. Its sequence incorporates reciprocal patterns, attempted solutions, roles, and contextual meaning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theory-practice consistency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group practice adds a new fee and cancellation policy that is common in the local market but was not included in current agreements. Which action is MOST appropriate?</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Review current law, contracts, payer rules, and effective ethics requirements; communicate changes transparently and obtain any required agreement before applying them.</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Apply the policy immediately because common business practice establishes reasonable notice to existing clients.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Charge only clients who are unlikely to object so the practice can test the policy without a formal revision.</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Ask clinicians to describe the fee verbally and omit it from written documents to preserve flexibility.</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MOST qualifier and the approved focus of current ethics-code integration. It preserves current governing authority, client rights, informed agreement, minimum necessary action, and documentation. The competing choices show ethics,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current ethics-code integration at the MOST decision point. Its sequence incorporates current governing authority, client rights, informed agreement, minimum necessary action, and documentation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current ethics-code integration and omits current governing authority, client rights, informed agreement, minimum necessary action, and documentation.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current ethics-code integration and omits current governing authority, client rights, informed agreement, minimum necessary action, and documentation.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current ethics-code integration and omits current governing authority, client rights, informed agreement, minimum necessary action, and documentation.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current ethics-code integration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14 -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client says an estranged partner has begun waiting outside work and sending photographs of the client's children. The client minimizes the behavior but reports sleeping in a car.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Begin couple therapy so both partners can negotiate boundaries in a controlled setting.</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Assess immediate danger, stalking and coercion indicators, child and medical concerns, safe communication, and the need for specialized or emergency resources.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Recommend a routine housing referral because the client's sleeping arrangement is the only objectively documented problem.</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Ask the client to send a boundary-setting message during session before evaluating whether contact could increase danger.</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NEXT qualifier and the approved focus of violence toward client from others. It preserves direct danger or medical assessment, immediacy, means, protection, and level of care. The competing choices show safety,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violence toward client from others and omits direct danger or medical assessment, immediacy, means, protection, and level of care.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violence toward client from others at the NEXT decision point. Its sequence incorporates direct danger or medical assessment, immediacy, means, protection, and level of care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violence toward client from others and omits direct danger or medical assessment, immediacy, means, protection, and level of care.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violence toward client from others and omits direct danger or medical assessment, immediacy, means, protection, and level of care.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violence toward client from others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CTA-LMFT-AMFTRB-CP3-Q014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OVER</w:t>
            </w:r>
          </w:p>
        </w:tc>
      </w:tr>
    </w:tbl>
    <w:p>
      <w:pPr>
        <w:pStyle w:val="Heading1"/>
        <w:pageBreakBefore/>
      </w:pPr>
      <w:r>
        <w:t>Item 15 -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Assessment shows that a family's conflict is shaped by caregiving burden, a member's chronic illness, and different spiritual meanings of suffering.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Use the therapist's preferred evidence-based protocol exactly as written so spiritual disagreement does not reduce treatment fidelity.</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Refer the family to clergy and postpone therapy because spiritual meanings fall outside systemic treatment planning.</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Collaboratively link goals and interventions to the family's meanings, health limitations, resources, and safety while preserving each member's voice.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Focus treatment on the ill member's acceptance because symptom reduction will resolve the caregiving conflict.</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NEXT qualifier and the approved focus of assessment-informed contextual treatment planning. It preserves collaborative goals, alliance, sequencing, treatment-unit fit, and completion criteria. The competing choices show plan,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assessment-informed contextual treatment planning and omits collaborative goals, alliance, sequencing, treatment-unit fit, and completion criteria.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assessment-informed contextual treatment planning and omits collaborative goals, alliance, sequencing, treatment-unit fit, and completion criteria.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assessment-informed contextual treatment planning at the NEXT decision point. Its sequence incorporates collaborative goals, alliance, sequencing, treatment-unit fit, and completion criteria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assessment-informed contextual treatment planning and omits collaborative goals, alliance, sequencing, treatment-unit fit, and completion criteria.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assessment-informed contextual treatment planning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16 -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During an intake, a client says, 'Sometimes I think everyone would be better without me,' while a partner reports recent threats toward a neighbor.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Complete the relationship history so the statements can be interpreted within the couple's normal conflict pattern.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the partner to leave and begin an individual trauma narrative with the client.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Develop a communication agreement and reassess risk after the couple demonstrates that they can use it.</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Conduct direct, separate assessment of suicidal, self-injury, and violence risk, including intent, plan, means, timing, protective factors, and immediate safety needs.</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FIRST qualifier and the approved focus of suicide, self-injury, and homicide assessment. It preserves direct danger or medical assessment, immediacy, means, protection, and level of care. The competing choices show safety, task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suicide, self-injury, and homicide assessment and omits direct danger or medical assessment, immediacy, means, protection, and level of care.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suicide, self-injury, and homicide assessment and omits direct danger or medical assessment, immediacy, means, protection, and level of care.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Incorrect—Decision-point trap. This choice may describe a possible later action, but it does not answer the exact qualifier and focus presented. In this vignette, that move does not resolve suicide, self-injury, and homicide assessment and omits direct danger or medical assessment, immediacy, means, protection, and level of care. It therefore cannot be the FIRST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suicide, self-injury, and homicide assessment at the FIRST decision point. Its sequence incorporates direct danger or medical assessment, immediacy, means, protection, and level of care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suicide, self-injury, and homicide assessment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KA15, KA34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TASK</w:t>
            </w:r>
          </w:p>
        </w:tc>
      </w:tr>
    </w:tbl>
    <w:p>
      <w:pPr>
        <w:pStyle w:val="Heading1"/>
        <w:pageBreakBefore/>
      </w:pPr>
      <w:r>
        <w:t>Item 17 -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psychoeducational family group has low attendance, and those who attend report that examples do not fit their circumstances.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Review participation, access, implementation, and member feedback; then adapt delivery while preserving the program's core purpose.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Increase the number of required sessions so attendance becomes a stronger indicator of commitment.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Continue unchanged until the full curriculum is delivered because adaptation would prevent outcome evaluation.</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Discharge members with repeated absences and calculate outcomes only for consistent attendees.</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NEXT qualifier and the approved focus of collaborative plan modification. It preserves outcomes, alliance, implementation, barriers, client feedback, and plan revision. The competing choices show plan, under,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collaborative plan modification at the NEXT decision point. Its sequence incorporates outcomes, alliance, implementation, barriers, client feedback, and plan revision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collaborative plan modification and omits outcomes, alliance, implementation, barriers, client feedback, and plan revision.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collaborative plan modification and omits outcomes, alliance, implementation, barriers, client feedback, and plan revision.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collaborative plan modification and omits outcomes, alliance, implementation, barriers, client feedback, and plan revision.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collaborative plan modification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 OVER</w:t>
            </w:r>
          </w:p>
        </w:tc>
      </w:tr>
    </w:tbl>
    <w:p>
      <w:pPr>
        <w:pStyle w:val="Heading1"/>
        <w:pageBreakBefore/>
      </w:pPr>
      <w:r>
        <w:t>Item 18 -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client with panic symptoms wants individual coping skills, while the family reports that escalating reassurance and avoidance organize daily life. Which plan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Treat only the family's reassurance cycle because individual symptom management would contradict systemic practice.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Combine appropriate individual coping work with interventions that change the reciprocal reassurance-avoidance pattern and clarify family roles.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Treat only the panic symptoms until they remit, then decide whether family patterns still require attention.</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Ask the family to stop all reassurance immediately so the client is forced to practice independent regulation.</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BEST qualifier and the approved focus of individual and systemic integration. It preserves reciprocal patterns, attempted solutions, roles, and contextual meaning. The competing choices show over, under,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individual and systemic integration and omits reciprocal patterns, attempted solutions, roles, and contextual meaning.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individual and systemic integration at the BEST decision point. Its sequence incorporates reciprocal patterns, attempted solutions, roles, and contextual meaning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individual and systemic integration and omits reciprocal patterns, attempted solutions, roles, and contextual meaning.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individual and systemic integration and omits reciprocal patterns, attempted solutions, roles, and contextual meaning.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individual and systemic integration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 PLAN</w:t>
            </w:r>
          </w:p>
        </w:tc>
      </w:tr>
    </w:tbl>
    <w:p>
      <w:pPr>
        <w:pStyle w:val="Heading1"/>
        <w:pageBreakBefore/>
      </w:pPr>
      <w:r>
        <w:t>Item 19 -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practice plans to add an online scheduling and payment platform that also collects health-related information. Which action is BEST before implementation?</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Rely on the platform's consumer privacy policy because it is publicly available and therefore part of each client's agreement.</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Use the platform only for self-pay clients so payer requirements cannot create a privacy obligation.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Map data collection and disclosures, verify applicable business and privacy duties and vendor terms, minimize data, update notices and agreements, and document approval.</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Allow each therapist to decide whether the platform is secure enough based on personal comfort with technology.</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BEST qualifier and the approved focus of business-law compliance. It preserves current governing authority, client rights, informed agreement, minimum necessary action, and documentation. The competing choices show ethics,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business-law compliance and omits current governing authority, client rights, informed agreement, minimum necessary action, and documentation.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business-law compliance and omits current governing authority, client rights, informed agreement, minimum necessary action, and documentation.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business-law compliance at the BEST decision point. Its sequence incorporates current governing authority, client rights, informed agreement, minimum necessary action, and documentation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business-law compliance and omits current governing authority, client rights, informed agreement, minimum necessary action, and documentation.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business-law compliance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20 -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client reports cutting after arguments but denies wanting to die. Which response is MOST appropriate?</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Accept the denial of suicidal intent and proceed with routine communication work because nonsuicidal self-injury is not a crisis concern.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Require hospitalization because any intentional injury establishes imminent suicide risk.</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Ask the partner to inspect the client's body after each disagreement and report new injuries to the therapist.</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Assess injury severity, function, frequency, suicidal intent, access to means, triggers, supports, and the level of intervention needed.</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MOST qualifier and the approved focus of self-injury risk and intervention level. It preserves direct danger or medical assessment, immediacy, means, protection, and level of care. The competing choices show safety,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self-injury risk and intervention level and omits direct danger or medical assessment, immediacy, means, protection, and level of care.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self-injury risk and intervention level and omits direct danger or medical assessment, immediacy, means, protection, and level of care.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self-injury risk and intervention level and omits direct danger or medical assessment, immediacy, means, protection, and level of care.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self-injury risk and intervention level at the MOST decision point. Its sequence incorporates direct danger or medical assessment, immediacy, means, protection, and level of care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self-injury risk and intervention level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PLAN</w:t>
            </w:r>
          </w:p>
        </w:tc>
      </w:tr>
    </w:tbl>
    <w:p>
      <w:pPr>
        <w:pStyle w:val="Heading1"/>
        <w:pageBreakBefore/>
      </w:pPr>
      <w:r>
        <w:t>Item 21 -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couple says the goal is to 'stop being toxic,' but each partner defines toxicity as the other person's personality.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Translate the complaint into observable interactional goals and completion criteria, then invite alternative descriptions that preserve accountability without fixed blame.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Choose the partner with stronger assessment evidence as the identified patient and write goals around that person's symptoms.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Teach a standard communication skill before clarifying goals so the couple can discuss the problem more productively.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Ask each partner to list the other's toxic traits and use the overlap as the treatment plan.</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FIRST qualifier and the approved focus of goals, objectives, and completion criteria; integrated with alternative perspectives and solution development. It preserves collaborative goals, alliance, sequencing, treatment-unit fit, and completion criteria. The competing choices show system,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goals, objectives, and completion criteria; integrated with alternative perspectives and solution development at the FIRST decision point. Its sequence incorporates collaborative goals, alliance, sequencing, treatment-unit fit, and completion criteria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goals, objectives, and completion criteria; integrated with alternative perspectives and solution development and omits collaborative goals, alliance, sequencing, treatment-unit fit, and completion criteria.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goals, objectives, and completion criteria; integrated with alternative perspectives and solution development and omits collaborative goals, alliance, sequencing, treatment-unit fit, and completion criteria.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goals, objectives, and completion criteria; integrated with alternative perspectives and solution development and omits collaborative goals, alliance, sequencing, treatment-unit fit, and completion criteria.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goals, objectives, and completion criteria; integrated with alternative perspectives and solution development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03.04, 03.17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 PLAN</w:t>
            </w:r>
          </w:p>
        </w:tc>
      </w:tr>
    </w:tbl>
    <w:p>
      <w:pPr>
        <w:pStyle w:val="Heading1"/>
        <w:pageBreakBefore/>
      </w:pPr>
      <w:r>
        <w:t>Item 22 -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Following a separation, a child has sleep problems and one parent becomes the child's confidant while the other is excluded. The child also meets criteria for an anxiety disorder.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Treat the diagnosis as an individual condition and avoid addressing parental alliances until the child is asymptomatic.</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Integrate the diagnosis with a map of boundaries, coalitions, hierarchy, divorce stress, and reciprocal responses, then identify the safest treatment unit.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Conclude that the confidant relationship caused the anxiety because it appeared after the separation.</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Recommend immediate reunification work with the excluded parent without assessing the child's experience or the parents' conflict.</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NEXT qualifier and the approved focus of roles, boundaries, alliances, coalitions, and hierarchy; integrated with dsm/icd diagnosis with a systems perspective. It preserves integrated, provisional assessment using multiple valid data sources and context. The competing choices show under, system,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roles, boundaries, alliances, coalitions, and hierarchy; integrated with dsm/icd diagnosis with a systems perspective and omits integrated, provisional assessment using multiple valid data sources and context.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roles, boundaries, alliances, coalitions, and hierarchy; integrated with dsm/icd diagnosis with a systems perspective at the NEXT decision point. Its sequence incorporates integrated, provisional assessment using multiple valid data sources and context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roles, boundaries, alliances, coalitions, and hierarchy; integrated with dsm/icd diagnosis with a systems perspective and omits integrated, provisional assessment using multiple valid data sources and context.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roles, boundaries, alliances, coalitions, and hierarchy; integrated with dsm/icd diagnosis with a systems perspective and omits integrated, provisional assessment using multiple valid data sources and context.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roles, boundaries, alliances, coalitions, and hierarchy; integrated with dsm/icd diagnosis with a systems perspective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02.04, 02.17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SYSTEM, PLAN</w:t>
            </w:r>
          </w:p>
        </w:tc>
      </w:tr>
    </w:tbl>
    <w:p>
      <w:pPr>
        <w:pStyle w:val="Heading1"/>
        <w:pageBreakBefore/>
      </w:pPr>
      <w:r>
        <w:t>Item 23 -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family shifted to video sessions for transportation reasons. Attendance improved, but one member rarely speaks, alliance ratings declined, and privacy at home is uncertain. Which conclusion is MOST appropriate?</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Continue video sessions because attendance is the strongest objective indicator of modality fit.</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Return to in-person treatment because lower alliance ratings prove that teletherapy is ineffective for families.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Reassess privacy, participation, access, safety, alliance, and outcomes with the family and modify the modality or structure based on the combined evidence.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Alternate modalities weekly so both delivery methods receive equal exposure before any decision is made.</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MOST qualifier and the approved focus of ongoing delivery-modality fit. It preserves outcomes, alliance, implementation, barriers, client feedback, and plan revision. The competing choices show eval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ongoing delivery-modality fit and omits outcomes, alliance, implementation, barriers, client feedback, and plan revision.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ongoing delivery-modality fit and omits outcomes, alliance, implementation, barriers, client feedback, and plan revision.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ongoing delivery-modality fit at the MOST decision point. Its sequence incorporates outcomes, alliance, implementation, barriers, client feedback, and plan revision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ongoing delivery-modality fit and omits outcomes, alliance, implementation, barriers, client feedback, and plan revision.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ongoing delivery-modality fit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CTA-LMFT-AMFTRB-CP3-Q023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24 -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Which practice MOST clearly integrates diversity and social justice into systemic therapy?</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Using identical interventions for every family so cultural assumptions cannot affect treatment decisions.</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Explaining structural inequity only when a client identifies it as the sole cause of the presenting problem.</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Avoiding discussion of power because the therapist's authority makes such conversations inherently coercive.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Collaboratively examining how identity, power, access, community conditions, and family meanings shape both the problem and the available solutions.</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MOST qualifier and the approved focus of diversity and social-justice integration. It preserves culture, identity, power, access, structural conditions, autonomy, and each voice. The competing choices show over, context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diversity and social-justice integration and omits culture, identity, power, access, structural conditions, autonomy, and each voice.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diversity and social-justice integration and omits culture, identity, power, access, structural conditions, autonomy, and each voice.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Incorrect—Context-erasure trap. This choice applies a universal or deficit-based frame and underweights identity, power, access, culture, autonomy, or voice. In this vignette, that move does not resolve diversity and social-justice integration and omits culture, identity, power, access, structural conditions, autonomy, and each voice.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diversity and social-justice integration at the MOST decision point. Its sequence incorporates culture, identity, power, access, structural conditions, autonomy, and each voice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diversity and social-justice integration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CTA-LMFT-AMFTRB-CP3-Q024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KA16, KA67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CONTEXT</w:t>
            </w:r>
          </w:p>
        </w:tc>
      </w:tr>
    </w:tbl>
    <w:p>
      <w:pPr>
        <w:pStyle w:val="Heading1"/>
        <w:pageBreakBefore/>
      </w:pPr>
      <w:r>
        <w:t>Item 25 -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therapist is asked to provide a specialized intervention never used in practice, and the therapist notices a strong personal identification with the client.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Assess competence and the impact of the therapist's reactions, obtain appropriate consultation or training, and limit or refer the service if safe competence cannot be established.</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Accept the case because personal identification will improve empathy while the therapist learns the intervention.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Explain the therapist's similar experience in detail so the client can decide whether the overlap creates a boundary concern.</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Provide the intervention under a general mental-health license because scope is determined by licensure rather than demonstrated competence.</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FIRST qualifier and the approved focus of scope of competence. It preserves competence, role, authority, consultation, training, and referral limits. The competing choices show scope, ethics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scope of competence at the FIRST decision point. Its sequence incorporates competence, role, authority, consultation, training, and referral limits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Incorrect—Scope trap. This choice assumes authority or competence without evaluating limits, consultation, training, or referral. In this vignette, that move does not resolve scope of competence and omits competence, role, authority, consultation, training, and referral limits.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Incorrect—Scope trap. This choice assumes authority or competence without evaluating limits, consultation, training, or referral. In this vignette, that move does not resolve scope of competence and omits competence, role, authority, consultation, training, and referral limits.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scope of competence and omits competence, role, authority, consultation, training, and referral limits.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scope of competence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CTA-LMFT-AMFTRB-CP3-Q025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ETHICS</w:t>
            </w:r>
          </w:p>
        </w:tc>
      </w:tr>
    </w:tbl>
    <w:p>
      <w:pPr>
        <w:pStyle w:val="Heading1"/>
        <w:pageBreakBefore/>
      </w:pPr>
      <w:r>
        <w:t>Item 26 -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During a session, a client describes a specific plan to injure a former partner, has recently purchased equipment for the plan, and refuses to discuss timing. Which response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Explore childhood anger patterns before taking protective action so the therapist can distinguish fantasy from intent.</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Conduct and document an immediate violence assessment, initiate the level of protection required by current law and clinical risk, and coordinate emergency support as indicated.</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Ask the client to promise not to act until the next session because the refusal to state timing leaves imminence uncertain.</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Notify every person connected to the former partner so responsibility for safety is widely shared.</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BEST qualifier and the approved focus of violence or harm toward others. It preserves direct danger or medical assessment, immediacy, means, protection, and level of care. The competing choices show task, under,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Incorrect—Decision-point trap. This choice may describe a possible later action, but it does not answer the exact qualifier and focus presented. In this vignette, that move does not resolve violence or harm toward others and omits direct danger or medical assessment, immediacy, means, protection, and level of care.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violence or harm toward others at the BEST decision point. Its sequence incorporates direct danger or medical assessment, immediacy, means, protection, and level of care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violence or harm toward others and omits direct danger or medical assessment, immediacy, means, protection, and level of care.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violence or harm toward others and omits direct danger or medical assessment, immediacy, means, protection, and level of care.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violence or harm toward others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CTA-LMFT-AMFTRB-CP3-Q026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TASK, UNDER, OVER</w:t>
            </w:r>
          </w:p>
        </w:tc>
      </w:tr>
    </w:tbl>
    <w:p>
      <w:pPr>
        <w:pStyle w:val="Heading1"/>
        <w:pageBreakBefore/>
      </w:pPr>
      <w:r>
        <w:t>Item 27 -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family repeatedly responds to a young adult's missed work by paying debts, issuing ultimatums, and then withdrawing them. Which question would be MOST useful before choosing an intervention?</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Which family member first developed the personality trait that causes the current pattern?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What consequence would be severe enough to make the young adult comply immediately?</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What has each person tried, how do others respond, when does the sequence differ, and what has helped even briefly?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Which standardized family model recommends the most common response to missed work?</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MOST qualifier and the approved focus of previous and current attempted solutions. It preserves collaborative goals, alliance, sequencing, treatment-unit fit, and completion criteria. The competing choices show system,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previous and current attempted solutions and omits collaborative goals, alliance, sequencing, treatment-unit fit, and completion criteria.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previous and current attempted solutions and omits collaborative goals, alliance, sequencing, treatment-unit fit, and completion criteria.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previous and current attempted solutions at the MOST decision point. Its sequence incorporates collaborative goals, alliance, sequencing, treatment-unit fit, and completion criteria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previous and current attempted solutions and omits collaborative goals, alliance, sequencing, treatment-unit fit, and completion criteria.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previous and current attempted solutions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CTA-LMFT-AMFTRB-CP3-Q027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 PLAN</w:t>
            </w:r>
          </w:p>
        </w:tc>
      </w:tr>
    </w:tbl>
    <w:p>
      <w:pPr>
        <w:pStyle w:val="Heading1"/>
        <w:pageBreakBefore/>
      </w:pPr>
      <w:r>
        <w:t>Item 28 -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Which description BEST reflects a context-responsive systemic hypothesis?</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 definitive statement identifying the family member whose pathology causes the relationship problem.</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 diagnosis-free description that excludes individual symptoms from consideration.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 culturally neutral explanation based only on behavior observed during the first session.</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 provisional, testable account linking symptoms, reciprocal patterns, development, strengths, and sociocultural context without assigning fixed blame.</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BEST qualifier and the approved focus of context-responsive systemic hypotheses. It preserves integrated, provisional assessment using multiple valid data sources and context. The competing choices show system, plan,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context-responsive systemic hypotheses and omits integrated, provisional assessment using multiple valid data sources and context.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context-responsive systemic hypotheses and omits integrated, provisional assessment using multiple valid data sources and context.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context-responsive systemic hypotheses and omits integrated, provisional assessment using multiple valid data sources and context.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context-responsive systemic hypotheses at the BEST decision point. Its sequence incorporates integrated, provisional assessment using multiple valid data sources and context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context-responsive systemic hypotheses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CTA-LMFT-AMFTRB-CP3-Q028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 PLAN, OVER</w:t>
            </w:r>
          </w:p>
        </w:tc>
      </w:tr>
    </w:tbl>
    <w:p>
      <w:pPr>
        <w:pStyle w:val="Heading1"/>
        <w:pageBreakBefore/>
      </w:pPr>
      <w:r>
        <w:t>Item 29 -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couple who entered treatment after infidelity reports that trust has improved and agreed goals are met. Which termination plan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Review gains and remaining vulnerabilities, rehearse maintenance and repair steps, identify relapse signals and resources, and agree on follow-up or return criteria.</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End immediately so continued sessions do not create dependence once the presenting problem is resolved.</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Continue monthly sessions indefinitely because recurrence after infidelity is too likely for planned termination.</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Ask the involved partner to sign a permanent transparency agreement as the primary measure of successful termination.</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BEST qualifier and the approved focus of collaborative termination and maintenance planning. It preserves outcomes, alliance, implementation, barriers, client feedback, and plan revision. The competing choices show eval,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collaborative termination and maintenance planning at the BEST decision point. Its sequence incorporates outcomes, alliance, implementation, barriers, client feedback, and plan revision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collaborative termination and maintenance planning and omits outcomes, alliance, implementation, barriers, client feedback, and plan revision.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collaborative termination and maintenance planning and omits outcomes, alliance, implementation, barriers, client feedback, and plan revision.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collaborative termination and maintenance planning and omits outcomes, alliance, implementation, barriers, client feedback, and plan revision.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collaborative termination and maintenance planning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CTA-LMFT-AMFTRB-CP3-Q029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 OVER</w:t>
            </w:r>
          </w:p>
        </w:tc>
      </w:tr>
    </w:tbl>
    <w:p>
      <w:pPr>
        <w:pStyle w:val="Heading1"/>
        <w:pageBreakBefore/>
      </w:pPr>
      <w:r>
        <w:t>Item 30 -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therapist notices increasing irritability, poor concentration, and avoidance of cases that resemble a recent personal loss.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Continue working and disclose the personal loss to affected clients so they can interpret changes in the therapist's behavior.</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Assess current professional functioning, seek consultation or personal support, reduce or transfer work as needed, and protect continuity of care.</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Wait for a client complaint before changing practice because internal distress does not establish impairment.</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Terminate all clients immediately to ensure that no clinical judgment is influenced by the loss.</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NEXT qualifier and the approved focus of therapist values, history, and impairment management. It preserves current governing authority, client rights, informed agreement, minimum necessary action, and documentation. The competing choices show ethics, under,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therapist values, history, and impairment management and omits current governing authority, client rights, informed agreement, minimum necessary action, and documentation.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therapist values, history, and impairment management at the NEXT decision point. Its sequence incorporates current governing authority, client rights, informed agreement, minimum necessary action, and documentation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therapist values, history, and impairment management and omits current governing authority, client rights, informed agreement, minimum necessary action, and documentation.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therapist values, history, and impairment management and omits current governing authority, client rights, informed agreement, minimum necessary action, and documentation.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therapist values, history, and impairment management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CTA-LMFT-AMFTRB-CP3-Q030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UNDER, OVER</w:t>
            </w:r>
          </w:p>
        </w:tc>
      </w:tr>
    </w:tbl>
    <w:p>
      <w:pPr>
        <w:pStyle w:val="Heading1"/>
        <w:pageBreakBefore/>
      </w:pPr>
      <w:r>
        <w:t>Item 31 -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court-mandated group includes members with different literacy levels, one wheelchair user, and a participant who reports being mocked for an accent.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Use the original materials and seating plan so accommodations do not create different treatment experiences.</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the targeted participant to address the group alone because direct self-advocacy is the best measure of resilience.</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Address the harmful interaction, clarify mandate and choice limits, assess access and safety needs, and adapt participation without reducing the group's clinical purpose.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Remove all members involved in conflict so the remaining group can proceed without discussing power or difference.</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NEXT qualifier and the approved focus of safe, inclusive therapeutic space. It preserves culture, identity, power, access, structural conditions, autonomy, and each voice. The competing choices show context,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Incorrect—Context-erasure trap. This choice applies a universal or deficit-based frame and underweights identity, power, access, culture, autonomy, or voice. In this vignette, that move does not resolve safe, inclusive therapeutic space and omits culture, identity, power, access, structural conditions, autonomy, and each voice.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Incorrect—Context-erasure trap. This choice applies a universal or deficit-based frame and underweights identity, power, access, culture, autonomy, or voice. In this vignette, that move does not resolve safe, inclusive therapeutic space and omits culture, identity, power, access, structural conditions, autonomy, and each voice.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safe, inclusive therapeutic space at the NEXT decision point. Its sequence incorporates culture, identity, power, access, structural conditions, autonomy, and each voice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safe, inclusive therapeutic space and omits culture, identity, power, access, structural conditions, autonomy, and each voice.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safe, inclusive therapeutic space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CTA-LMFT-AMFTRB-CP3-Q031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KA17, KA68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PLAN</w:t>
            </w:r>
          </w:p>
        </w:tc>
      </w:tr>
    </w:tbl>
    <w:p>
      <w:pPr>
        <w:pStyle w:val="Heading1"/>
        <w:pageBreakBefore/>
      </w:pPr>
      <w:r>
        <w:t>Item 32 -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former client's relative posts the therapist's home address online and sends a message stating, 'You will pay tonight.'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Reply that threats violate clinic policy and invite the person to schedule a meeting to resolve the concern.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Contact the former client and require the relative to remove the post before the therapist takes further action.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Document the threat but complete the workday so a possible hoax does not disrupt client care.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Activate immediate personal and workplace safety procedures, preserve evidence, contact appropriate emergency or security resources, and protect clients who may be affected.</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FIRST qualifier and the approved focus of external threats toward therapist. It preserves direct danger or medical assessment, immediacy, means, protection, and level of care. The competing choices show safety,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external threats toward therapist and omits direct danger or medical assessment, immediacy, means, protection, and level of care.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external threats toward therapist and omits direct danger or medical assessment, immediacy, means, protection, and level of care.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external threats toward therapist and omits direct danger or medical assessment, immediacy, means, protection, and level of care. It therefore cannot be the FIRST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external threats toward therapist at the FIRST decision point. Its sequence incorporates direct danger or medical assessment, immediacy, means, protection, and level of care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external threats toward therapist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CTA-LMFT-AMFTRB-CP3-Q032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PLAN</w:t>
            </w:r>
          </w:p>
        </w:tc>
      </w:tr>
    </w:tbl>
    <w:p>
      <w:pPr>
        <w:pStyle w:val="Heading1"/>
        <w:pageBreakBefore/>
      </w:pPr>
      <w:r>
        <w:t>Item 33 -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couple invites an adult sibling to treatment for support. One partner uses a family proverb to describe feeling trapped, while the sibling begins answering every question. Which intervention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Clarify consent and the sibling's role, restore each partner's voice, and use the client's proverb to explore relational meanings and possible change.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the sibling to explain the proverb because collateral participants are more objective about family language.</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Exclude the sibling immediately because systemic therapy should never include a collateral participant in couple treatment.</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Replace the proverb with a neutral clinical term so the therapist can apply a standardized intervention consistently.</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BEST qualifier and the approved focus of client and collateral systems in change; integrated with metaphor, narrative, mindfulness, and perception change. It preserves collaborative goals, alliance, sequencing, treatment-unit fit, and completion criteria. The competing choices show under,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client and collateral systems in change; integrated with metaphor, narrative, mindfulness, and perception change at the BEST decision point. Its sequence incorporates collaborative goals, alliance, sequencing, treatment-unit fit, and completion criteria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client and collateral systems in change; integrated with metaphor, narrative, mindfulness, and perception change and omits collaborative goals, alliance, sequencing, treatment-unit fit, and completion criteria.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client and collateral systems in change; integrated with metaphor, narrative, mindfulness, and perception change and omits collaborative goals, alliance, sequencing, treatment-unit fit, and completion criteria.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client and collateral systems in change; integrated with metaphor, narrative, mindfulness, and perception change and omits collaborative goals, alliance, sequencing, treatment-unit fit, and completion criteria.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client and collateral systems in change; integrated with metaphor, narrative, mindfulness, and perception change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CTA-LMFT-AMFTRB-CP3-Q033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03.06, 03.18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PLAN</w:t>
            </w:r>
          </w:p>
        </w:tc>
      </w:tr>
    </w:tbl>
    <w:p>
      <w:pPr>
        <w:pStyle w:val="Heading1"/>
        <w:pageBreakBefore/>
      </w:pPr>
      <w:r>
        <w:t>Item 34 -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child with developmental differences becomes dysregulated during long office sessions, while caregivers report better communication during brief home routines. Which treatment arrangement is MOST appropriate?</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Continue long office sessions so the child can build tolerance for the clinically standard setting.</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Select an accessible structure and modality that fit the child's regulation needs, caregiver participation, safety, and the integrated systemic and diagnostic formulation.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Treat the caregivers without the child because developmental diagnoses make direct family participation unreliable.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Use video sessions exclusively because home-based information is always more valid than office observation.</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MOST qualifier and the approved focus of treatment and delivery-modality appropriateness; integrated with integrated systemic and diagnostic hypotheses. It preserves integrated, provisional assessment using multiple valid data sources and context. The competing choices show assess,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treatment and delivery-modality appropriateness; integrated with integrated systemic and diagnostic hypotheses and omits integrated, provisional assessment using multiple valid data sources and context.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treatment and delivery-modality appropriateness; integrated with integrated systemic and diagnostic hypotheses at the MOST decision point. Its sequence incorporates integrated, provisional assessment using multiple valid data sources and context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treatment and delivery-modality appropriateness; integrated with integrated systemic and diagnostic hypotheses and omits integrated, provisional assessment using multiple valid data sources and context.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treatment and delivery-modality appropriateness; integrated with integrated systemic and diagnostic hypotheses and omits integrated, provisional assessment using multiple valid data sources and context.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treatment and delivery-modality appropriateness; integrated with integrated systemic and diagnostic hypotheses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CTA-LMFT-AMFTRB-CP3-Q034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02.06, 02.18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 OVER</w:t>
            </w:r>
          </w:p>
        </w:tc>
      </w:tr>
    </w:tbl>
    <w:p>
      <w:pPr>
        <w:pStyle w:val="Heading1"/>
        <w:pageBreakBefore/>
      </w:pPr>
      <w:r>
        <w:t>Item 35 -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Which supervisory practice MOST effectively addresses the supervisor's self-awareness and impact on supervisees?</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Avoid discussing personal reactions so supervision remains focused only on the supervisee's clinical performance.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Share the supervisor's clinical history whenever a supervisee appears uncertain so authority and experience are clear.</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Monitor power, bias, health or stress effects, and parallel process; invite feedback and seek consultation when these factors may shape evaluation or guidance.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Delegate all difficult evaluations to another supervisor so personal reactions never become part of supervision.</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MOST qualifier and the approved focus of supervisor self-awareness and supervisory impact. It preserves competence, role, authority, consultation, training, and referral limits. The competing choices show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supervisor self-awareness and supervisory impact and omits competence, role, authority, consultation, training, and referral limits.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supervisor self-awareness and supervisory impact and omits competence, role, authority, consultation, training, and referral limits.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supervisor self-awareness and supervisory impact at the MOST decision point. Its sequence incorporates competence, role, authority, consultation, training, and referral limits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supervisor self-awareness and supervisory impact and omits competence, role, authority, consultation, training, and referral limits.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supervisor self-awareness and supervisory impact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CTA-LMFT-AMFTRB-CP3-Q035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KA54, KA69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w:t>
            </w:r>
          </w:p>
        </w:tc>
      </w:tr>
    </w:tbl>
    <w:p>
      <w:pPr>
        <w:pStyle w:val="Heading1"/>
        <w:pageBreakBefore/>
      </w:pPr>
      <w:r>
        <w:t>Item 36 -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family has met treatment goals, but a member says ending now feels like another abandonment because services have repeatedly ended without explanation.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Extend treatment for a standard number of sessions because prior abandonment makes planned termination clinically inappropriate.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Explain that objective goal attainment determines termination and reassure the family that the reaction will pass.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Refer the family immediately so another therapist can address the termination reaction without a dual role.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Explore the meaning of ending, review choice and remaining needs, and collaboratively create a culturally and relationally responsive transition plan.</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FIRST qualifier and the approved focus of professional, culturally responsive termination. It preserves outcomes, alliance, implementation, barriers, client feedback, and plan revision. The competing choices show eval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professional, culturally responsive termination and omits outcomes, alliance, implementation, barriers, client feedback, and plan revision.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professional, culturally responsive termination and omits outcomes, alliance, implementation, barriers, client feedback, and plan revision.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professional, culturally responsive termination and omits outcomes, alliance, implementation, barriers, client feedback, and plan revision. It therefore cannot be the FIRST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professional, culturally responsive termination at the FIRST decision point. Its sequence incorporates outcomes, alliance, implementation, barriers, client feedback, and plan revision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professional, culturally responsive termination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CTA-LMFT-AMFTRB-CP3-Q036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37 -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At the beginning of systemic treatment, what should the therapist do FIRST to establish a therapeutic relationship?</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Join respectfully with each participant, clarify the treatment context, and use circular curiosity to understand each person's experience and hopes.</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Identify the family member most motivated for change and form a primary alliance with that person.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Delay discussion of expectations until the therapist has observed enough interaction to determine the true hierarchy.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Explain the therapist's model in detail so participants can adapt their descriptions to the treatment framework.</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FIRST qualifier and the approved focus of systemic therapeutic relationship. It preserves reciprocal patterns, attempted solutions, roles, and contextual meaning. The competing choices show system,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systemic therapeutic relationship at the FIRST decision point. Its sequence incorporates reciprocal patterns, attempted solutions, roles, and contextual meaning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systemic therapeutic relationship and omits reciprocal patterns, attempted solutions, roles, and contextual meaning.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systemic therapeutic relationship and omits reciprocal patterns, attempted solutions, roles, and contextual meaning.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systemic therapeutic relationship and omits reciprocal patterns, attempted solutions, roles, and contextual meaning.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systemic therapeutic relationship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CTA-LMFT-AMFTRB-CP3-Q037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 UNDER</w:t>
            </w:r>
          </w:p>
        </w:tc>
      </w:tr>
    </w:tbl>
    <w:p>
      <w:pPr>
        <w:pStyle w:val="Heading1"/>
        <w:pageBreakBefore/>
      </w:pPr>
      <w:r>
        <w:t>Item 38 -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After a neighborhood disaster, a community clinic notices that displaced immigrant families are least likely to receive follow-up services. What should the clinic team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Use the existing first-come process because changing it would give preferential treatment to one population.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Assess urgent needs and access barriers with affected communities, coordinate culturally and linguistically responsive outreach, and revise referral pathways.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Wait for individual families to request accommodations so the team does not assume discrimination occurred.</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Offer a general online handout because a uniform resource is the most equitable response during a large emergency.</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NEXT qualifier and the approved focus of community-level crisis and intervention. It preserves direct danger or medical assessment, immediacy, means, protection, and level of care. The competing choices show safety, under, task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community-level crisis and intervention and omits direct danger or medical assessment, immediacy, means, protection, and level of care.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community-level crisis and intervention at the NEXT decision point. Its sequence incorporates direct danger or medical assessment, immediacy, means, protection, and level of care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community-level crisis and intervention and omits direct danger or medical assessment, immediacy, means, protection, and level of care.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Incorrect—Decision-point trap. This choice may describe a possible later action, but it does not answer the exact qualifier and focus presented. In this vignette, that move does not resolve community-level crisis and intervention and omits direct danger or medical assessment, immediacy, means, protection, and level of care.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community-level crisis and intervention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CTA-LMFT-AMFTRB-CP3-Q038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UNDER, TASK</w:t>
            </w:r>
          </w:p>
        </w:tc>
      </w:tr>
    </w:tbl>
    <w:p>
      <w:pPr>
        <w:pStyle w:val="Heading1"/>
        <w:pageBreakBefore/>
      </w:pPr>
      <w:r>
        <w:t>Item 39 -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During teletherapy, a client with a recent violence history joins from an unfamiliar location and another person appears briefly off camera.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Continue the intervention and ask about the other person at the end so the client does not feel monitored.</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End the session automatically because an unverified location makes teletherapy unethical in every jurisdiction.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Confirm identity, exact location, privacy, who is present, current risk, and emergency contacts; then use the established safety plan or escalate as indicated.</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Ask the client to turn the camera toward the room and continue only if no one else can be seen.</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NEXT qualifier and the approved focus of ongoing safety planning across modalities. It preserves direct danger or medical assessment, immediacy, means, protection, and level of care. The competing choices show safety,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ongoing safety planning across modalities and omits direct danger or medical assessment, immediacy, means, protection, and level of care.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ongoing safety planning across modalities and omits direct danger or medical assessment, immediacy, means, protection, and level of care.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ongoing safety planning across modalities at the NEXT decision point. Its sequence incorporates direct danger or medical assessment, immediacy, means, protection, and level of care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ongoing safety planning across modalities and omits direct danger or medical assessment, immediacy, means, protection, and level of care.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ongoing safety planning across modalities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CTA-LMFT-AMFTRB-CP3-Q039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OVER</w:t>
            </w:r>
          </w:p>
        </w:tc>
      </w:tr>
    </w:tbl>
    <w:p>
      <w:pPr>
        <w:pStyle w:val="Heading1"/>
        <w:pageBreakBefore/>
      </w:pPr>
      <w:r>
        <w:t>Item 40 -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client reports insomnia, irritability, and conflict after a worksite raid led to reduced hours and fear of family separation.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Administer a personality inventory because irritability across settings suggests a stable trait pattern.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Diagnose an anxiety disorder based on insomnia and begin exposure work before discussing environmental events.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Focus the interview on couple communication so immigration and employment concerns do not politicize assessment.</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Assess symptoms together with work, legal uncertainty, economic pressure, family roles, safety, supports, and the client's meaning of the events.</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FIRST qualifier and the approved focus of environmental and structural influences. It preserves integrated, provisional assessment using multiple valid data sources and context. The competing choices show assess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environmental and structural influences and omits integrated, provisional assessment using multiple valid data sources and context.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environmental and structural influences and omits integrated, provisional assessment using multiple valid data sources and context.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environmental and structural influences and omits integrated, provisional assessment using multiple valid data sources and context. It therefore cannot be the FIRST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environmental and structural influences at the FIRST decision point. Its sequence incorporates integrated, provisional assessment using multiple valid data sources and context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environmental and structural influences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CTA-LMFT-AMFTRB-CP3-Q040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r>
    </w:tbl>
    <w:p>
      <w:pPr>
        <w:pStyle w:val="Heading1"/>
        <w:pageBreakBefore/>
      </w:pPr>
      <w:r>
        <w:t>Item 41 -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Two partners begin treatment, but only one is named in the electronic record and the practice has not clarified access, confidentiality, or record requests. Which agreement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Clarify who the clients and participants are, the purpose of treatment, confidentiality and its limits, record practices, fees, technology use, and applicable rights before proceeding.</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List both partners as clients but defer confidentiality and record rules until one of them requests information.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Keep one partner off the record so couple disclosures cannot become part of a future legal request.</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Let the partner who pays decide record access because the financial contract controls the treatment relationship.</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BEST qualifier and the approved focus of treatment agreements and client rights. It preserves current governing authority, client rights, informed agreement, minimum necessary action, and documentation. The competing choices show under, ethics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treatment agreements and client rights at the BEST decision point. Its sequence incorporates current governing authority, client rights, informed agreement, minimum necessary action, and documentation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treatment agreements and client rights and omits current governing authority, client rights, informed agreement, minimum necessary action, and documentation.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treatment agreements and client rights and omits current governing authority, client rights, informed agreement, minimum necessary action, and documentation.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treatment agreements and client rights and omits current governing authority, client rights, informed agreement, minimum necessary action, and documentation.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treatment agreements and client rights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CTA-LMFT-AMFTRB-CP3-Q041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ETHICS</w:t>
            </w:r>
          </w:p>
        </w:tc>
      </w:tr>
    </w:tbl>
    <w:p>
      <w:pPr>
        <w:pStyle w:val="Heading1"/>
        <w:pageBreakBefore/>
      </w:pPr>
      <w:r>
        <w:t>Item 42 -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An adoptive family reports increased conflict after a life-story intervention. The therapist wants to know whether the intervention is helping or activating unaddressed distress.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Continue the intervention until a full research-supported dose is delivered, because early distress does not predict outcome.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Collect and integrate repeated outcome, alliance, behavioral, and family-feedback data, assess implementation and safety, and revise the plan based on the pattern.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Stop all discussion of adoption because increased conflict demonstrates that the topic is harmful.</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Rely on the therapist's observation because family ratings may be influenced by loyalty conflicts.</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NEXT qualifier and the approved focus of theory and research in process/outcome evaluation. It preserves outcomes, alliance, implementation, barriers, client feedback, and plan revision. The competing choices show under, eval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theory and research in process/outcome evaluation and omits outcomes, alliance, implementation, barriers, client feedback, and plan revision.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theory and research in process/outcome evaluation at the NEXT decision point. Its sequence incorporates outcomes, alliance, implementation, barriers, client feedback, and plan revision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theory and research in process/outcome evaluation and omits outcomes, alliance, implementation, barriers, client feedback, and plan revision.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theory and research in process/outcome evaluation and omits outcomes, alliance, implementation, barriers, client feedback, and plan revision.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theory and research in process/outcome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CTA-LMFT-AMFTRB-CP3-Q042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EVAL</w:t>
            </w:r>
          </w:p>
        </w:tc>
      </w:tr>
    </w:tbl>
    <w:p>
      <w:pPr>
        <w:pStyle w:val="Heading1"/>
        <w:pageBreakBefore/>
      </w:pPr>
      <w:r>
        <w:t>Item 43 -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therapist feels unusually protective of one partner and impatient with the other during a recurring pursue-withdraw sequence. What is the BEST use of this reaction?</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Support the partner who appears more vulnerable so the therapist's empathy corrects the couple's power imbalance.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Ignore the reaction because self-of-the-therapist information is irrelevant to systemic formulation.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Pause, examine how the reaction may be recruited by the couple's sequence, seek feedback or consultation, and use it as provisional relational data.</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Disclose the reaction to both partners and ask them to decide whether the therapist is biased.</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BEST qualifier and the approved focus of interactional complexity and self of therapist. It preserves competence, role, authority, consultation, training, and referral limits. The competing choices show scope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Incorrect—Scope trap. This choice assumes authority or competence without evaluating limits, consultation, training, or referral. In this vignette, that move does not resolve interactional complexity and self of therapist and omits competence, role, authority, consultation, training, and referral limits.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Incorrect—Scope trap. This choice assumes authority or competence without evaluating limits, consultation, training, or referral. In this vignette, that move does not resolve interactional complexity and self of therapist and omits competence, role, authority, consultation, training, and referral limits.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interactional complexity and self of therapist at the BEST decision point. Its sequence incorporates competence, role, authority, consultation, training, and referral limits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Incorrect—Scope trap. This choice assumes authority or competence without evaluating limits, consultation, training, or referral. In this vignette, that move does not resolve interactional complexity and self of therapist and omits competence, role, authority, consultation, training, and referral limits.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interactional complexity and self of therapist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CTA-LMFT-AMFTRB-CP3-Q043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r>
    </w:tbl>
    <w:p>
      <w:pPr>
        <w:pStyle w:val="Heading1"/>
        <w:pageBreakBefore/>
      </w:pPr>
      <w:r>
        <w:t>Item 44 -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Following a sudden death, a client has vivid memories, sleeplessness, increased alcohol use, and intense family conflict. Which formulation is MOST appropriate?</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Assume a trauma disorder because vivid memories after a sudden death are diagnostically specific.</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Treat the alcohol use first and postpone evaluation of grief, trauma, and family response until abstinence is established.</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View the reactions as normal grief and avoid direct risk assessment unless symptoms continue beyond a standard time period.</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Assess grief, trauma symptoms, substance effects, safety, culture, prior losses, functioning, and reciprocal family responses before selecting a crisis or treatment plan.</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MOST qualifier and the approved focus of trauma history and contextual crisis factors. It preserves direct danger or medical assessment, immediacy, means, protection, and level of care. The competing choices show safety, under, task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trauma history and contextual crisis factors and omits direct danger or medical assessment, immediacy, means, protection, and level of care.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trauma history and contextual crisis factors and omits direct danger or medical assessment, immediacy, means, protection, and level of care.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Incorrect—Decision-point trap. This choice may describe a possible later action, but it does not answer the exact qualifier and focus presented. In this vignette, that move does not resolve trauma history and contextual crisis factors and omits direct danger or medical assessment, immediacy, means, protection, and level of care.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trauma history and contextual crisis factors at the MOST decision point. Its sequence incorporates direct danger or medical assessment, immediacy, means, protection, and level of care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trauma history and contextual crisis factors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CTA-LMFT-AMFTRB-CP3-Q044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UNDER, TASK</w:t>
            </w:r>
          </w:p>
        </w:tc>
      </w:tr>
    </w:tbl>
    <w:p>
      <w:pPr>
        <w:pStyle w:val="Heading1"/>
        <w:pageBreakBefore/>
      </w:pPr>
      <w:r>
        <w:t>Item 45 -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practice wants an AI note assistant that records sessions, sends data to subcontractors, and trains future models unless users opt out. What should the practice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Map recording and data flows, verify current legal and ethical duties and vendor terms, assess consent and alternatives, minimize data, and require human accuracy review.</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Enable the tool for all clients and place the opt-out instructions in the practice's website privacy notice.</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Use the tool only for couple sessions because multiple participants provide a natural check on note accuracy.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Ask clinicians to delete the generated note after copying it into the record so upstream vendor retention no longer matters.</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FIRST qualifier and the approved focus of written disclosures, privacy, technology, and ai. It preserves current governing authority, client rights, informed agreement, minimum necessary action, and documentation. The competing choices show over, ethics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written disclosures, privacy, technology, and ai at the FIRST decision point. Its sequence incorporates current governing authority, client rights, informed agreement, minimum necessary action, and documentation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written disclosures, privacy, technology, and ai and omits current governing authority, client rights, informed agreement, minimum necessary action, and documentation.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written disclosures, privacy, technology, and ai and omits current governing authority, client rights, informed agreement, minimum necessary action, and documentation.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written disclosures, privacy, technology, and ai and omits current governing authority, client rights, informed agreement, minimum necessary action, and documentation.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written disclosures, privacy, technology, and ai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CTA-LMFT-AMFTRB-CP3-Q045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ETHICS</w:t>
            </w:r>
          </w:p>
        </w:tc>
      </w:tr>
    </w:tbl>
    <w:p>
      <w:pPr>
        <w:pStyle w:val="Heading1"/>
        <w:pageBreakBefore/>
      </w:pPr>
      <w:r>
        <w:t>Item 46 -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family asks to incorporate a spiritual ritual into treatment, and an evidence-supported intervention can be adapted without changing its core mechanism.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Decline because spiritual practices cannot be integrated into an evidence-supported treatment.</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Explore each member's meaning, preferences, safety, and goals, then collaboratively adapt the intervention while monitoring fidelity and outcome.</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Ask the family's spiritual leader to direct the clinical plan because the ritual falls within that person's expertise.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Use the ritual exactly as described by the most religious family member so the therapist does not impose outside values.</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FIRST qualifier and the approved focus of research- and theory-supported intervention; integrated with culture, spirituality, biology, and strengths in strategy. It preserves culture, identity, power, access, structural conditions, autonomy, and each voice. The competing choices show context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Incorrect—Context-erasure trap. This choice applies a universal or deficit-based frame and underweights identity, power, access, culture, autonomy, or voice. In this vignette, that move does not resolve research- and theory-supported intervention; integrated with culture, spirituality, biology, and strengths in strategy and omits culture, identity, power, access, structural conditions, autonomy, and each voice. It therefore cannot be the FIRST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research- and theory-supported intervention; integrated with culture, spirituality, biology, and strengths in strategy at the FIRST decision point. Its sequence incorporates culture, identity, power, access, structural conditions, autonomy, and each voice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Incorrect—Context-erasure trap. This choice applies a universal or deficit-based frame and underweights identity, power, access, culture, autonomy, or voice. In this vignette, that move does not resolve research- and theory-supported intervention; integrated with culture, spirituality, biology, and strengths in strategy and omits culture, identity, power, access, structural conditions, autonomy, and each voice.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Incorrect—Context-erasure trap. This choice applies a universal or deficit-based frame and underweights identity, power, access, culture, autonomy, or voice. In this vignette, that move does not resolve research- and theory-supported intervention; integrated with culture, spirituality, biology, and strengths in strategy and omits culture, identity, power, access, structural conditions, autonomy, and each voice.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research- and theory-supported intervention; integrated with culture, spirituality, biology, and strengths in strategy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CTA-LMFT-AMFTRB-CP3-Q046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03.08, 03.19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47 -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client working rotating night shifts reports fatigue, escalating couple conflict, and increasing use of over-the-counter stimulants. What should the therapist assess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Whether the partner's criticism is the primary cause of stimulant use and should become the identified treatment target.</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Whether a diagnosis can be assigned from the amount of stimulant use without examining occupational conditions.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Sleep and work patterns, substance timing and effects, medical risk, functioning, reciprocal relationship responses, and available workplace or health resources.</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Whether the client can change jobs immediately, because treatment cannot succeed while the shift schedule continues.</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NEXT qualifier and the approved focus of multidimensional functioning; integrated with occupational-context effects. It preserves culture, identity, power, access, structural conditions, autonomy, and each voice. The competing choices show context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Incorrect—Context-erasure trap. This choice applies a universal or deficit-based frame and underweights identity, power, access, culture, autonomy, or voice. In this vignette, that move does not resolve multidimensional functioning; integrated with occupational-context effects and omits culture, identity, power, access, structural conditions, autonomy, and each voice.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Incorrect—Context-erasure trap. This choice applies a universal or deficit-based frame and underweights identity, power, access, culture, autonomy, or voice. In this vignette, that move does not resolve multidimensional functioning; integrated with occupational-context effects and omits culture, identity, power, access, structural conditions, autonomy, and each voice.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multidimensional functioning; integrated with occupational-context effects at the NEXT decision point. Its sequence incorporates culture, identity, power, access, structural conditions, autonomy, and each voice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Incorrect—Context-erasure trap. This choice applies a universal or deficit-based frame and underweights identity, power, access, culture, autonomy, or voice. In this vignette, that move does not resolve multidimensional functioning; integrated with occupational-context effects and omits culture, identity, power, access, structural conditions, autonomy, and each voice.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multidimensional functioning; integrated with occupational-context effects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CTA-LMFT-AMFTRB-CP3-Q047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02.08, 02.19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48 -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Which method provides the MOST useful collaborative evaluation of progress for a couple experiencing infertility-related stress?</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The therapist's global impression after each session, because standardized measures cannot capture infertility experiences.</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 single symptom inventory administered at intake and termination so repeated measurement does not burden the couple.</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The referring physician's view of coping because medical outcomes determine whether therapy is effective.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Repeated outcome and alliance information combined with the couple's goals, relational functioning, treatment implementation, and contextual changes.</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MOST qualifier and the approved focus of collaborative progress evaluation. It preserves outcomes, alliance, implementation, barriers, client feedback, and plan revision. The competing choices show eval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collaborative progress evaluation and omits outcomes, alliance, implementation, barriers, client feedback, and plan revision.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collaborative progress evaluation and omits outcomes, alliance, implementation, barriers, client feedback, and plan revision.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collaborative progress evaluation and omits outcomes, alliance, implementation, barriers, client feedback, and plan revision.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collaborative progress evaluation at the MOST decision point. Its sequence incorporates outcomes, alliance, implementation, barriers, client feedback, and plan revision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collaborative progress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CTA-LMFT-AMFTRB-CP3-Q048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49 -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client uses harsh self-talk after conflict, and the partner responds with reassurance that briefly reduces distress but increases future dependence. Which formulation is MOST systemic?</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The self-talk and reassurance form a reciprocal pattern influenced by individual beliefs and relationship responses, so intervention can address both levels.</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The client's distorted thoughts cause the partner's behavior, so changing cognition should precede any relational work.</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The partner's reassurance creates the client's distress, so reassurance should stop before the client learns coping skills.</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Individual and systemic models are incompatible, so the therapist must choose one explanation and exclude the other.</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MOST qualifier and the approved focus of systemic conceptualization. It preserves reciprocal patterns, attempted solutions, roles, and contextual meaning. The competing choices show system,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systemic conceptualization at the MOST decision point. Its sequence incorporates reciprocal patterns, attempted solutions, roles, and contextual meaning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systemic conceptualization and omits reciprocal patterns, attempted solutions, roles, and contextual meaning.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systemic conceptualization and omits reciprocal patterns, attempted solutions, roles, and contextual meaning.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systemic conceptualization and omits reciprocal patterns, attempted solutions, roles, and contextual meaning.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systemic conceptualization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CTA-LMFT-AMFTRB-CP3-Q049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 OVER</w:t>
            </w:r>
          </w:p>
        </w:tc>
      </w:tr>
    </w:tbl>
    <w:p>
      <w:pPr>
        <w:pStyle w:val="Heading1"/>
        <w:pageBreakBefore/>
      </w:pPr>
      <w:r>
        <w:t>Item 50 -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client joins a teletherapy session from a parked car in another state and says, 'It is private enough.'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Proceed because the client has personally determined that the setting is private.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Confirm identity, exact location and jurisdiction, privacy, safety, emergency contacts, and authorization to practice before deciding whether the session can continue.</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Ask the client to drive home during the session so location and privacy concerns can be resolved without rescheduling.</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Continue for supportive counseling only because jurisdictional practice rules do not apply when no diagnosis is discussed.</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NEXT qualifier and the approved focus of teletherapy identity, location, and safety confirmation. It preserves current governing authority, client rights, informed agreement, minimum necessary action, and documentation. The competing choices show ethics,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teletherapy identity, location, and safety confirmation and omits current governing authority, client rights, informed agreement, minimum necessary action, and documentation.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teletherapy identity, location, and safety confirmation at the NEXT decision point. Its sequence incorporates current governing authority, client rights, informed agreement, minimum necessary action, and documentation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teletherapy identity, location, and safety confirmation and omits current governing authority, client rights, informed agreement, minimum necessary action, and documentation.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teletherapy identity, location, and safety confirmation and omits current governing authority, client rights, informed agreement, minimum necessary action, and documentation.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teletherapy identity, location, and safety confirmation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CTA-LMFT-AMFTRB-CP3-Q050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51 -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After a regional wildfire, families are displaced across several counties and agencies are duplicating some services while missing others. Which collaboration plan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Allow each agency to work independently so confidentiality is not complicated by cross-system communication.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Create one centralized clinical team that assumes all decision authority until the emergency ends.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Establish defined roles, consent and information boundaries, shared triage priorities, communication channels, referral tracking, and ongoing reassessment with community partners.</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Prioritize families already connected to therapy because established clients have the clearest treatment records.</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BEST qualifier and the approved focus of stakeholder collaboration in crisis. It preserves stabilization, role clarity, coordination, and readiness for the next stage. The competing choices show stage,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Incorrect—Wrong-stage trap. This choice attempts later treatment work before stabilization, role clarification, coordination, or readiness. In this vignette, that move does not resolve stakeholder collaboration in crisis and omits stabilization, role clarity, coordination, and readiness for the next stage.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stakeholder collaboration in crisis and omits stabilization, role clarity, coordination, and readiness for the next stage.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stakeholder collaboration in crisis at the BEST decision point. Its sequence incorporates stabilization, role clarity, coordination, and readiness for the next stage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Incorrect—Wrong-stage trap. This choice attempts later treatment work before stabilization, role clarification, coordination, or readiness. In this vignette, that move does not resolve stakeholder collaboration in crisis and omits stabilization, role clarity, coordination, and readiness for the next stage.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stakeholder collaboration in crisis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CTA-LMFT-AMFTRB-CP3-Q051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w:t>
            </w:r>
          </w:p>
        </w:tc>
      </w:tr>
    </w:tbl>
    <w:p>
      <w:pPr>
        <w:pStyle w:val="Heading1"/>
        <w:pageBreakBefore/>
      </w:pPr>
      <w:r>
        <w:t>Item 52 -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Which explanation MOST effectively supports collaborative intervention rationale?</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'This technique is standard for couples with your diagnosis, so we should begin before discussing alternatives.'</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'My model assumes this will work even if the pattern we identified changes during treatment.'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'The research supports this method, which means your preferences should not affect how it is delivered.'</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'We linked this step to your cycle and goals; here is how it may help, its alternatives, and how we will evaluate it together.'</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MOST qualifier and the approved focus of collaborative intervention rationale. It preserves collaborative goals, alliance, sequencing, treatment-unit fit, and completion criteria. The competing choices show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collaborative intervention rationale and omits collaborative goals, alliance, sequencing, treatment-unit fit, and completion criteria.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collaborative intervention rationale and omits collaborative goals, alliance, sequencing, treatment-unit fit, and completion criteria.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collaborative intervention rationale and omits collaborative goals, alliance, sequencing, treatment-unit fit, and completion criteria.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collaborative intervention rationale at the MOST decision point. Its sequence incorporates collaborative goals, alliance, sequencing, treatment-unit fit, and completion criteria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collaborative intervention rationale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CTA-LMFT-AMFTRB-CP3-Q052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r>
    </w:tbl>
    <w:p>
      <w:pPr>
        <w:pStyle w:val="Heading1"/>
        <w:pageBreakBefore/>
      </w:pPr>
      <w:r>
        <w:t>Item 53 -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parent in early recovery reports cravings, missed medication appointments, and conflict about money while family members alternate between surveillance and avoidance. Which plan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Assess current substance and medical risk, recovery supports, motivation, finances, and the surveillance-avoidance cycle; coordinate appropriate care with consent and build a relational recovery plan.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Focus only on family communication because substance use is an individual medical issue outside systemic treatment.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Require daily family drug testing before exploring treatment goals so abstinence becomes the organizing condition of therapy.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Ask family members to stop monitoring immediately because surveillance always undermines recovery autonomy.</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BEST qualifier and the approved focus of substance-use effects on the client system. It preserves integrated, provisional assessment using multiple valid data sources and context. The competing choices show over,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substance-use effects on the client system at the BEST decision point. Its sequence incorporates integrated, provisional assessment using multiple valid data sources and context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substance-use effects on the client system and omits integrated, provisional assessment using multiple valid data sources and context.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substance-use effects on the client system and omits integrated, provisional assessment using multiple valid data sources and context.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substance-use effects on the client system and omits integrated, provisional assessment using multiple valid data sources and context.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substance-use effects on the client system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CTA-LMFT-AMFTRB-CP3-Q053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PLAN</w:t>
            </w:r>
          </w:p>
        </w:tc>
      </w:tr>
    </w:tbl>
    <w:p>
      <w:pPr>
        <w:pStyle w:val="Heading1"/>
        <w:pageBreakBefore/>
      </w:pPr>
      <w:r>
        <w:t>Item 54 -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Parents in a custody dispute ask the treating therapist to decide which home is psychologically healthier. Treatment data show the child is distressed by transitions. Which response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Recommend the home with better attendance because treatment participation predicts parenting capacity.</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Clarify the treatment role, avoid unsupported custody conclusions, and use treatment data with authorized participants to address transition distress.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Interview each parent separately and provide the court a comparative opinion based on clinical impressions.</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Suspend treatment until the custody case ends so any plan modification cannot influence legal proceedings.</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BEST qualifier and the approved focus of collaborative plan modification. It preserves outcomes, alliance, implementation, barriers, client feedback, and plan revision. The competing choices show eval,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collaborative plan modification and omits outcomes, alliance, implementation, barriers, client feedback, and plan revision.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collaborative plan modification at the BEST decision point. Its sequence incorporates outcomes, alliance, implementation, barriers, client feedback, and plan revision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collaborative plan modification and omits outcomes, alliance, implementation, barriers, client feedback, and plan revision.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collaborative plan modification and omits outcomes, alliance, implementation, barriers, client feedback, and plan revision.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collaborative plan modification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CTA-LMFT-AMFTRB-CP3-Q054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 UNDER</w:t>
            </w:r>
          </w:p>
        </w:tc>
      </w:tr>
    </w:tbl>
    <w:p>
      <w:pPr>
        <w:pStyle w:val="Heading1"/>
        <w:pageBreakBefore/>
      </w:pPr>
      <w:r>
        <w:t>Item 55 -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therapist conceptualizes a family's difficulty as a pattern maintained by rigid beliefs about loyalty. What should the therapist do NEXT to remain theory-practice consistent?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Use a generic communication worksheet because skills practice is useful regardless of the hypothesis.</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Challenge the most rigid family member directly so the belief system loses authority.</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Choose an intervention designed to reveal and expand the loyalty meanings while testing whether the interactional pattern changes.</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Replace the systemic hypothesis with an individual diagnosis before selecting any technique.</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NEXT qualifier and the approved focus of theory-practice consistency. It preserves reciprocal patterns, attempted solutions, roles, and contextual meaning. The competing choices show over, system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theory-practice consistency and omits reciprocal patterns, attempted solutions, roles, and contextual meaning.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theory-practice consistency and omits reciprocal patterns, attempted solutions, roles, and contextual meaning.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theory-practice consistency at the NEXT decision point. Its sequence incorporates reciprocal patterns, attempted solutions, roles, and contextual meaning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theory-practice consistency and omits reciprocal patterns, attempted solutions, roles, and contextual meaning.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theory-practice consistency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CTA-LMFT-AMFTRB-CP3-Q055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SYSTEM</w:t>
            </w:r>
          </w:p>
        </w:tc>
      </w:tr>
    </w:tbl>
    <w:p>
      <w:pPr>
        <w:pStyle w:val="Heading1"/>
        <w:pageBreakBefore/>
      </w:pPr>
      <w:r>
        <w:t>Item 56 -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supervisee begins providing free transportation to a financially stressed client and asks to use the client's business for personal home repairs. Which concern is MOST important?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The arrangement may reduce billable time but is acceptable if both parties believe it is mutually helpful.</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The supervisee should charge for transportation so the relationship remains a standard business exchange.</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The client should sign a dual-relationship waiver because written consent resolves exploitation risk.</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Power, dependency, role conflict, impaired judgment, and potential exploitation require prompt supervisory review, boundary correction, and documentation.</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MOST qualifier and the approved focus of exploitation-risk prevention. It preserves current governing authority, client rights, informed agreement, minimum necessary action, and documentation. The competing choices show ethics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exploitation-risk prevention and omits current governing authority, client rights, informed agreement, minimum necessary action, and documentation.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exploitation-risk prevention and omits current governing authority, client rights, informed agreement, minimum necessary action, and documentation.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exploitation-risk prevention and omits current governing authority, client rights, informed agreement, minimum necessary action, and documentation.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exploitation-risk prevention at the MOST decision point. Its sequence incorporates current governing authority, client rights, informed agreement, minimum necessary action, and documentation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exploitation-risk prevention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CTA-LMFT-AMFTRB-CP3-Q056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r>
    </w:tbl>
    <w:p>
      <w:pPr>
        <w:pStyle w:val="Heading1"/>
        <w:pageBreakBefore/>
      </w:pPr>
      <w:r>
        <w:t>Item 57 -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When a client in acute crisis cannot use reflective couple work and may need a higher level of care,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Stabilize immediate risk and functioning, select the safest available crisis modality and resources, and arrange continuity before returning to routine treatment.</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Continue the couple intervention because changing modalities may reinforce avoidance of difficult emotions.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Obtain a complete multigenerational history before deciding whether the crisis is severe enough for referral.</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Transfer the client permanently because crisis management and systemic therapy cannot occur in the same episode of care.</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FIRST qualifier and the approved focus of modality-responsive crisis action and resources. It preserves direct danger or medical assessment, immediacy, means, protection, and level of care. The competing choices show plan, safety,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modality-responsive crisis action and resources at the FIRST decision point. Its sequence incorporates direct danger or medical assessment, immediacy, means, protection, and level of care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modality-responsive crisis action and resources and omits direct danger or medical assessment, immediacy, means, protection, and level of care.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modality-responsive crisis action and resources and omits direct danger or medical assessment, immediacy, means, protection, and level of care.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modality-responsive crisis action and resources and omits direct danger or medical assessment, immediacy, means, protection, and level of care.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modality-responsive crisis action and resources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CTA-LMFT-AMFTRB-CP3-Q057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SAFETY, OVER</w:t>
            </w:r>
          </w:p>
        </w:tc>
      </w:tr>
    </w:tbl>
    <w:p>
      <w:pPr>
        <w:pStyle w:val="Heading1"/>
        <w:pageBreakBefore/>
      </w:pPr>
      <w:r>
        <w:t>Item 58 -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client wants a parent included for one treatment-planning session but not for trauma details. Which participation plan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Invite the parent to all sessions because meaningful systemic work requires full access to treatment content.</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Clarify goals, consent, the parent's limited role and information boundaries, then sequence participation to support autonomy and fit.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Exclude the parent because selective participation creates an unmanageable confidentiality risk.</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Let the parent decide which information is necessary after hearing the treatment diagnosis.</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BEST qualifier and the approved focus of treatment sequence and participant selection; integrated with client autonomy in treatment strategy. It preserves culture, identity, power, access, structural conditions, autonomy, and each voice. The competing choices show over, plan, context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treatment sequence and participant selection; integrated with client autonomy in treatment strategy and omits culture, identity, power, access, structural conditions, autonomy, and each voice.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treatment sequence and participant selection; integrated with client autonomy in treatment strategy at the BEST decision point. Its sequence incorporates culture, identity, power, access, structural conditions, autonomy, and each voice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treatment sequence and participant selection; integrated with client autonomy in treatment strategy and omits culture, identity, power, access, structural conditions, autonomy, and each voice.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Incorrect—Context-erasure trap. This choice applies a universal or deficit-based frame and underweights identity, power, access, culture, autonomy, or voice. In this vignette, that move does not resolve treatment sequence and participant selection; integrated with client autonomy in treatment strategy and omits culture, identity, power, access, structural conditions, autonomy, and each voice.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treatment sequence and participant selection; integrated with client autonomy in treatment strategy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CTA-LMFT-AMFTRB-CP3-Q058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03.10, 03.20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PLAN, CONTEXT</w:t>
            </w:r>
          </w:p>
        </w:tc>
      </w:tr>
    </w:tbl>
    <w:p>
      <w:pPr>
        <w:pStyle w:val="Heading1"/>
        <w:pageBreakBefore/>
      </w:pPr>
      <w:r>
        <w:t>Item 59 -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child in a high-conflict custody situation reports headaches, startle responses, and possible physical injury after exchanges. Which response is MOST appropriate?</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Begin exposure exercises so avoidance does not strengthen trauma symptoms while the custody dispute continues.</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both parents to agree on whether the injuries occurred before seeking outside evaluation.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Assess immediate safety and trauma effects, obtain indicated medical or specialized evaluation, and follow current protective duties while maintaining the treatment role.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Delay action until repeated reports establish a stable pattern that can be distinguished from custody-related influence.</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MOST qualifier and the approved focus of violence, trauma, and vicarious-trauma effects; integrated with need for outside evaluation. It preserves direct danger or medical assessment, immediacy, means, protection, and level of care. The competing choices show safety,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violence, trauma, and vicarious-trauma effects; integrated with need for outside evaluation and omits direct danger or medical assessment, immediacy, means, protection, and level of care.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violence, trauma, and vicarious-trauma effects; integrated with need for outside evaluation and omits direct danger or medical assessment, immediacy, means, protection, and level of care.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violence, trauma, and vicarious-trauma effects; integrated with need for outside evaluation at the MOST decision point. Its sequence incorporates direct danger or medical assessment, immediacy, means, protection, and level of care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violence, trauma, and vicarious-trauma effects; integrated with need for outside evaluation and omits direct danger or medical assessment, immediacy, means, protection, and level of care.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violence, trauma, and vicarious-trauma effects; integrated with need for outside evaluation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CTA-LMFT-AMFTRB-CP3-Q059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02.10, 02.20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UNDER</w:t>
            </w:r>
          </w:p>
        </w:tc>
      </w:tr>
    </w:tbl>
    <w:p>
      <w:pPr>
        <w:pStyle w:val="Heading1"/>
        <w:pageBreakBefore/>
      </w:pPr>
      <w:r>
        <w:t>Item 60 -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therapist faces an unfamiliar ethics question involving a marginalized family and seeks consultation. Which approach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Share the complete record so the consultant can identify every possible issue without missing context.</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a colleague for an informal opinion and omit the discussion from documentation because no formal service was provided.</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Choose a consultant who agrees with the therapist's initial view so the record demonstrates professional support.</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Define the question, protect information to the extent possible, select qualified consultation, consider power and context, and document advice, analysis, and the therapist's decision.</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BEST qualifier and the approved focus of ethical/legal consultation and documentation. It preserves current governing authority, client rights, informed agreement, minimum necessary action, and documentation. The competing choices show over, ethics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ethical/legal consultation and documentation and omits current governing authority, client rights, informed agreement, minimum necessary action, and documentation.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ethical/legal consultation and documentation and omits current governing authority, client rights, informed agreement, minimum necessary action, and documentation.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ethical/legal consultation and documentation and omits current governing authority, client rights, informed agreement, minimum necessary action, and documentation.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ethical/legal consultation and documentation at the BEST decision point. Its sequence incorporates current governing authority, client rights, informed agreement, minimum necessary action, and documentation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ethical/legal consultation and documentation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CTA-LMFT-AMFTRB-CP3-Q060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KA64, KA70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ETHICS</w:t>
            </w:r>
          </w:p>
        </w:tc>
      </w:tr>
    </w:tbl>
    <w:p>
      <w:pPr>
        <w:pStyle w:val="Heading1"/>
        <w:pageBreakBefore/>
      </w:pPr>
      <w:r>
        <w:t>Item 61 -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Before continuing a changed delivery modality, what should the therapist assess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Whether the modality remains safe, accessible, private, clinically effective, and acceptable to the client system based on outcome and alliance information.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Whether the therapist prefers the modality and can schedule more clients with it.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Whether the modality is widely advertised by other practices in the jurisdiction.</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Whether at least one participant reports convenience, regardless of other members' access or engagement.</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FIRST qualifier and the approved focus of ongoing delivery-modality fit. It preserves outcomes, alliance, implementation, barriers, client feedback, and plan revision. The competing choices show eval,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ongoing delivery-modality fit at the FIRST decision point. Its sequence incorporates outcomes, alliance, implementation, barriers, client feedback, and plan revision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ongoing delivery-modality fit and omits outcomes, alliance, implementation, barriers, client feedback, and plan revision.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ongoing delivery-modality fit and omits outcomes, alliance, implementation, barriers, client feedback, and plan revision.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ongoing delivery-modality fit and omits outcomes, alliance, implementation, barriers, client feedback, and plan revision.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ongoing delivery-modality fit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CTA-LMFT-AMFTRB-CP3-Q061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 OVER</w:t>
            </w:r>
          </w:p>
        </w:tc>
      </w:tr>
    </w:tbl>
    <w:p>
      <w:pPr>
        <w:pStyle w:val="Heading1"/>
        <w:pageBreakBefore/>
      </w:pPr>
      <w:r>
        <w:t>Item 62 -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child's school refusal decreases whenever parents stop arguing and jointly organize the morning, but returns when they disagree about discipline.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Ask the child to track anxious thoughts for two weeks before discussing the parents' conflict or changing the morning routine.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Identify how the symptom functions within the reciprocal family pattern and collaborate on changing the parental sequence that surrounds it.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Treat the child individually until school attendance is stable because parental conflict is only a background stressor.</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Ask the school to impose stricter consequences so the family's homeostatic pattern is disrupted from outside.</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FIRST qualifier and the approved focus of individual and systemic integration. It preserves reciprocal patterns, attempted solutions, roles, and contextual meaning. The competing choices show system,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individual and systemic integration and omits reciprocal patterns, attempted solutions, roles, and contextual meaning. It therefore cannot be the FIRST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individual and systemic integration at the FIRST decision point. Its sequence incorporates reciprocal patterns, attempted solutions, roles, and contextual meaning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individual and systemic integration and omits reciprocal patterns, attempted solutions, roles, and contextual meaning.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individual and systemic integration and omits reciprocal patterns, attempted solutions, roles, and contextual meaning.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individual and systemic integration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CTA-LMFT-AMFTRB-CP3-Q062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 UNDER</w:t>
            </w:r>
          </w:p>
        </w:tc>
      </w:tr>
    </w:tbl>
    <w:p>
      <w:pPr>
        <w:pStyle w:val="Heading1"/>
        <w:pageBreakBefore/>
      </w:pPr>
      <w:r>
        <w:t>Item 63 -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During a family session, an older adult becomes confused, weak on one side, and unable to repeat a simple sentence.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Use grounding exercises and reassess after the family has completed the planned communication task.</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relatives whether similar episodes occur during conflict before deciding whether the symptoms are medical.</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Treat the presentation as a possible medical emergency, activate emergency response, maintain immediate safety, and provide relevant information to responders.</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End the session and advise the family to contact the client's primary clinician within the next day.</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NEXT qualifier and the approved focus of crisis impairment and immediate intervention. It preserves direct danger or medical assessment, immediacy, means, protection, and level of care. The competing choices show task, safety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Incorrect—Decision-point trap. This choice may describe a possible later action, but it does not answer the exact qualifier and focus presented. In this vignette, that move does not resolve crisis impairment and immediate intervention and omits direct danger or medical assessment, immediacy, means, protection, and level of care.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Incorrect—Decision-point trap. This choice may describe a possible later action, but it does not answer the exact qualifier and focus presented. In this vignette, that move does not resolve crisis impairment and immediate intervention and omits direct danger or medical assessment, immediacy, means, protection, and level of care.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crisis impairment and immediate intervention at the NEXT decision point. Its sequence incorporates direct danger or medical assessment, immediacy, means, protection, and level of care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crisis impairment and immediate intervention and omits direct danger or medical assessment, immediacy, means, protection, and level of care.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crisis impairment and immediate intervention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CTA-LMFT-AMFTRB-CP3-Q063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TASK, SAFETY</w:t>
            </w:r>
          </w:p>
        </w:tc>
      </w:tr>
    </w:tbl>
    <w:p>
      <w:pPr>
        <w:pStyle w:val="Heading1"/>
        <w:pageBreakBefore/>
      </w:pPr>
      <w:r>
        <w:t>Item 64 -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couple seeks help after one partner returns from residential substance-use treatment. The other partner monitors every activity, and both fear relapse.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Require the recovering partner to provide unrestricted access to all communications so trust can be rebuilt through transparency.</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the monitoring partner to stop all questions because recovery requires complete independence from the family system.</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Focus on historical couple injuries before discussing recovery supports so substance use does not dominate the relationship.</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Coordinate recovery and medical supports with consent, assess current risk, and build a collaborative relapse, boundary, and relationship-repair plan.</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NEXT qualifier and the approved focus of recovery-oriented systemic substance-use care. It preserves collaborative goals, alliance, sequencing, treatment-unit fit, and completion criteria. The competing choices show over,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recovery-oriented systemic substance-use care and omits collaborative goals, alliance, sequencing, treatment-unit fit, and completion criteria.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recovery-oriented systemic substance-use care and omits collaborative goals, alliance, sequencing, treatment-unit fit, and completion criteria.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recovery-oriented systemic substance-use care and omits collaborative goals, alliance, sequencing, treatment-unit fit, and completion criteria.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recovery-oriented systemic substance-use care at the NEXT decision point. Its sequence incorporates collaborative goals, alliance, sequencing, treatment-unit fit, and completion criteria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recovery-oriented systemic substance-use care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CTA-LMFT-AMFTRB-CP3-Q064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PLAN</w:t>
            </w:r>
          </w:p>
        </w:tc>
      </w:tr>
    </w:tbl>
    <w:p>
      <w:pPr>
        <w:pStyle w:val="Heading1"/>
        <w:pageBreakBefore/>
      </w:pPr>
      <w:r>
        <w:t>Item 65 -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An adult reports nightmares and avoidance related to childhood violence but also describes strong community support and stable current functioning.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Assess current symptoms, duration, impairment, development, safety, context, and protective factors before deciding whether diagnostic criteria are met.</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Assign a trauma diagnosis because exposure and nightmares together are sufficient for classification.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Avoid diagnostic discussion because systemic therapists should not use DSM or ICD categories.</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Ask family members to confirm every childhood event before exploring the client's present experience.</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FIRST qualifier and the approved focus of childhood-experience and trauma effects. It preserves integrated, provisional assessment using multiple valid data sources and context. The competing choices show ethics, assess,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childhood-experience and trauma effects at the FIRST decision point. Its sequence incorporates integrated, provisional assessment using multiple valid data sources and context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childhood-experience and trauma effects and omits integrated, provisional assessment using multiple valid data sources and context.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childhood-experience and trauma effects and omits integrated, provisional assessment using multiple valid data sources and context.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childhood-experience and trauma effects and omits integrated, provisional assessment using multiple valid data sources and context.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childhood-experience and trauma effects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CTA-LMFT-AMFTRB-CP3-Q065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ASSESS, OVER</w:t>
            </w:r>
          </w:p>
        </w:tc>
      </w:tr>
    </w:tbl>
    <w:p>
      <w:pPr>
        <w:pStyle w:val="Heading1"/>
        <w:pageBreakBefore/>
      </w:pPr>
      <w:r>
        <w:t>Item 66 -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school counselor, primary-care clinician, and family therapist are all helping an adolescent, but the family is unclear about who receives which information.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Send a complete summary to all providers so inconsistent recommendations can be corrected quickly.</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Clarify each professional's role, obtain and document appropriate authorization, define information boundaries and communication channels, and center the family's goals.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Ask the school counselor to lead coordination because the adolescent spends the most time at school.</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Stop communicating with the team because multiple providers create unavoidable confidentiality conflicts.</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FIRST qualifier and the approved focus of interprofessional roles and responsibilities. It preserves competence, role, authority, consultation, training, and referral limits. The competing choices show scope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Incorrect—Scope trap. This choice assumes authority or competence without evaluating limits, consultation, training, or referral. In this vignette, that move does not resolve interprofessional roles and responsibilities and omits competence, role, authority, consultation, training, and referral limits. It therefore cannot be the FIRST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interprofessional roles and responsibilities at the FIRST decision point. Its sequence incorporates competence, role, authority, consultation, training, and referral limits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Incorrect—Scope trap. This choice assumes authority or competence without evaluating limits, consultation, training, or referral. In this vignette, that move does not resolve interprofessional roles and responsibilities and omits competence, role, authority, consultation, training, and referral limits.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Incorrect—Scope trap. This choice assumes authority or competence without evaluating limits, consultation, training, or referral. In this vignette, that move does not resolve interprofessional roles and responsibilities and omits competence, role, authority, consultation, training, and referral limits.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interprofessional roles and responsibilities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CTA-LMFT-AMFTRB-CP3-Q066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r>
    </w:tbl>
    <w:p>
      <w:pPr>
        <w:pStyle w:val="Heading1"/>
        <w:pageBreakBefore/>
      </w:pPr>
      <w:r>
        <w:t>Item 67 -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divorcing couple has completed therapy goals but anticipates stress during future school events involving both households.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Continue weekly therapy until the youngest child graduates so predictable stress cannot reactivate conflict.</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Terminate without discussing future contact because planning may imply that the couple has not met goals.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Consolidate effective co-parenting responses, rehearse a maintenance plan for school events, identify supports and return criteria, and complete termination collaboratively.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Refer one parent to a new therapist and retain the other so each household has separate professional advocacy.</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NEXT qualifier and the approved focus of collaborative termination and maintenance planning. It preserves outcomes, alliance, implementation, barriers, client feedback, and plan revision. The competing choices show under, plan, eval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collaborative termination and maintenance planning and omits outcomes, alliance, implementation, barriers, client feedback, and plan revision.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collaborative termination and maintenance planning and omits outcomes, alliance, implementation, barriers, client feedback, and plan revision.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collaborative termination and maintenance planning at the NEXT decision point. Its sequence incorporates outcomes, alliance, implementation, barriers, client feedback, and plan revision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collaborative termination and maintenance planning and omits outcomes, alliance, implementation, barriers, client feedback, and plan revision.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collaborative termination and maintenance planning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CTA-LMFT-AMFTRB-CP3-Q067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PLAN, EVAL</w:t>
            </w:r>
          </w:p>
        </w:tc>
      </w:tr>
    </w:tbl>
    <w:p>
      <w:pPr>
        <w:pStyle w:val="Heading1"/>
        <w:pageBreakBefore/>
      </w:pPr>
      <w:r>
        <w:t>Item 68 -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standardized couple intervention assumes equal financial power, but one partner's immigration status and economic dependence limit decision-making. Which adaptation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Use the protocol unchanged so the therapist does not stereotype the couple based on social position.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Assign the dependent partner more homework to build equality through individual effort.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Suspend couple work until immigration and financial conditions are resolved outside therapy.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Assess safety and coercion, name structural constraints, preserve both voices, and adapt the intervention for genuinely collaborative participation.</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BEST qualifier and the approved focus of diversity and social-justice integration. It preserves culture, identity, power, access, structural conditions, autonomy, and each voice. The competing choices show context,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Incorrect—Context-erasure trap. This choice applies a universal or deficit-based frame and underweights identity, power, access, culture, autonomy, or voice. In this vignette, that move does not resolve diversity and social-justice integration and omits culture, identity, power, access, structural conditions, autonomy, and each voice.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Incorrect—Context-erasure trap. This choice applies a universal or deficit-based frame and underweights identity, power, access, culture, autonomy, or voice. In this vignette, that move does not resolve diversity and social-justice integration and omits culture, identity, power, access, structural conditions, autonomy, and each voice.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diversity and social-justice integration and omits culture, identity, power, access, structural conditions, autonomy, and each voice.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diversity and social-justice integration at the BEST decision point. Its sequence incorporates culture, identity, power, access, structural conditions, autonomy, and each voice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diversity and social-justice integration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CTA-LMFT-AMFTRB-CP3-Q068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UNDER</w:t>
            </w:r>
          </w:p>
        </w:tc>
      </w:tr>
    </w:tbl>
    <w:p>
      <w:pPr>
        <w:pStyle w:val="Heading1"/>
        <w:pageBreakBefore/>
      </w:pPr>
      <w:r>
        <w:t>Item 69 -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During sex therapy, a client discloses recent suicidal thoughts after a relationship rupture but denies current intent. Which concern is MOST important to address now?</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Complete a direct suicide-risk assessment and determine the needed safety response before continuing the planned sexual intervention.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Explore sexual avoidance first because resolving the relationship rupture may eliminate the suicidal thoughts.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Ask the partner to guarantee supervision between sessions and proceed if the partner agrees.</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Pause all treatment until the client independently obtains a psychiatric diagnosis.</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MOST qualifier and the approved focus of suicide risk and intervention level. It preserves direct danger or medical assessment, immediacy, means, protection, and level of care. The competing choices show safety,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suicide risk and intervention level at the MOST decision point. Its sequence incorporates direct danger or medical assessment, immediacy, means, protection, and level of care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suicide risk and intervention level and omits direct danger or medical assessment, immediacy, means, protection, and level of care.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suicide risk and intervention level and omits direct danger or medical assessment, immediacy, means, protection, and level of care.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suicide risk and intervention level and omits direct danger or medical assessment, immediacy, means, protection, and level of care.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suicide risk and intervention level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CTA-LMFT-AMFTRB-CP3-Q069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UNDER</w:t>
            </w:r>
          </w:p>
        </w:tc>
      </w:tr>
    </w:tbl>
    <w:p>
      <w:pPr>
        <w:pStyle w:val="Heading1"/>
        <w:pageBreakBefore/>
      </w:pPr>
      <w:r>
        <w:t>Item 70 -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genogram reveals repeated family concern about mood changes, and a client recently started a medication associated with activation.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Use the genogram to challenge the family's belief that medication contributes to the change.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Assess timing, symptoms, sleep, safety, and relational observations; coordinate promptly with the prescriber with consent while using the family map as contextual evidence.</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Recommend that the client stop the medication until the family agrees that the prior mood has returned.</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Postpone medication discussion because family mapping should remain separate from biological treatment.</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FIRST qualifier and the approved focus of genograms and family mapping as interventions; integrated with medication effects and prescriber coordination. It preserves direct danger or medical assessment, immediacy, means, protection, and level of care. The competing choices show safety,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genograms and family mapping as interventions; integrated with medication effects and prescriber coordination and omits direct danger or medical assessment, immediacy, means, protection, and level of care. It therefore cannot be the FIRST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genograms and family mapping as interventions; integrated with medication effects and prescriber coordination at the FIRST decision point. Its sequence incorporates direct danger or medical assessment, immediacy, means, protection, and level of care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genograms and family mapping as interventions; integrated with medication effects and prescriber coordination and omits direct danger or medical assessment, immediacy, means, protection, and level of care.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genograms and family mapping as interventions; integrated with medication effects and prescriber coordination and omits direct danger or medical assessment, immediacy, means, protection, and level of care.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genograms and family mapping as interventions; integrated with medication effects and prescriber coordination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CTA-LMFT-AMFTRB-CP3-Q070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03.12, 03.21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UNDER</w:t>
            </w:r>
          </w:p>
        </w:tc>
      </w:tr>
    </w:tbl>
    <w:p>
      <w:pPr>
        <w:pStyle w:val="Heading1"/>
        <w:pageBreakBefore/>
      </w:pPr>
      <w:r>
        <w:t>Item 71 -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standardized measure suggests severe online-gaming problems, but the client disputes the score and reports that gaming is the main source of peer support.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Accept the severe score because standardized instruments are more reliable than client reports about rewarding behavior.</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Discard the instrument because the client identifies a social benefit and therefore cannot have a process-use disorder.</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Integrate validity and score information with interview, functioning, developmental and cultural context, family impact, strengths, and collaborative treatment priorities.</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Prioritize abstinence before assessment so the client's baseline functioning can be observed without gaming.</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NEXT qualifier and the approved focus of process-use disorder effects; integrated with collaborative diagnosis and treatment priorities. It preserves integrated, provisional assessment using multiple valid data sources and context. The competing choices show assess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process-use disorder effects; integrated with collaborative diagnosis and treatment priorities and omits integrated, provisional assessment using multiple valid data sources and context.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process-use disorder effects; integrated with collaborative diagnosis and treatment priorities and omits integrated, provisional assessment using multiple valid data sources and context.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process-use disorder effects; integrated with collaborative diagnosis and treatment priorities at the NEXT decision point. Its sequence incorporates integrated, provisional assessment using multiple valid data sources and context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process-use disorder effects; integrated with collaborative diagnosis and treatment priorities and omits integrated, provisional assessment using multiple valid data sources and context.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process-use disorder effects; integrated with collaborative diagnosis and treatment priorities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CTA-LMFT-AMFTRB-CP3-Q071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02.12, 02.21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r>
    </w:tbl>
    <w:p>
      <w:pPr>
        <w:pStyle w:val="Heading1"/>
        <w:pageBreakBefore/>
      </w:pPr>
      <w:r>
        <w:t>Item 72 -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teletherapy practice closes, and clients need records transferred while one cloud vendor will soon delete stored files.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Download all files to a personal device so records remain available regardless of the practice's security systems.</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Tell clients to request records from the vendor because the vendor controls the storage account.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Delete the files immediately to prevent any future privacy breach and document only that the practice closed.</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Follow current retention, authorization, secure transfer, notice, access, storage, and disposal requirements and document the continuity plan.</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NEXT qualifier and the approved focus of accurate records, storage, transfer, and disposal. It preserves current governing authority, client rights, informed agreement, minimum necessary action, and documentation. The competing choices show over, ethics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accurate records, storage, transfer, and disposal and omits current governing authority, client rights, informed agreement, minimum necessary action, and documentation.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accurate records, storage, transfer, and disposal and omits current governing authority, client rights, informed agreement, minimum necessary action, and documentation.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accurate records, storage, transfer, and disposal and omits current governing authority, client rights, informed agreement, minimum necessary action, and documentation.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accurate records, storage, transfer, and disposal at the NEXT decision point. Its sequence incorporates current governing authority, client rights, informed agreement, minimum necessary action, and documentation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accurate records, storage, transfer, and disposal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CTA-LMFT-AMFTRB-CP3-Q072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ETHICS</w:t>
            </w:r>
          </w:p>
        </w:tc>
      </w:tr>
    </w:tbl>
    <w:p>
      <w:pPr>
        <w:pStyle w:val="Heading1"/>
        <w:pageBreakBefore/>
      </w:pPr>
      <w:r>
        <w:t>Item 73 -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An educational support group reports high satisfaction, but skill use and family functioning have not improved. Which conclusion is MOST appropriate?</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Satisfaction, implementation, skill practice, contextual barriers, and outcome trends should be examined together before the group is continued or revised.</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High satisfaction establishes effectiveness because participant experience is the primary outcome of educational groups.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The curriculum is ineffective and should be replaced without checking attendance or delivery fidelity.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Family functioning is unrelated to a support group, so only satisfaction should be monitored.</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MOST qualifier and the approved focus of theory and research in process/outcome evaluation. It preserves outcomes, alliance, implementation, barriers, client feedback, and plan revision. The competing choices show eval, over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theory and research in process/outcome evaluation at the MOST decision point. Its sequence incorporates outcomes, alliance, implementation, barriers, client feedback, and plan revision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theory and research in process/outcome evaluation and omits outcomes, alliance, implementation, barriers, client feedback, and plan revision.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theory and research in process/outcome evaluation and omits outcomes, alliance, implementation, barriers, client feedback, and plan revision.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theory and research in process/outcome evaluation and omits outcomes, alliance, implementation, barriers, client feedback, and plan revision.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theory and research in process/outcome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CTA-LMFT-AMFTRB-CP3-Q073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 OVER</w:t>
            </w:r>
          </w:p>
        </w:tc>
      </w:tr>
    </w:tbl>
    <w:p>
      <w:pPr>
        <w:pStyle w:val="Heading1"/>
        <w:pageBreakBefore/>
      </w:pPr>
      <w:r>
        <w:t>Item 74 -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Parents answer every question for their emerging-adult child, who has a developmental disability and asks to speak privately. Which response is MOST appropriate?</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Continue with the parents because developmental disability eliminates the need for private participation.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Assess support needs, consent, and roles; provide an accessible private voice and include family according to the client's rights.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Exclude the parents permanently so the client can demonstrate independence.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Ask the parents to decide whether privacy is developmentally appropriate before speaking with the client.</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MOST qualifier and the approved focus of safe, inclusive therapeutic space. It preserves culture, identity, power, access, structural conditions, autonomy, and each voice. The competing choices show over,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safe, inclusive therapeutic space and omits culture, identity, power, access, structural conditions, autonomy, and each voice.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safe, inclusive therapeutic space at the MOST decision point. Its sequence incorporates culture, identity, power, access, structural conditions, autonomy, and each voice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safe, inclusive therapeutic space and omits culture, identity, power, access, structural conditions, autonomy, and each voice.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safe, inclusive therapeutic space and omits culture, identity, power, access, structural conditions, autonomy, and each voice.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safe, inclusive therapeutic space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CTA-LMFT-AMFTRB-CP3-Q074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PLAN</w:t>
            </w:r>
          </w:p>
        </w:tc>
      </w:tr>
    </w:tbl>
    <w:p>
      <w:pPr>
        <w:pStyle w:val="Heading1"/>
        <w:pageBreakBefore/>
      </w:pPr>
      <w:r>
        <w:t>Item 75 -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client says a partner used physical force during sexual contact, and the client now has pain and fears going home. Which response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Begin a sexual communication exercise so both partners can clarify the misunderstanding while details are recent.</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Invite the partner into the session to determine whether the contact met the couple's usual consent practices.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Assess immediate safety, coercion, injury and medical needs, safe destination, and specialized or protective resources before routine sex-therapy work.</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Advise the client to document the incident at home and return for assessment after deciding whether to end the relationship.</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BEST qualifier and the approved focus of violence toward client from others. It preserves direct danger or medical assessment, immediacy, means, protection, and level of care. The competing choices show safety, task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violence toward client from others and omits direct danger or medical assessment, immediacy, means, protection, and level of care.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violence toward client from others and omits direct danger or medical assessment, immediacy, means, protection, and level of care.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violence toward client from others at the BEST decision point. Its sequence incorporates direct danger or medical assessment, immediacy, means, protection, and level of care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Incorrect—Decision-point trap. This choice may describe a possible later action, but it does not answer the exact qualifier and focus presented. In this vignette, that move does not resolve violence toward client from others and omits direct danger or medical assessment, immediacy, means, protection, and level of care.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violence toward client from others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CTA-LMFT-AMFTRB-CP3-Q075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TASK</w:t>
            </w:r>
          </w:p>
        </w:tc>
      </w:tr>
    </w:tbl>
    <w:p>
      <w:pPr>
        <w:pStyle w:val="Heading1"/>
        <w:pageBreakBefore/>
      </w:pPr>
      <w:r>
        <w:t>Item 76 -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After infidelity, grandparents repeatedly enter parenting disputes and one partner uses them to overrule the other. Which intervention is MOST consistent with restructuring?</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Explore each grandparent's childhood history until their involvement becomes emotionally understandable.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the betrayed partner to accept grandparent involvement as a natural consequence of lost trust.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Provide communication skills to each person individually without changing who participates in parenting decisions.</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Strengthen the co-parenting subsystem, clarify generational boundaries and decision authority, and practice interactions that support the new structure.</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MOST qualifier and the approved focus of restructuring and reorganization. It preserves collaborative goals, alliance, sequencing, treatment-unit fit, and completion criteria. The competing choices show under,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restructuring and reorganization and omits collaborative goals, alliance, sequencing, treatment-unit fit, and completion criteria.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restructuring and reorganization and omits collaborative goals, alliance, sequencing, treatment-unit fit, and completion criteria.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restructuring and reorganization and omits collaborative goals, alliance, sequencing, treatment-unit fit, and completion criteria.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restructuring and reorganization at the MOST decision point. Its sequence incorporates collaborative goals, alliance, sequencing, treatment-unit fit, and completion criteria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restructuring and reorganization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CTA-LMFT-AMFTRB-CP3-Q076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PLAN</w:t>
            </w:r>
          </w:p>
        </w:tc>
      </w:tr>
    </w:tbl>
    <w:p>
      <w:pPr>
        <w:pStyle w:val="Heading1"/>
        <w:pageBreakBefore/>
      </w:pPr>
      <w:r>
        <w:t>Item 77 -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couple reports a change in sexual desire after childbirth and worries that the relationship is failing. Which assessment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Normalize possible variation while assessing medical and hormonal factors, sleep, pain, development, mood, consent, relationship patterns, culture, and each partner's goals.</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Diagnose a sexual dysfunction if desire has differed for more than several weeks, regardless of distress or context.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Focus on frequency because the number of sexual encounters is the most objective indicator of functioning.</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Refer immediately for individual sex therapy because conjoint assessment can pressure the lower-desire partner.</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BEST qualifier and the approved focus of sexual functioning and the client system. It preserves integrated, provisional assessment using multiple valid data sources and context. The competing choices show over, assess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sexual functioning and the client system at the BEST decision point. Its sequence incorporates integrated, provisional assessment using multiple valid data sources and context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sexual functioning and the client system and omits integrated, provisional assessment using multiple valid data sources and context.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sexual functioning and the client system and omits integrated, provisional assessment using multiple valid data sources and context.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sexual functioning and the client system and omits integrated, provisional assessment using multiple valid data sources and context.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sexual functioning and the client system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CTA-LMFT-AMFTRB-CP3-Q077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ASSESS</w:t>
            </w:r>
          </w:p>
        </w:tc>
      </w:tr>
    </w:tbl>
    <w:p>
      <w:pPr>
        <w:pStyle w:val="Heading1"/>
        <w:pageBreakBefore/>
      </w:pPr>
      <w:r>
        <w:t>Item 78 -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supervisee serving low-income families asks to reduce required documentation and skip live supervision because both take unpaid time. Which response is MOST appropriate?</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Approve the changes because economic hardship justifies lower administrative standards when clients still receive sessions.</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Maintain applicable supervision and documentation requirements while addressing workload, compensation, access, and feasible supports through transparent problem solving.</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Tell the supervisee to stop serving low-income clients because financial strain creates an unavoidable competence problem.</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Allow verbal supervision without records so the supervisor can preserve clinical oversight informally.</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MOST qualifier and the approved focus of ethical and regulatory supervision across modalities. It preserves competence, role, authority, consultation, training, and referral limits. The competing choices show scope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Incorrect—Scope trap. This choice assumes authority or competence without evaluating limits, consultation, training, or referral. In this vignette, that move does not resolve ethical and regulatory supervision across modalities and omits competence, role, authority, consultation, training, and referral limits.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ethical and regulatory supervision across modalities at the MOST decision point. Its sequence incorporates competence, role, authority, consultation, training, and referral limits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Incorrect—Scope trap. This choice assumes authority or competence without evaluating limits, consultation, training, or referral. In this vignette, that move does not resolve ethical and regulatory supervision across modalities and omits competence, role, authority, consultation, training, and referral limits.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Incorrect—Scope trap. This choice assumes authority or competence without evaluating limits, consultation, training, or referral. In this vignette, that move does not resolve ethical and regulatory supervision across modalities and omits competence, role, authority, consultation, training, and referral limits.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ethical and regulatory supervision across modalities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CTA-LMFT-AMFTRB-CP3-Q078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r>
    </w:tbl>
    <w:p>
      <w:pPr>
        <w:pStyle w:val="Heading1"/>
        <w:pageBreakBefore/>
      </w:pPr>
      <w:r>
        <w:t>Item 79 -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therapist sees small improvement on a symptom scale, large improvement in alliance, and no change in the couple's target behavior. Which evaluation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Declare treatment successful and continue unchanged, because alliance improvement is the strongest leading indicator of later change.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Declare treatment unsuccessful and replace the approach, because the agreed target behavior has not yet improved.</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Review trends, goal importance, alliance, implementation, and barriers with the couple, then decide whether to modify the plan.</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Continue the current plan until all measures move in the same direction, then revisit the couple's goals and progress.</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BEST qualifier and the approved focus of collaborative progress evaluation. It preserves outcomes, alliance, implementation, barriers, client feedback, and plan revision. The competing choices show under, eval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collaborative progress evaluation and omits outcomes, alliance, implementation, barriers, client feedback, and plan revision.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collaborative progress evaluation and omits outcomes, alliance, implementation, barriers, client feedback, and plan revision.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collaborative progress evaluation at the BEST decision point. Its sequence incorporates outcomes, alliance, implementation, barriers, client feedback, and plan revision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collaborative progress evaluation and omits outcomes, alliance, implementation, barriers, client feedback, and plan revision.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collaborative progress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CTA-LMFT-AMFTRB-CP3-Q079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EVAL</w:t>
            </w:r>
          </w:p>
        </w:tc>
      </w:tr>
    </w:tbl>
    <w:p>
      <w:pPr>
        <w:pStyle w:val="Heading1"/>
        <w:pageBreakBefore/>
      </w:pPr>
      <w:r>
        <w:t>Item 80 -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refugee family describes a child as 'the strong one' because the child manages appointments and translates distressing information.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Praise the child's resilience and preserve the role because it helped the family survive migration.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Tell the parents the role is inappropriate and require immediate transfer of all responsibilities.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Diagnose parentification as the primary family disorder without exploring cultural or resettlement conditions.</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Develop a provisional systemic hypothesis that includes migration, loss, language access, role shifts, strengths, burden, and reciprocal family responses, then test it collaboratively.</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NEXT qualifier and the approved focus of systemic conceptualization. It preserves reciprocal patterns, attempted solutions, roles, and contextual meaning. The competing choices show system, plan, assess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systemic conceptualization and omits reciprocal patterns, attempted solutions, roles, and contextual meaning.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systemic conceptualization and omits reciprocal patterns, attempted solutions, roles, and contextual meaning.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systemic conceptualization and omits reciprocal patterns, attempted solutions, roles, and contextual meaning.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systemic conceptualization at the NEXT decision point. Its sequence incorporates reciprocal patterns, attempted solutions, roles, and contextual meaning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systemic conceptualization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CTA-LMFT-AMFTRB-CP3-Q080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 PLAN, ASSESS</w:t>
            </w:r>
          </w:p>
        </w:tc>
      </w:tr>
    </w:tbl>
    <w:p>
      <w:pPr>
        <w:pStyle w:val="Heading1"/>
        <w:pageBreakBefore/>
      </w:pPr>
      <w:r>
        <w:t>Item 81 -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client reports intentionally restricting food and using painful sexual behavior after conflict to regulate emotion, while denying suicidal intent.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Assess medical danger, coercion and consent, self-injury and suicide risk, function, frequency, supports, and the level of care needed.</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Begin a distress-tolerance worksheet because the client has identified emotion regulation as the function.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Treat the behaviors as consensual sexual variation unless the partner reports concern.</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Focus on the couple conflict because changing the trigger will make direct safety assessment unnecessary.</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FIRST qualifier and the approved focus of self-injury risk and intervention level. It preserves direct danger or medical assessment, immediacy, means, protection, and level of care. The competing choices show safety, task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self-injury risk and intervention level at the FIRST decision point. Its sequence incorporates direct danger or medical assessment, immediacy, means, protection, and level of care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self-injury risk and intervention level and omits direct danger or medical assessment, immediacy, means, protection, and level of care.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self-injury risk and intervention level and omits direct danger or medical assessment, immediacy, means, protection, and level of care.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Incorrect—Decision-point trap. This choice may describe a possible later action, but it does not answer the exact qualifier and focus presented. In this vignette, that move does not resolve self-injury risk and intervention level and omits direct danger or medical assessment, immediacy, means, protection, and level of care.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self-injury risk and intervention level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CTA-LMFT-AMFTRB-CP3-Q081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TASK</w:t>
            </w:r>
          </w:p>
        </w:tc>
      </w:tr>
    </w:tbl>
    <w:p>
      <w:pPr>
        <w:pStyle w:val="Heading1"/>
        <w:pageBreakBefore/>
      </w:pPr>
      <w:r>
        <w:t>Item 82 -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When several treatment priorities compete across individual, couple, and family sessions, which principle provides the BEST sequence?</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Use the therapist's preferred systemic model in every modality so treatment remains consistent.</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Address supported safety and acute impairment first, then select the treatment unit and intervention that fit shared goals and current evidence.</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Begin with the goal named by the person who initiated treatment because that person established the contract.</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Alternate equally among priorities so no participant experiences the therapist as taking sides.</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BEST qualifier and the approved focus of competing treatment priorities; integrated with stance and intervention adaptation across modalities. It preserves collaborative goals, alliance, sequencing, treatment-unit fit, and completion criteria. The competing choices show over,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competing treatment priorities; integrated with stance and intervention adaptation across modalities and omits collaborative goals, alliance, sequencing, treatment-unit fit, and completion criteria.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competing treatment priorities; integrated with stance and intervention adaptation across modalities at the BEST decision point. Its sequence incorporates collaborative goals, alliance, sequencing, treatment-unit fit, and completion criteria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competing treatment priorities; integrated with stance and intervention adaptation across modalities and omits collaborative goals, alliance, sequencing, treatment-unit fit, and completion criteria.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competing treatment priorities; integrated with stance and intervention adaptation across modalities and omits collaborative goals, alliance, sequencing, treatment-unit fit, and completion criteria. It therefore cannot be the BEST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competing treatment priorities; integrated with stance and intervention adaptation across modalities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CTA-LMFT-AMFTRB-CP3-Q082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03.14, 03.22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PLAN</w:t>
            </w:r>
          </w:p>
        </w:tc>
      </w:tr>
    </w:tbl>
    <w:p>
      <w:pPr>
        <w:pStyle w:val="Heading1"/>
        <w:pageBreakBefore/>
      </w:pPr>
      <w:r>
        <w:t>Item 83 -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relational assessment suggests family strain, while an adolescent also shows a new decline in language, learning, and daily functioning. Which concern is MOST important?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Whether the parents can agree on a single systemic explanation before any referral is made.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Whether the relational instrument score reaches a diagnostic cutoff for the adolescent.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Whether developmental, medical, educational, or psychological evaluation is needed while systemic assessment and support continue.</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Whether family therapy should end because outside evaluation and systemic treatment cannot occur at the same time.</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MOST qualifier and the approved focus of development and family life cycle; integrated with diagnosis- and priority-based referral. It preserves integrated, provisional assessment using multiple valid data sources and context. The competing choices show assess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development and family life cycle; integrated with diagnosis- and priority-based referral and omits integrated, provisional assessment using multiple valid data sources and context. It therefore cannot be the MOST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development and family life cycle; integrated with diagnosis- and priority-based referral and omits integrated, provisional assessment using multiple valid data sources and context. It therefore cannot be the MOST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development and family life cycle; integrated with diagnosis- and priority-based referral at the MOST decision point. Its sequence incorporates integrated, provisional assessment using multiple valid data sources and context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development and family life cycle; integrated with diagnosis- and priority-based referral and omits integrated, provisional assessment using multiple valid data sources and context. It therefore cannot be the MOST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Select the response that most fully addresses the focal concern without adding unsupported assumptions. For this item, keep the analysis centered on development and family life cycle; integrated with diagnosis- and priority-based referral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CTA-LMFT-AMFTRB-CP3-Q083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02.14, 02.22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r>
    </w:tbl>
    <w:p>
      <w:pPr>
        <w:pStyle w:val="Heading1"/>
        <w:pageBreakBefore/>
      </w:pPr>
      <w:r>
        <w:t>Item 84 -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therapist is competent in family assessment but unfamiliar with an AI system that proposes diagnoses and treatment plans. Which use is BEST?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Use the recommendations only when they agree with the therapist's first impression, because agreement confirms accuracy.</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Let clients choose whether the system is competent after reading the vendor's description.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Use the tool for administrative efficiency and place its clinical recommendations in the record without separate review.</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Limit use until competence, governing requirements, consent and privacy, evidence, bias, security, and human verification are adequately addressed.</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BEST qualifier and the approved focus of legal competence across modalities and ai use. It preserves competence, role, authority, consultation, training, and referral limits. The competing choices show over, ethics, scope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legal competence across modalities and ai use and omits competence, role, authority, consultation, training, and referral limits.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legal competence across modalities and ai use and omits competence, role, authority, consultation, training, and referral limits. It therefore cannot be the BEST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Incorrect—Scope trap. This choice assumes authority or competence without evaluating limits, consultation, training, or referral. In this vignette, that move does not resolve legal competence across modalities and ai use and omits competence, role, authority, consultation, training, and referral limits. It therefore cannot be the BEST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legal competence across modalities and ai use at the BEST decision point. Its sequence incorporates competence, role, authority, consultation, training, and referral limits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For this item, keep the analysis centered on legal competence across modalities and ai use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CTA-LMFT-AMFTRB-CP3-Q084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ETHICS, SCOPE</w:t>
            </w:r>
          </w:p>
        </w:tc>
      </w:tr>
    </w:tbl>
    <w:p>
      <w:pPr>
        <w:pStyle w:val="Heading1"/>
        <w:pageBreakBefore/>
      </w:pPr>
      <w:r>
        <w:t>Item 85 -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couple working on infidelity has stopped completing agreed exercises and now debates whether the treatment goals still matter.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Revisit alliance, goals, safety, barriers, attempted solutions, and the meaning of noncompletion with both partners before selecting a new intervention.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Increase homework accountability because noncompletion shows insufficient motivation.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End treatment because clients who reject agreed exercises cannot benefit from the model.</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Choose a more intensive infidelity protocol without discussing the stalled plan so treatment regains momentum.</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FIRST qualifier and the approved focus of collaborative plan modification. It preserves outcomes, alliance, implementation, barriers, client feedback, and plan revision. The competing choices show eval,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collaborative plan modification at the FIRST decision point. Its sequence incorporates outcomes, alliance, implementation, barriers, client feedback, and plan revision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collaborative plan modification and omits outcomes, alliance, implementation, barriers, client feedback, and plan revision.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Incorrect—Single-signal trap. This choice treats one measure, preference, or observation as decisive or avoids timely collaborative review. In this vignette, that move does not resolve collaborative plan modification and omits outcomes, alliance, implementation, barriers, client feedback, and plan revision.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collaborative plan modification and omits outcomes, alliance, implementation, barriers, client feedback, and plan revision.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collaborative plan modification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CTA-LMFT-AMFTRB-CP3-Q085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 PLAN</w:t>
            </w:r>
          </w:p>
        </w:tc>
      </w:tr>
    </w:tbl>
    <w:p>
      <w:pPr>
        <w:pStyle w:val="Heading1"/>
        <w:pageBreakBefore/>
      </w:pPr>
      <w:r>
        <w:t>Item 86 -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therapist's model emphasizes direct emotional disclosure, but clients report that public hostility toward their community makes disclosure feel unsafe.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Explain that corrective emotional experience requires temporary discomfort and continue the intervention as designed.</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Revisit the systemic hypothesis and change mechanism, assess sociopolitical safety and client meaning, and adapt the model without abandoning its clinically necessary elements.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Avoid all emotional work because social hostility makes disclosure contraindicated for every client in that community.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Refer the clients to a therapist from the same community because model adaptation would reduce treatment fidelity.</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FIRST qualifier and the approved focus of theory-practice consistency. It preserves reciprocal patterns, attempted solutions, roles, and contextual meaning. The competing choices show plan, over, system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theory-practice consistency and omits reciprocal patterns, attempted solutions, roles, and contextual meaning. It therefore cannot be the FIRST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theory-practice consistency at the FIRST decision point. Its sequence incorporates reciprocal patterns, attempted solutions, roles, and contextual meaning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Incorrect—Over-response trap. This choice uses an automatic, universal, coercive, or unnecessarily restrictive action before the facts justify it. In this vignette, that move does not resolve theory-practice consistency and omits reciprocal patterns, attempted solutions, roles, and contextual meaning.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Incorrect—Linear-blame trap. This choice locates the problem in one person or one cause and misses the reciprocal pattern and context. In this vignette, that move does not resolve theory-practice consistency and omits reciprocal patterns, attempted solutions, roles, and contextual meaning.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theory-practice consistency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CTA-LMFT-AMFTRB-CP3-Q086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OVER, SYSTEM</w:t>
            </w:r>
          </w:p>
        </w:tc>
      </w:tr>
    </w:tbl>
    <w:p>
      <w:pPr>
        <w:pStyle w:val="Heading1"/>
        <w:pageBreakBefore/>
      </w:pPr>
      <w:r>
        <w:t>Item 87 -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client says they may confront a coworker who repeatedly makes anti-LGBTQ threats and adds, 'I know where he keeps a weapon.' What should the therapist do NEXT?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Explore the client's identity development before asking direct questions that could feel stigmatizing.</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Assume the statement is self-protective because the coworker initiated the threats.</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Assess target, intent, plan, means, timing, and immediate danger, then take the protective steps required by risk and governing authority.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Advise the client to document the coworker's threats and return if a direct plan to harm emerges.</w:t>
      </w:r>
    </w:p>
    <w:p>
      <w:r>
        <w:rPr>
          <w:rFonts w:ascii="Calibri" w:hAnsi="Calibri" w:eastAsia="Calibri"/>
          <w:b/>
          <w:color w:val="12385B"/>
          <w:sz w:val="18"/>
        </w:rPr>
        <w:t xml:space="preserve">Why the keyed option is best: </w:t>
      </w:r>
      <w:r>
        <w:rPr>
          <w:rFonts w:ascii="Calibri" w:hAnsi="Calibri" w:eastAsia="Calibri"/>
          <w:color w:val="1E2D38"/>
          <w:sz w:val="18"/>
        </w:rPr>
        <w:t>Option C directly answers the NEXT qualifier and the approved focus of violence or harm toward others. It preserves direct danger or medical assessment, immediacy, means, protection, and level of care. The competing choices show safety, task, under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Incorrect—Safety-sequencing trap. This choice moves to routine technique, confrontation, or delay before direct risk, medical, means, and level-of-care assessment. In this vignette, that move does not resolve violence or harm toward others and omits direct danger or medical assessment, immediacy, means, protection, and level of care.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Incorrect—Decision-point trap. This choice may describe a possible later action, but it does not answer the exact qualifier and focus presented. In this vignette, that move does not resolve violence or harm toward others and omits direct danger or medical assessment, immediacy, means, protection, and level of care.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C</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violence or harm toward others at the NEXT decision point. Its sequence incorporates direct danger or medical assessment, immediacy, means, protection, and level of care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violence or harm toward others and omits direct danger or medical assessment, immediacy, means, protection, and level of care. It therefore cannot be the NEXT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violence or harm toward others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CTA-LMFT-AMFTRB-CP3-Q087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TASK, UNDER</w:t>
            </w:r>
          </w:p>
        </w:tc>
      </w:tr>
    </w:tbl>
    <w:p>
      <w:pPr>
        <w:pStyle w:val="Heading1"/>
        <w:pageBreakBefore/>
      </w:pPr>
      <w:r>
        <w:t>Item 88 -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Which intervention should occur NEXT when partners understand their conflict cycle but still cannot make joint decisions under stress?</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Interpret each partner's childhood origins until insight eliminates the decision difficulty.</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Ask one partner to take final authority so repeated negotiation does not reinforce conflict.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Assign separate individual goals because joint decisions are outside the scope of couple therapy.</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Teach, rehearse, and evaluate a structured coping and communication process tied to a real decision and the couple's agreed relational goals.</w:t>
      </w:r>
    </w:p>
    <w:p>
      <w:r>
        <w:rPr>
          <w:rFonts w:ascii="Calibri" w:hAnsi="Calibri" w:eastAsia="Calibri"/>
          <w:b/>
          <w:color w:val="12385B"/>
          <w:sz w:val="18"/>
        </w:rPr>
        <w:t xml:space="preserve">Why the keyed option is best: </w:t>
      </w:r>
      <w:r>
        <w:rPr>
          <w:rFonts w:ascii="Calibri" w:hAnsi="Calibri" w:eastAsia="Calibri"/>
          <w:color w:val="1E2D38"/>
          <w:sz w:val="18"/>
        </w:rPr>
        <w:t>Option D directly answers the NEXT qualifier and the approved focus of relational coping, decisions, and communication. It preserves collaborative goals, alliance, sequencing, treatment-unit fit, and completion criteria. The competing choices show under, plan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Incorrect—Under-response trap. This choice delays, minimizes, or leaves the supported concern to resolve itself. In this vignette, that move does not resolve relational coping, decisions, and communication and omits collaborative goals, alliance, sequencing, treatment-unit fit, and completion criteria.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relational coping, decisions, and communication and omits collaborative goals, alliance, sequencing, treatment-unit fit, and completion criteria. It therefore cannot be the NEXT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Incorrect—Premature-action trap. This choice selects a technique, rule, or participation decision without collaborative goals, fit, sequence, and role clarity. In this vignette, that move does not resolve relational coping, decisions, and communication and omits collaborative goals, alliance, sequencing, treatment-unit fit, and completion criteria. It therefore cannot be the NEXT response.</w:t>
            </w:r>
          </w:p>
        </w:tc>
      </w:tr>
      <w:tr>
        <w:tc>
          <w:tcPr>
            <w:tcW w:type="dxa" w:w="760"/>
            <w:shd w:fill="E7F5F4"/>
          </w:tcPr>
          <w:p>
            <w:pPr>
              <w:spacing w:before="0" w:after="0" w:line="252" w:lineRule="auto"/>
              <w:jc w:val="center"/>
            </w:pPr>
            <w:r>
              <w:rPr>
                <w:rFonts w:ascii="Calibri" w:hAnsi="Calibri" w:eastAsia="Calibri"/>
                <w:b/>
                <w:color w:val="12385B"/>
                <w:sz w:val="17"/>
              </w:rPr>
              <w:t>D</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relational coping, decisions, and communication at the NEXT decision point. Its sequence incorporates collaborative goals, alliance, sequencing, treatment-unit fit, and completion criteria without adding facts, treating one data point as decisive, or skipping a required precursor.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choose the next necessary task—not the eventual endpoint. For this item, keep the analysis centered on relational coping, decisions, and communication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CTA-LMFT-AMFTRB-CP3-Q088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PLAN</w:t>
            </w:r>
          </w:p>
        </w:tc>
      </w:tr>
    </w:tbl>
    <w:p>
      <w:pPr>
        <w:pStyle w:val="Heading1"/>
        <w:pageBreakBefore/>
      </w:pPr>
      <w:r>
        <w:t>Item 89 -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bicultural family is referred for 'poor adjustment,' but members describe strong mutual aid, community leadership, and flexible language use alongside conflict with an institution.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Elicit each member's cultural meanings, strengths, coping, acculturation experiences, institutional pressures, and desired outcomes before accepting a deficit-based formulation.</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Administer an acculturation scale and use the total score as the primary explanation for family conflict.</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Focus on teaching mainstream communication norms so the family can reduce conflict with the institution.</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Reject the referral concern entirely because community leadership proves the family is functioning well.</w:t>
      </w:r>
    </w:p>
    <w:p>
      <w:r>
        <w:rPr>
          <w:rFonts w:ascii="Calibri" w:hAnsi="Calibri" w:eastAsia="Calibri"/>
          <w:b/>
          <w:color w:val="12385B"/>
          <w:sz w:val="18"/>
        </w:rPr>
        <w:t xml:space="preserve">Why the keyed option is best: </w:t>
      </w:r>
      <w:r>
        <w:rPr>
          <w:rFonts w:ascii="Calibri" w:hAnsi="Calibri" w:eastAsia="Calibri"/>
          <w:color w:val="1E2D38"/>
          <w:sz w:val="18"/>
        </w:rPr>
        <w:t>Option A directly answers the FIRST qualifier and the approved focus of strengths, resources, coping, and resilience. It preserves integrated, provisional assessment using multiple valid data sources and context. The competing choices show assess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E7F5F4"/>
          </w:tcPr>
          <w:p>
            <w:pPr>
              <w:spacing w:before="0" w:after="0" w:line="252" w:lineRule="auto"/>
              <w:jc w:val="center"/>
            </w:pPr>
            <w:r>
              <w:rPr>
                <w:rFonts w:ascii="Calibri" w:hAnsi="Calibri" w:eastAsia="Calibri"/>
                <w:b/>
                <w:color w:val="12385B"/>
                <w:sz w:val="17"/>
              </w:rPr>
              <w:t>A</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strengths, resources, coping, and resilience at the FIRST decision point. Its sequence incorporates integrated, provisional assessment using multiple valid data sources and context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B</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strengths, resources, coping, and resilience and omits integrated, provisional assessment using multiple valid data sources and context.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strengths, resources, coping, and resilience and omits integrated, provisional assessment using multiple valid data sources and context.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Incorrect—Premature-conclusion trap. This choice treats one cue, score, or impression as conclusive instead of integrating valid data, context, and functioning. In this vignette, that move does not resolve strengths, resources, coping, and resilience and omits integrated, provisional assessment using multiple valid data sources and context.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strengths, resources, coping, and resilience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CTA-LMFT-AMFTRB-CP3-Q089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r>
    </w:tbl>
    <w:p>
      <w:pPr>
        <w:pStyle w:val="Heading1"/>
        <w:pageBreakBefore/>
      </w:pPr>
      <w:r>
        <w:t>Item 90 -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pPr>
      <w:r>
        <w:rPr>
          <w:rFonts w:ascii="Calibri" w:hAnsi="Calibri" w:eastAsia="Calibri"/>
          <w:b/>
          <w:color w:val="12385B"/>
          <w:sz w:val="19"/>
        </w:rPr>
        <w:t xml:space="preserve">Stem: </w:t>
      </w:r>
      <w:r>
        <w:rPr>
          <w:rFonts w:ascii="Calibri" w:hAnsi="Calibri" w:eastAsia="Calibri"/>
          <w:color w:val="1E2D38"/>
          <w:sz w:val="19"/>
        </w:rPr>
        <w:t>A health system policy requires clinicians to use an AI risk score, but the score's family-impact logic is undisclosed and the ethics code requires informed professional judgment. What should the therapist do FIRST?</w:t>
      </w:r>
    </w:p>
    <w:p>
      <w:pPr>
        <w:spacing w:after="40"/>
        <w:ind w:left="259" w:hanging="259"/>
      </w:pPr>
      <w:r>
        <w:rPr>
          <w:rFonts w:ascii="Calibri" w:hAnsi="Calibri" w:eastAsia="Calibri"/>
          <w:b/>
          <w:color w:val="12385B"/>
          <w:sz w:val="18"/>
        </w:rPr>
        <w:t xml:space="preserve">A. </w:t>
      </w:r>
      <w:r>
        <w:rPr>
          <w:rFonts w:ascii="Calibri" w:hAnsi="Calibri" w:eastAsia="Calibri"/>
          <w:color w:val="1E2D38"/>
          <w:sz w:val="18"/>
        </w:rPr>
        <w:t>Use the score without qualification because institutional policy defines the clinician's professional role.</w:t>
      </w:r>
    </w:p>
    <w:p>
      <w:pPr>
        <w:spacing w:after="40"/>
        <w:ind w:left="259" w:hanging="259"/>
      </w:pPr>
      <w:r>
        <w:rPr>
          <w:rFonts w:ascii="Calibri" w:hAnsi="Calibri" w:eastAsia="Calibri"/>
          <w:b/>
          <w:color w:val="12385B"/>
          <w:sz w:val="18"/>
        </w:rPr>
        <w:t xml:space="preserve">B. </w:t>
      </w:r>
      <w:r>
        <w:rPr>
          <w:rFonts w:ascii="Calibri" w:hAnsi="Calibri" w:eastAsia="Calibri"/>
          <w:color w:val="1E2D38"/>
          <w:sz w:val="18"/>
        </w:rPr>
        <w:t>Identify governing law, ethics, policy, consent and disclosure duties, suspend unsupported reliance when necessary, seek qualified consultation, and document an independent clinical decision.</w:t>
      </w:r>
    </w:p>
    <w:p>
      <w:pPr>
        <w:spacing w:after="40"/>
        <w:ind w:left="259" w:hanging="259"/>
      </w:pPr>
      <w:r>
        <w:rPr>
          <w:rFonts w:ascii="Calibri" w:hAnsi="Calibri" w:eastAsia="Calibri"/>
          <w:b/>
          <w:color w:val="12385B"/>
          <w:sz w:val="18"/>
        </w:rPr>
        <w:t xml:space="preserve">C. </w:t>
      </w:r>
      <w:r>
        <w:rPr>
          <w:rFonts w:ascii="Calibri" w:hAnsi="Calibri" w:eastAsia="Calibri"/>
          <w:color w:val="1E2D38"/>
          <w:sz w:val="18"/>
        </w:rPr>
        <w:t>Ignore the score and omit it from the record so the family is not affected by an opaque system.</w:t>
      </w:r>
    </w:p>
    <w:p>
      <w:pPr>
        <w:spacing w:after="40"/>
        <w:ind w:left="259" w:hanging="259"/>
      </w:pPr>
      <w:r>
        <w:rPr>
          <w:rFonts w:ascii="Calibri" w:hAnsi="Calibri" w:eastAsia="Calibri"/>
          <w:b/>
          <w:color w:val="12385B"/>
          <w:sz w:val="18"/>
        </w:rPr>
        <w:t xml:space="preserve">D. </w:t>
      </w:r>
      <w:r>
        <w:rPr>
          <w:rFonts w:ascii="Calibri" w:hAnsi="Calibri" w:eastAsia="Calibri"/>
          <w:color w:val="1E2D38"/>
          <w:sz w:val="18"/>
        </w:rPr>
        <w:t>Tell the family that the score is legally required even if the therapist has not verified whether the policy or tool is applicable.</w:t>
      </w:r>
    </w:p>
    <w:p>
      <w:r>
        <w:rPr>
          <w:rFonts w:ascii="Calibri" w:hAnsi="Calibri" w:eastAsia="Calibri"/>
          <w:b/>
          <w:color w:val="12385B"/>
          <w:sz w:val="18"/>
        </w:rPr>
        <w:t xml:space="preserve">Why the keyed option is best: </w:t>
      </w:r>
      <w:r>
        <w:rPr>
          <w:rFonts w:ascii="Calibri" w:hAnsi="Calibri" w:eastAsia="Calibri"/>
          <w:color w:val="1E2D38"/>
          <w:sz w:val="18"/>
        </w:rPr>
        <w:t>Option B directly answers the FIRST qualifier and the approved focus of policy-law-ethics conflict and higher standard. It preserves current governing authority, client rights, informed agreement, minimum necessary action, and documentation. The competing choices show ethics reasoning errors.</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Controlled rationale</w:t>
            </w:r>
          </w:p>
        </w:tc>
      </w:tr>
      <w:tr>
        <w:tc>
          <w:tcPr>
            <w:tcW w:type="dxa" w:w="760"/>
            <w:shd w:fill="F2F4F7"/>
          </w:tcPr>
          <w:p>
            <w:pPr>
              <w:spacing w:before="0" w:after="0" w:line="252" w:lineRule="auto"/>
              <w:jc w:val="center"/>
            </w:pPr>
            <w:r>
              <w:rPr>
                <w:rFonts w:ascii="Calibri" w:hAnsi="Calibri" w:eastAsia="Calibri"/>
                <w:b/>
                <w:color w:val="12385B"/>
                <w:sz w:val="17"/>
              </w:rPr>
              <w:t>A</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policy-law-ethics conflict and higher standard and omits current governing authority, client rights, informed agreement, minimum necessary action, and documentation. It therefore cannot be the FIRST response.</w:t>
            </w:r>
          </w:p>
        </w:tc>
      </w:tr>
      <w:tr>
        <w:tc>
          <w:tcPr>
            <w:tcW w:type="dxa" w:w="760"/>
            <w:shd w:fill="E7F5F4"/>
          </w:tcPr>
          <w:p>
            <w:pPr>
              <w:spacing w:before="0" w:after="0" w:line="252" w:lineRule="auto"/>
              <w:jc w:val="center"/>
            </w:pPr>
            <w:r>
              <w:rPr>
                <w:rFonts w:ascii="Calibri" w:hAnsi="Calibri" w:eastAsia="Calibri"/>
                <w:b/>
                <w:color w:val="12385B"/>
                <w:sz w:val="17"/>
              </w:rPr>
              <w:t>B</w:t>
            </w:r>
          </w:p>
        </w:tc>
        <w:tc>
          <w:tcPr>
            <w:tcW w:type="dxa" w:w="8600"/>
            <w:shd w:fill="E7F5F4"/>
          </w:tcPr>
          <w:p>
            <w:pPr>
              <w:spacing w:before="0" w:after="0" w:line="252" w:lineRule="auto"/>
              <w:jc w:val="left"/>
            </w:pPr>
            <w:r>
              <w:rPr>
                <w:rFonts w:ascii="Calibri" w:hAnsi="Calibri" w:eastAsia="Calibri"/>
                <w:b w:val="0"/>
                <w:color w:val="1E2D38"/>
                <w:sz w:val="16"/>
              </w:rPr>
              <w:t>Correct. This response directly addresses policy-law-ethics conflict and higher standard at the FIRST decision point. Its sequence incorporates current governing authority, client rights, informed agreement, minimum necessary action, and documentation without adding facts, treating one data point as decisive, or skipping a required precursor.</w:t>
            </w:r>
          </w:p>
        </w:tc>
      </w:tr>
      <w:tr>
        <w:tc>
          <w:tcPr>
            <w:tcW w:type="dxa" w:w="760"/>
            <w:shd w:fill="F2F4F7"/>
          </w:tcPr>
          <w:p>
            <w:pPr>
              <w:spacing w:before="0" w:after="0" w:line="252" w:lineRule="auto"/>
              <w:jc w:val="center"/>
            </w:pPr>
            <w:r>
              <w:rPr>
                <w:rFonts w:ascii="Calibri" w:hAnsi="Calibri" w:eastAsia="Calibri"/>
                <w:b/>
                <w:color w:val="12385B"/>
                <w:sz w:val="17"/>
              </w:rPr>
              <w:t>C</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policy-law-ethics conflict and higher standard and omits current governing authority, client rights, informed agreement, minimum necessary action, and documentation. It therefore cannot be the FIRST response.</w:t>
            </w:r>
          </w:p>
        </w:tc>
      </w:tr>
      <w:tr>
        <w:tc>
          <w:tcPr>
            <w:tcW w:type="dxa" w:w="760"/>
            <w:shd w:fill="F2F4F7"/>
          </w:tcPr>
          <w:p>
            <w:pPr>
              <w:spacing w:before="0" w:after="0" w:line="252" w:lineRule="auto"/>
              <w:jc w:val="center"/>
            </w:pPr>
            <w:r>
              <w:rPr>
                <w:rFonts w:ascii="Calibri" w:hAnsi="Calibri" w:eastAsia="Calibri"/>
                <w:b/>
                <w:color w:val="12385B"/>
                <w:sz w:val="17"/>
              </w:rPr>
              <w:t>D</w:t>
            </w:r>
          </w:p>
        </w:tc>
        <w:tc>
          <w:tcPr>
            <w:tcW w:type="dxa" w:w="8600"/>
            <w:shd w:fill="FFFFFF"/>
          </w:tcPr>
          <w:p>
            <w:pPr>
              <w:spacing w:before="0" w:after="0" w:line="252" w:lineRule="auto"/>
              <w:jc w:val="left"/>
            </w:pPr>
            <w:r>
              <w:rPr>
                <w:rFonts w:ascii="Calibri" w:hAnsi="Calibri" w:eastAsia="Calibri"/>
                <w:b w:val="0"/>
                <w:color w:val="1E2D38"/>
                <w:sz w:val="16"/>
              </w:rPr>
              <w:t>Incorrect—Authority-substitution trap. This choice replaces verified governing requirements and professional judgment with policy, custom, consent language, or informal assurance. In this vignette, that move does not resolve policy-law-ethics conflict and higher standard and omits current governing authority, client rights, informed agreement, minimum necessary action, and documentation. It therefore cannot be the FIRST response.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step that must occur before later helpful actions can be safe, informed, or lawful. For this item, keep the analysis centered on policy-law-ethics conflict and higher standard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CTA-LMFT-AMFTRB-CP3-Q090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r>
    </w:tbl>
    <w:p>
      <w:pPr>
        <w:pStyle w:val="Heading1"/>
        <w:pageBreakBefore/>
      </w:pPr>
      <w:r>
        <w:t>Post-Attempt Remediation Record</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REVIEW GATE: </w:t>
            </w:r>
            <w:r>
              <w:rPr>
                <w:rFonts w:ascii="Calibri" w:hAnsi="Calibri" w:eastAsia="Calibri"/>
                <w:color w:val="1E2D38"/>
                <w:sz w:val="18"/>
              </w:rPr>
              <w:t>A candidate is not ready to close Checkpoint 3 until every incorrect item and every correct low-confidence item has an item-level repair record and the recurring reasoning patterns have a defined practice plan.</w:t>
            </w:r>
          </w:p>
        </w:tc>
      </w:tr>
    </w:tbl>
    <w:p>
      <w:pPr>
        <w:spacing w:after="0"/>
      </w:pP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Candidate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Review date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Raw total</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 / 90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Time used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 minutes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Low-confidence correct</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Incorrect</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remediation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w:t>
            </w:r>
          </w:p>
        </w:tc>
      </w:tr>
    </w:tbl>
    <w:p>
      <w:pPr>
        <w:pStyle w:val="Heading2"/>
      </w:pPr>
      <w:r>
        <w:t>Raw Domain Profile</w:t>
      </w:r>
    </w:p>
    <w:tbl>
      <w:tblPr>
        <w:tblW w:type="dxa" w:w="9360"/>
        <w:jc w:val="center"/>
        <w:tblLayout w:type="fixed"/>
        <w:tblLook w:firstColumn="1" w:firstRow="1" w:lastColumn="0" w:lastRow="0" w:noHBand="0" w:noVBand="1" w:val="04A0"/>
        <w:tblInd w:w="0" w:type="dxa"/>
      </w:tblPr>
      <w:tblGrid>
        <w:gridCol w:w="900"/>
        <w:gridCol w:w="4300"/>
        <w:gridCol w:w="1800"/>
        <w:gridCol w:w="2360"/>
      </w:tblGrid>
      <w:tr>
        <w:trPr>
          <w:cantSplit/>
          <w:tblHeader w:val="true"/>
        </w:trPr>
        <w:tc>
          <w:tcPr>
            <w:tcW w:type="dxa" w:w="9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Domain</w:t>
            </w:r>
          </w:p>
        </w:tc>
        <w:tc>
          <w:tcPr>
            <w:tcW w:type="dxa" w:w="43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Name</w:t>
            </w:r>
          </w:p>
        </w:tc>
        <w:tc>
          <w:tcPr>
            <w:tcW w:type="dxa" w:w="18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Raw score</w:t>
            </w:r>
          </w:p>
        </w:tc>
        <w:tc>
          <w:tcPr>
            <w:tcW w:type="dxa" w:w="23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Remediation priority</w:t>
            </w:r>
          </w:p>
        </w:tc>
      </w:tr>
      <w:tr>
        <w:tc>
          <w:tcPr>
            <w:tcW w:type="dxa" w:w="900"/>
            <w:shd w:fill="E7F5F4"/>
          </w:tcPr>
          <w:p>
            <w:pPr>
              <w:spacing w:before="0" w:after="0" w:line="252" w:lineRule="auto"/>
              <w:jc w:val="center"/>
            </w:pPr>
            <w:r>
              <w:rPr>
                <w:rFonts w:ascii="Calibri" w:hAnsi="Calibri" w:eastAsia="Calibri"/>
                <w:b w:val="0"/>
                <w:color w:val="1E2D38"/>
                <w:sz w:val="16"/>
              </w:rPr>
              <w:t>D1</w:t>
            </w:r>
          </w:p>
        </w:tc>
        <w:tc>
          <w:tcPr>
            <w:tcW w:type="dxa" w:w="4300"/>
          </w:tcPr>
          <w:p>
            <w:pPr>
              <w:spacing w:before="0" w:after="0" w:line="252" w:lineRule="auto"/>
              <w:jc w:val="left"/>
            </w:pPr>
            <w:r>
              <w:rPr>
                <w:rFonts w:ascii="Calibri" w:hAnsi="Calibri" w:eastAsia="Calibri"/>
                <w:b w:val="0"/>
                <w:color w:val="1E2D38"/>
                <w:sz w:val="16"/>
              </w:rPr>
              <w:t>Practice of Systemic Therapy</w:t>
            </w:r>
          </w:p>
        </w:tc>
        <w:tc>
          <w:tcPr>
            <w:tcW w:type="dxa" w:w="1800"/>
          </w:tcPr>
          <w:p>
            <w:pPr>
              <w:spacing w:before="0" w:after="0" w:line="252" w:lineRule="auto"/>
              <w:jc w:val="center"/>
            </w:pPr>
            <w:r>
              <w:rPr>
                <w:rFonts w:ascii="Calibri" w:hAnsi="Calibri" w:eastAsia="Calibri"/>
                <w:b w:val="0"/>
                <w:color w:val="1E2D38"/>
                <w:sz w:val="16"/>
              </w:rPr>
              <w:t>____ / 14</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D2</w:t>
            </w:r>
          </w:p>
        </w:tc>
        <w:tc>
          <w:tcPr>
            <w:tcW w:type="dxa" w:w="4300"/>
          </w:tcPr>
          <w:p>
            <w:pPr>
              <w:spacing w:before="0" w:after="0" w:line="252" w:lineRule="auto"/>
              <w:jc w:val="left"/>
            </w:pPr>
            <w:r>
              <w:rPr>
                <w:rFonts w:ascii="Calibri" w:hAnsi="Calibri" w:eastAsia="Calibri"/>
                <w:b w:val="0"/>
                <w:color w:val="1E2D38"/>
                <w:sz w:val="16"/>
              </w:rPr>
              <w:t>Assessing, Hypothesizing, and Diagnosing</w:t>
            </w:r>
          </w:p>
        </w:tc>
        <w:tc>
          <w:tcPr>
            <w:tcW w:type="dxa" w:w="1800"/>
          </w:tcPr>
          <w:p>
            <w:pPr>
              <w:spacing w:before="0" w:after="0" w:line="252" w:lineRule="auto"/>
              <w:jc w:val="center"/>
            </w:pPr>
            <w:r>
              <w:rPr>
                <w:rFonts w:ascii="Calibri" w:hAnsi="Calibri" w:eastAsia="Calibri"/>
                <w:b w:val="0"/>
                <w:color w:val="1E2D38"/>
                <w:sz w:val="16"/>
              </w:rPr>
              <w:t>____ / 15</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D3</w:t>
            </w:r>
          </w:p>
        </w:tc>
        <w:tc>
          <w:tcPr>
            <w:tcW w:type="dxa" w:w="4300"/>
          </w:tcPr>
          <w:p>
            <w:pPr>
              <w:spacing w:before="0" w:after="0" w:line="252" w:lineRule="auto"/>
              <w:jc w:val="left"/>
            </w:pPr>
            <w:r>
              <w:rPr>
                <w:rFonts w:ascii="Calibri" w:hAnsi="Calibri" w:eastAsia="Calibri"/>
                <w:b w:val="0"/>
                <w:color w:val="1E2D38"/>
                <w:sz w:val="16"/>
              </w:rPr>
              <w:t>Designing and Conducting Treatment</w:t>
            </w:r>
          </w:p>
        </w:tc>
        <w:tc>
          <w:tcPr>
            <w:tcW w:type="dxa" w:w="1800"/>
          </w:tcPr>
          <w:p>
            <w:pPr>
              <w:spacing w:before="0" w:after="0" w:line="252" w:lineRule="auto"/>
              <w:jc w:val="center"/>
            </w:pPr>
            <w:r>
              <w:rPr>
                <w:rFonts w:ascii="Calibri" w:hAnsi="Calibri" w:eastAsia="Calibri"/>
                <w:b w:val="0"/>
                <w:color w:val="1E2D38"/>
                <w:sz w:val="16"/>
              </w:rPr>
              <w:t>____ / 15</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D4</w:t>
            </w:r>
          </w:p>
        </w:tc>
        <w:tc>
          <w:tcPr>
            <w:tcW w:type="dxa" w:w="4300"/>
          </w:tcPr>
          <w:p>
            <w:pPr>
              <w:spacing w:before="0" w:after="0" w:line="252" w:lineRule="auto"/>
              <w:jc w:val="left"/>
            </w:pPr>
            <w:r>
              <w:rPr>
                <w:rFonts w:ascii="Calibri" w:hAnsi="Calibri" w:eastAsia="Calibri"/>
                <w:b w:val="0"/>
                <w:color w:val="1E2D38"/>
                <w:sz w:val="16"/>
              </w:rPr>
              <w:t>Evaluating Ongoing Process and Terminating Treatment</w:t>
            </w:r>
          </w:p>
        </w:tc>
        <w:tc>
          <w:tcPr>
            <w:tcW w:type="dxa" w:w="1800"/>
          </w:tcPr>
          <w:p>
            <w:pPr>
              <w:spacing w:before="0" w:after="0" w:line="252" w:lineRule="auto"/>
              <w:jc w:val="center"/>
            </w:pPr>
            <w:r>
              <w:rPr>
                <w:rFonts w:ascii="Calibri" w:hAnsi="Calibri" w:eastAsia="Calibri"/>
                <w:b w:val="0"/>
                <w:color w:val="1E2D38"/>
                <w:sz w:val="16"/>
              </w:rPr>
              <w:t>____ / 14</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D5</w:t>
            </w:r>
          </w:p>
        </w:tc>
        <w:tc>
          <w:tcPr>
            <w:tcW w:type="dxa" w:w="4300"/>
          </w:tcPr>
          <w:p>
            <w:pPr>
              <w:spacing w:before="0" w:after="0" w:line="252" w:lineRule="auto"/>
              <w:jc w:val="left"/>
            </w:pPr>
            <w:r>
              <w:rPr>
                <w:rFonts w:ascii="Calibri" w:hAnsi="Calibri" w:eastAsia="Calibri"/>
                <w:b w:val="0"/>
                <w:color w:val="1E2D38"/>
                <w:sz w:val="16"/>
              </w:rPr>
              <w:t>Managing Crisis Situations</w:t>
            </w:r>
          </w:p>
        </w:tc>
        <w:tc>
          <w:tcPr>
            <w:tcW w:type="dxa" w:w="1800"/>
          </w:tcPr>
          <w:p>
            <w:pPr>
              <w:spacing w:before="0" w:after="0" w:line="252" w:lineRule="auto"/>
              <w:jc w:val="center"/>
            </w:pPr>
            <w:r>
              <w:rPr>
                <w:rFonts w:ascii="Calibri" w:hAnsi="Calibri" w:eastAsia="Calibri"/>
                <w:b w:val="0"/>
                <w:color w:val="1E2D38"/>
                <w:sz w:val="16"/>
              </w:rPr>
              <w:t>____ / 15</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D6</w:t>
            </w:r>
          </w:p>
        </w:tc>
        <w:tc>
          <w:tcPr>
            <w:tcW w:type="dxa" w:w="4300"/>
          </w:tcPr>
          <w:p>
            <w:pPr>
              <w:spacing w:before="0" w:after="0" w:line="252" w:lineRule="auto"/>
              <w:jc w:val="left"/>
            </w:pPr>
            <w:r>
              <w:rPr>
                <w:rFonts w:ascii="Calibri" w:hAnsi="Calibri" w:eastAsia="Calibri"/>
                <w:b w:val="0"/>
                <w:color w:val="1E2D38"/>
                <w:sz w:val="16"/>
              </w:rPr>
              <w:t>Maintaining Ethical, Legal, and Professional Standards</w:t>
            </w:r>
          </w:p>
        </w:tc>
        <w:tc>
          <w:tcPr>
            <w:tcW w:type="dxa" w:w="1800"/>
          </w:tcPr>
          <w:p>
            <w:pPr>
              <w:spacing w:before="0" w:after="0" w:line="252" w:lineRule="auto"/>
              <w:jc w:val="center"/>
            </w:pPr>
            <w:r>
              <w:rPr>
                <w:rFonts w:ascii="Calibri" w:hAnsi="Calibri" w:eastAsia="Calibri"/>
                <w:b w:val="0"/>
                <w:color w:val="1E2D38"/>
                <w:sz w:val="16"/>
              </w:rPr>
              <w:t>____ / 17</w:t>
            </w:r>
          </w:p>
        </w:tc>
        <w:tc>
          <w:tcPr>
            <w:tcW w:type="dxa" w:w="2360"/>
          </w:tcPr>
          <w:p>
            <w:pPr>
              <w:spacing w:before="0" w:after="0" w:line="252" w:lineRule="auto"/>
              <w:jc w:val="center"/>
            </w:pPr>
            <w:r>
              <w:rPr>
                <w:rFonts w:ascii="Calibri" w:hAnsi="Calibri" w:eastAsia="Calibri"/>
                <w:b w:val="0"/>
                <w:color w:val="1E2D38"/>
                <w:sz w:val="16"/>
              </w:rPr>
              <w:t>High / Moderate / Monitor</w:t>
            </w:r>
          </w:p>
        </w:tc>
      </w:tr>
    </w:tbl>
    <w:p>
      <w:pPr>
        <w:pStyle w:val="Heading2"/>
      </w:pPr>
      <w:r>
        <w:t>Item-Level Repair Log</w:t>
      </w:r>
    </w:p>
    <w:tbl>
      <w:tblPr>
        <w:tblW w:type="dxa" w:w="9360"/>
        <w:jc w:val="center"/>
        <w:tblLayout w:type="fixed"/>
        <w:tblLook w:firstColumn="1" w:firstRow="1" w:lastColumn="0" w:lastRow="0" w:noHBand="0" w:noVBand="1" w:val="04A0"/>
        <w:tblInd w:w="0" w:type="dxa"/>
      </w:tblPr>
      <w:tblGrid>
        <w:gridCol w:w="700"/>
        <w:gridCol w:w="900"/>
        <w:gridCol w:w="1050"/>
        <w:gridCol w:w="2460"/>
        <w:gridCol w:w="2150"/>
        <w:gridCol w:w="2100"/>
      </w:tblGrid>
      <w:tr>
        <w:trPr>
          <w:cantSplit/>
          <w:tblHeader w:val="true"/>
        </w:trPr>
        <w:tc>
          <w:tcPr>
            <w:tcW w:type="dxa" w:w="7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Item</w:t>
            </w:r>
          </w:p>
        </w:tc>
        <w:tc>
          <w:tcPr>
            <w:tcW w:type="dxa" w:w="9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Result</w:t>
            </w:r>
          </w:p>
        </w:tc>
        <w:tc>
          <w:tcPr>
            <w:tcW w:type="dxa" w:w="105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Conf.</w:t>
            </w:r>
          </w:p>
        </w:tc>
        <w:tc>
          <w:tcPr>
            <w:tcW w:type="dxa" w:w="24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Decision point / key logic</w:t>
            </w:r>
          </w:p>
        </w:tc>
        <w:tc>
          <w:tcPr>
            <w:tcW w:type="dxa" w:w="215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Distractor defect</w:t>
            </w:r>
          </w:p>
        </w:tc>
        <w:tc>
          <w:tcPr>
            <w:tcW w:type="dxa" w:w="21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Transfer rule / evidence</w:t>
            </w:r>
          </w:p>
        </w:tc>
      </w:tr>
      <w:tr>
        <w:tc>
          <w:tcPr>
            <w:tcW w:type="dxa" w:w="700"/>
          </w:tcPr>
          <w:p>
            <w:pPr>
              <w:spacing w:before="0" w:after="240" w:line="252" w:lineRule="auto"/>
              <w:jc w:val="center"/>
            </w:pPr>
            <w:r>
              <w:rPr>
                <w:rFonts w:ascii="Calibri" w:hAnsi="Calibri" w:eastAsia="Calibri"/>
                <w:b w:val="0"/>
                <w:color w:val="1E2D38"/>
                <w:sz w:val="15"/>
              </w:rPr>
              <w:t>____</w:t>
            </w:r>
          </w:p>
        </w:tc>
        <w:tc>
          <w:tcPr>
            <w:tcW w:type="dxa" w:w="900"/>
          </w:tcPr>
          <w:p>
            <w:pPr>
              <w:spacing w:before="0" w:after="240" w:line="252" w:lineRule="auto"/>
              <w:jc w:val="center"/>
            </w:pPr>
            <w:r>
              <w:rPr>
                <w:rFonts w:ascii="Calibri" w:hAnsi="Calibri" w:eastAsia="Calibri"/>
                <w:b w:val="0"/>
                <w:color w:val="1E2D38"/>
                <w:sz w:val="15"/>
              </w:rPr>
              <w:t>C / I</w:t>
            </w:r>
          </w:p>
        </w:tc>
        <w:tc>
          <w:tcPr>
            <w:tcW w:type="dxa" w:w="1050"/>
          </w:tcPr>
          <w:p>
            <w:pPr>
              <w:spacing w:before="0" w:after="240" w:line="252" w:lineRule="auto"/>
              <w:jc w:val="center"/>
            </w:pPr>
            <w:r>
              <w:rPr>
                <w:rFonts w:ascii="Calibri" w:hAnsi="Calibri" w:eastAsia="Calibri"/>
                <w:b w:val="0"/>
                <w:color w:val="1E2D38"/>
                <w:sz w:val="15"/>
              </w:rPr>
              <w:t>1 2 3 4</w:t>
            </w:r>
          </w:p>
        </w:tc>
        <w:tc>
          <w:tcPr>
            <w:tcW w:type="dxa" w:w="2460"/>
          </w:tcPr>
          <w:p>
            <w:pPr>
              <w:spacing w:before="0" w:after="240" w:line="252" w:lineRule="auto"/>
              <w:jc w:val="left"/>
            </w:pPr>
            <w:r>
              <w:rPr>
                <w:rFonts w:ascii="Calibri" w:hAnsi="Calibri" w:eastAsia="Calibri"/>
                <w:b w:val="0"/>
                <w:color w:val="1E2D38"/>
                <w:sz w:val="15"/>
              </w:rPr>
            </w:r>
          </w:p>
        </w:tc>
        <w:tc>
          <w:tcPr>
            <w:tcW w:type="dxa" w:w="2150"/>
          </w:tcPr>
          <w:p>
            <w:pPr>
              <w:spacing w:before="0" w:after="240" w:line="252" w:lineRule="auto"/>
              <w:jc w:val="left"/>
            </w:pPr>
            <w:r>
              <w:rPr>
                <w:rFonts w:ascii="Calibri" w:hAnsi="Calibri" w:eastAsia="Calibri"/>
                <w:b w:val="0"/>
                <w:color w:val="1E2D38"/>
                <w:sz w:val="15"/>
              </w:rPr>
            </w:r>
          </w:p>
        </w:tc>
        <w:tc>
          <w:tcPr>
            <w:tcW w:type="dxa" w:w="2100"/>
          </w:tcPr>
          <w:p>
            <w:pPr>
              <w:spacing w:before="0" w:after="240" w:line="252" w:lineRule="auto"/>
              <w:jc w:val="left"/>
            </w:pPr>
            <w:r>
              <w:rPr>
                <w:rFonts w:ascii="Calibri" w:hAnsi="Calibri" w:eastAsia="Calibri"/>
                <w:b w:val="0"/>
                <w:color w:val="1E2D38"/>
                <w:sz w:val="15"/>
              </w:rPr>
            </w:r>
          </w:p>
        </w:tc>
      </w:tr>
      <w:tr>
        <w:tc>
          <w:tcPr>
            <w:tcW w:type="dxa" w:w="700"/>
          </w:tcPr>
          <w:p>
            <w:pPr>
              <w:spacing w:before="0" w:after="240" w:line="252" w:lineRule="auto"/>
              <w:jc w:val="center"/>
            </w:pPr>
            <w:r>
              <w:rPr>
                <w:rFonts w:ascii="Calibri" w:hAnsi="Calibri" w:eastAsia="Calibri"/>
                <w:b w:val="0"/>
                <w:color w:val="1E2D38"/>
                <w:sz w:val="15"/>
              </w:rPr>
              <w:t>____</w:t>
            </w:r>
          </w:p>
        </w:tc>
        <w:tc>
          <w:tcPr>
            <w:tcW w:type="dxa" w:w="900"/>
          </w:tcPr>
          <w:p>
            <w:pPr>
              <w:spacing w:before="0" w:after="240" w:line="252" w:lineRule="auto"/>
              <w:jc w:val="center"/>
            </w:pPr>
            <w:r>
              <w:rPr>
                <w:rFonts w:ascii="Calibri" w:hAnsi="Calibri" w:eastAsia="Calibri"/>
                <w:b w:val="0"/>
                <w:color w:val="1E2D38"/>
                <w:sz w:val="15"/>
              </w:rPr>
              <w:t>C / I</w:t>
            </w:r>
          </w:p>
        </w:tc>
        <w:tc>
          <w:tcPr>
            <w:tcW w:type="dxa" w:w="1050"/>
          </w:tcPr>
          <w:p>
            <w:pPr>
              <w:spacing w:before="0" w:after="240" w:line="252" w:lineRule="auto"/>
              <w:jc w:val="center"/>
            </w:pPr>
            <w:r>
              <w:rPr>
                <w:rFonts w:ascii="Calibri" w:hAnsi="Calibri" w:eastAsia="Calibri"/>
                <w:b w:val="0"/>
                <w:color w:val="1E2D38"/>
                <w:sz w:val="15"/>
              </w:rPr>
              <w:t>1 2 3 4</w:t>
            </w:r>
          </w:p>
        </w:tc>
        <w:tc>
          <w:tcPr>
            <w:tcW w:type="dxa" w:w="2460"/>
          </w:tcPr>
          <w:p>
            <w:pPr>
              <w:spacing w:before="0" w:after="240" w:line="252" w:lineRule="auto"/>
              <w:jc w:val="left"/>
            </w:pPr>
            <w:r>
              <w:rPr>
                <w:rFonts w:ascii="Calibri" w:hAnsi="Calibri" w:eastAsia="Calibri"/>
                <w:b w:val="0"/>
                <w:color w:val="1E2D38"/>
                <w:sz w:val="15"/>
              </w:rPr>
            </w:r>
          </w:p>
        </w:tc>
        <w:tc>
          <w:tcPr>
            <w:tcW w:type="dxa" w:w="2150"/>
          </w:tcPr>
          <w:p>
            <w:pPr>
              <w:spacing w:before="0" w:after="240" w:line="252" w:lineRule="auto"/>
              <w:jc w:val="left"/>
            </w:pPr>
            <w:r>
              <w:rPr>
                <w:rFonts w:ascii="Calibri" w:hAnsi="Calibri" w:eastAsia="Calibri"/>
                <w:b w:val="0"/>
                <w:color w:val="1E2D38"/>
                <w:sz w:val="15"/>
              </w:rPr>
            </w:r>
          </w:p>
        </w:tc>
        <w:tc>
          <w:tcPr>
            <w:tcW w:type="dxa" w:w="2100"/>
          </w:tcPr>
          <w:p>
            <w:pPr>
              <w:spacing w:before="0" w:after="240" w:line="252" w:lineRule="auto"/>
              <w:jc w:val="left"/>
            </w:pPr>
            <w:r>
              <w:rPr>
                <w:rFonts w:ascii="Calibri" w:hAnsi="Calibri" w:eastAsia="Calibri"/>
                <w:b w:val="0"/>
                <w:color w:val="1E2D38"/>
                <w:sz w:val="15"/>
              </w:rPr>
            </w:r>
          </w:p>
        </w:tc>
      </w:tr>
      <w:tr>
        <w:tc>
          <w:tcPr>
            <w:tcW w:type="dxa" w:w="700"/>
          </w:tcPr>
          <w:p>
            <w:pPr>
              <w:spacing w:before="0" w:after="240" w:line="252" w:lineRule="auto"/>
              <w:jc w:val="center"/>
            </w:pPr>
            <w:r>
              <w:rPr>
                <w:rFonts w:ascii="Calibri" w:hAnsi="Calibri" w:eastAsia="Calibri"/>
                <w:b w:val="0"/>
                <w:color w:val="1E2D38"/>
                <w:sz w:val="15"/>
              </w:rPr>
              <w:t>____</w:t>
            </w:r>
          </w:p>
        </w:tc>
        <w:tc>
          <w:tcPr>
            <w:tcW w:type="dxa" w:w="900"/>
          </w:tcPr>
          <w:p>
            <w:pPr>
              <w:spacing w:before="0" w:after="240" w:line="252" w:lineRule="auto"/>
              <w:jc w:val="center"/>
            </w:pPr>
            <w:r>
              <w:rPr>
                <w:rFonts w:ascii="Calibri" w:hAnsi="Calibri" w:eastAsia="Calibri"/>
                <w:b w:val="0"/>
                <w:color w:val="1E2D38"/>
                <w:sz w:val="15"/>
              </w:rPr>
              <w:t>C / I</w:t>
            </w:r>
          </w:p>
        </w:tc>
        <w:tc>
          <w:tcPr>
            <w:tcW w:type="dxa" w:w="1050"/>
          </w:tcPr>
          <w:p>
            <w:pPr>
              <w:spacing w:before="0" w:after="240" w:line="252" w:lineRule="auto"/>
              <w:jc w:val="center"/>
            </w:pPr>
            <w:r>
              <w:rPr>
                <w:rFonts w:ascii="Calibri" w:hAnsi="Calibri" w:eastAsia="Calibri"/>
                <w:b w:val="0"/>
                <w:color w:val="1E2D38"/>
                <w:sz w:val="15"/>
              </w:rPr>
              <w:t>1 2 3 4</w:t>
            </w:r>
          </w:p>
        </w:tc>
        <w:tc>
          <w:tcPr>
            <w:tcW w:type="dxa" w:w="2460"/>
          </w:tcPr>
          <w:p>
            <w:pPr>
              <w:spacing w:before="0" w:after="240" w:line="252" w:lineRule="auto"/>
              <w:jc w:val="left"/>
            </w:pPr>
            <w:r>
              <w:rPr>
                <w:rFonts w:ascii="Calibri" w:hAnsi="Calibri" w:eastAsia="Calibri"/>
                <w:b w:val="0"/>
                <w:color w:val="1E2D38"/>
                <w:sz w:val="15"/>
              </w:rPr>
            </w:r>
          </w:p>
        </w:tc>
        <w:tc>
          <w:tcPr>
            <w:tcW w:type="dxa" w:w="2150"/>
          </w:tcPr>
          <w:p>
            <w:pPr>
              <w:spacing w:before="0" w:after="240" w:line="252" w:lineRule="auto"/>
              <w:jc w:val="left"/>
            </w:pPr>
            <w:r>
              <w:rPr>
                <w:rFonts w:ascii="Calibri" w:hAnsi="Calibri" w:eastAsia="Calibri"/>
                <w:b w:val="0"/>
                <w:color w:val="1E2D38"/>
                <w:sz w:val="15"/>
              </w:rPr>
            </w:r>
          </w:p>
        </w:tc>
        <w:tc>
          <w:tcPr>
            <w:tcW w:type="dxa" w:w="2100"/>
          </w:tcPr>
          <w:p>
            <w:pPr>
              <w:spacing w:before="0" w:after="240" w:line="252" w:lineRule="auto"/>
              <w:jc w:val="left"/>
            </w:pPr>
            <w:r>
              <w:rPr>
                <w:rFonts w:ascii="Calibri" w:hAnsi="Calibri" w:eastAsia="Calibri"/>
                <w:b w:val="0"/>
                <w:color w:val="1E2D38"/>
                <w:sz w:val="15"/>
              </w:rPr>
            </w:r>
          </w:p>
        </w:tc>
      </w:tr>
      <w:tr>
        <w:tc>
          <w:tcPr>
            <w:tcW w:type="dxa" w:w="700"/>
          </w:tcPr>
          <w:p>
            <w:pPr>
              <w:spacing w:before="0" w:after="240" w:line="252" w:lineRule="auto"/>
              <w:jc w:val="center"/>
            </w:pPr>
            <w:r>
              <w:rPr>
                <w:rFonts w:ascii="Calibri" w:hAnsi="Calibri" w:eastAsia="Calibri"/>
                <w:b w:val="0"/>
                <w:color w:val="1E2D38"/>
                <w:sz w:val="15"/>
              </w:rPr>
              <w:t>____</w:t>
            </w:r>
          </w:p>
        </w:tc>
        <w:tc>
          <w:tcPr>
            <w:tcW w:type="dxa" w:w="900"/>
          </w:tcPr>
          <w:p>
            <w:pPr>
              <w:spacing w:before="0" w:after="240" w:line="252" w:lineRule="auto"/>
              <w:jc w:val="center"/>
            </w:pPr>
            <w:r>
              <w:rPr>
                <w:rFonts w:ascii="Calibri" w:hAnsi="Calibri" w:eastAsia="Calibri"/>
                <w:b w:val="0"/>
                <w:color w:val="1E2D38"/>
                <w:sz w:val="15"/>
              </w:rPr>
              <w:t>C / I</w:t>
            </w:r>
          </w:p>
        </w:tc>
        <w:tc>
          <w:tcPr>
            <w:tcW w:type="dxa" w:w="1050"/>
          </w:tcPr>
          <w:p>
            <w:pPr>
              <w:spacing w:before="0" w:after="240" w:line="252" w:lineRule="auto"/>
              <w:jc w:val="center"/>
            </w:pPr>
            <w:r>
              <w:rPr>
                <w:rFonts w:ascii="Calibri" w:hAnsi="Calibri" w:eastAsia="Calibri"/>
                <w:b w:val="0"/>
                <w:color w:val="1E2D38"/>
                <w:sz w:val="15"/>
              </w:rPr>
              <w:t>1 2 3 4</w:t>
            </w:r>
          </w:p>
        </w:tc>
        <w:tc>
          <w:tcPr>
            <w:tcW w:type="dxa" w:w="2460"/>
          </w:tcPr>
          <w:p>
            <w:pPr>
              <w:spacing w:before="0" w:after="240" w:line="252" w:lineRule="auto"/>
              <w:jc w:val="left"/>
            </w:pPr>
            <w:r>
              <w:rPr>
                <w:rFonts w:ascii="Calibri" w:hAnsi="Calibri" w:eastAsia="Calibri"/>
                <w:b w:val="0"/>
                <w:color w:val="1E2D38"/>
                <w:sz w:val="15"/>
              </w:rPr>
            </w:r>
          </w:p>
        </w:tc>
        <w:tc>
          <w:tcPr>
            <w:tcW w:type="dxa" w:w="2150"/>
          </w:tcPr>
          <w:p>
            <w:pPr>
              <w:spacing w:before="0" w:after="240" w:line="252" w:lineRule="auto"/>
              <w:jc w:val="left"/>
            </w:pPr>
            <w:r>
              <w:rPr>
                <w:rFonts w:ascii="Calibri" w:hAnsi="Calibri" w:eastAsia="Calibri"/>
                <w:b w:val="0"/>
                <w:color w:val="1E2D38"/>
                <w:sz w:val="15"/>
              </w:rPr>
            </w:r>
          </w:p>
        </w:tc>
        <w:tc>
          <w:tcPr>
            <w:tcW w:type="dxa" w:w="2100"/>
          </w:tcPr>
          <w:p>
            <w:pPr>
              <w:spacing w:before="0" w:after="240" w:line="252" w:lineRule="auto"/>
              <w:jc w:val="left"/>
            </w:pPr>
            <w:r>
              <w:rPr>
                <w:rFonts w:ascii="Calibri" w:hAnsi="Calibri" w:eastAsia="Calibri"/>
                <w:b w:val="0"/>
                <w:color w:val="1E2D38"/>
                <w:sz w:val="15"/>
              </w:rPr>
            </w:r>
          </w:p>
        </w:tc>
      </w:tr>
      <w:tr>
        <w:tc>
          <w:tcPr>
            <w:tcW w:type="dxa" w:w="700"/>
          </w:tcPr>
          <w:p>
            <w:pPr>
              <w:spacing w:before="0" w:after="240" w:line="252" w:lineRule="auto"/>
              <w:jc w:val="center"/>
            </w:pPr>
            <w:r>
              <w:rPr>
                <w:rFonts w:ascii="Calibri" w:hAnsi="Calibri" w:eastAsia="Calibri"/>
                <w:b w:val="0"/>
                <w:color w:val="1E2D38"/>
                <w:sz w:val="15"/>
              </w:rPr>
              <w:t>____</w:t>
            </w:r>
          </w:p>
        </w:tc>
        <w:tc>
          <w:tcPr>
            <w:tcW w:type="dxa" w:w="900"/>
          </w:tcPr>
          <w:p>
            <w:pPr>
              <w:spacing w:before="0" w:after="240" w:line="252" w:lineRule="auto"/>
              <w:jc w:val="center"/>
            </w:pPr>
            <w:r>
              <w:rPr>
                <w:rFonts w:ascii="Calibri" w:hAnsi="Calibri" w:eastAsia="Calibri"/>
                <w:b w:val="0"/>
                <w:color w:val="1E2D38"/>
                <w:sz w:val="15"/>
              </w:rPr>
              <w:t>C / I</w:t>
            </w:r>
          </w:p>
        </w:tc>
        <w:tc>
          <w:tcPr>
            <w:tcW w:type="dxa" w:w="1050"/>
          </w:tcPr>
          <w:p>
            <w:pPr>
              <w:spacing w:before="0" w:after="240" w:line="252" w:lineRule="auto"/>
              <w:jc w:val="center"/>
            </w:pPr>
            <w:r>
              <w:rPr>
                <w:rFonts w:ascii="Calibri" w:hAnsi="Calibri" w:eastAsia="Calibri"/>
                <w:b w:val="0"/>
                <w:color w:val="1E2D38"/>
                <w:sz w:val="15"/>
              </w:rPr>
              <w:t>1 2 3 4</w:t>
            </w:r>
          </w:p>
        </w:tc>
        <w:tc>
          <w:tcPr>
            <w:tcW w:type="dxa" w:w="2460"/>
          </w:tcPr>
          <w:p>
            <w:pPr>
              <w:spacing w:before="0" w:after="240" w:line="252" w:lineRule="auto"/>
              <w:jc w:val="left"/>
            </w:pPr>
            <w:r>
              <w:rPr>
                <w:rFonts w:ascii="Calibri" w:hAnsi="Calibri" w:eastAsia="Calibri"/>
                <w:b w:val="0"/>
                <w:color w:val="1E2D38"/>
                <w:sz w:val="15"/>
              </w:rPr>
            </w:r>
          </w:p>
        </w:tc>
        <w:tc>
          <w:tcPr>
            <w:tcW w:type="dxa" w:w="2150"/>
          </w:tcPr>
          <w:p>
            <w:pPr>
              <w:spacing w:before="0" w:after="240" w:line="252" w:lineRule="auto"/>
              <w:jc w:val="left"/>
            </w:pPr>
            <w:r>
              <w:rPr>
                <w:rFonts w:ascii="Calibri" w:hAnsi="Calibri" w:eastAsia="Calibri"/>
                <w:b w:val="0"/>
                <w:color w:val="1E2D38"/>
                <w:sz w:val="15"/>
              </w:rPr>
            </w:r>
          </w:p>
        </w:tc>
        <w:tc>
          <w:tcPr>
            <w:tcW w:type="dxa" w:w="2100"/>
          </w:tcPr>
          <w:p>
            <w:pPr>
              <w:spacing w:before="0" w:after="240" w:line="252" w:lineRule="auto"/>
              <w:jc w:val="left"/>
            </w:pPr>
            <w:r>
              <w:rPr>
                <w:rFonts w:ascii="Calibri" w:hAnsi="Calibri" w:eastAsia="Calibri"/>
                <w:b w:val="0"/>
                <w:color w:val="1E2D38"/>
                <w:sz w:val="15"/>
              </w:rPr>
            </w:r>
          </w:p>
        </w:tc>
      </w:tr>
      <w:tr>
        <w:tc>
          <w:tcPr>
            <w:tcW w:type="dxa" w:w="700"/>
          </w:tcPr>
          <w:p>
            <w:pPr>
              <w:spacing w:before="0" w:after="240" w:line="252" w:lineRule="auto"/>
              <w:jc w:val="center"/>
            </w:pPr>
            <w:r>
              <w:rPr>
                <w:rFonts w:ascii="Calibri" w:hAnsi="Calibri" w:eastAsia="Calibri"/>
                <w:b w:val="0"/>
                <w:color w:val="1E2D38"/>
                <w:sz w:val="15"/>
              </w:rPr>
              <w:t>____</w:t>
            </w:r>
          </w:p>
        </w:tc>
        <w:tc>
          <w:tcPr>
            <w:tcW w:type="dxa" w:w="900"/>
          </w:tcPr>
          <w:p>
            <w:pPr>
              <w:spacing w:before="0" w:after="240" w:line="252" w:lineRule="auto"/>
              <w:jc w:val="center"/>
            </w:pPr>
            <w:r>
              <w:rPr>
                <w:rFonts w:ascii="Calibri" w:hAnsi="Calibri" w:eastAsia="Calibri"/>
                <w:b w:val="0"/>
                <w:color w:val="1E2D38"/>
                <w:sz w:val="15"/>
              </w:rPr>
              <w:t>C / I</w:t>
            </w:r>
          </w:p>
        </w:tc>
        <w:tc>
          <w:tcPr>
            <w:tcW w:type="dxa" w:w="1050"/>
          </w:tcPr>
          <w:p>
            <w:pPr>
              <w:spacing w:before="0" w:after="240" w:line="252" w:lineRule="auto"/>
              <w:jc w:val="center"/>
            </w:pPr>
            <w:r>
              <w:rPr>
                <w:rFonts w:ascii="Calibri" w:hAnsi="Calibri" w:eastAsia="Calibri"/>
                <w:b w:val="0"/>
                <w:color w:val="1E2D38"/>
                <w:sz w:val="15"/>
              </w:rPr>
              <w:t>1 2 3 4</w:t>
            </w:r>
          </w:p>
        </w:tc>
        <w:tc>
          <w:tcPr>
            <w:tcW w:type="dxa" w:w="2460"/>
          </w:tcPr>
          <w:p>
            <w:pPr>
              <w:spacing w:before="0" w:after="240" w:line="252" w:lineRule="auto"/>
              <w:jc w:val="left"/>
            </w:pPr>
            <w:r>
              <w:rPr>
                <w:rFonts w:ascii="Calibri" w:hAnsi="Calibri" w:eastAsia="Calibri"/>
                <w:b w:val="0"/>
                <w:color w:val="1E2D38"/>
                <w:sz w:val="15"/>
              </w:rPr>
            </w:r>
          </w:p>
        </w:tc>
        <w:tc>
          <w:tcPr>
            <w:tcW w:type="dxa" w:w="2150"/>
          </w:tcPr>
          <w:p>
            <w:pPr>
              <w:spacing w:before="0" w:after="240" w:line="252" w:lineRule="auto"/>
              <w:jc w:val="left"/>
            </w:pPr>
            <w:r>
              <w:rPr>
                <w:rFonts w:ascii="Calibri" w:hAnsi="Calibri" w:eastAsia="Calibri"/>
                <w:b w:val="0"/>
                <w:color w:val="1E2D38"/>
                <w:sz w:val="15"/>
              </w:rPr>
            </w:r>
          </w:p>
        </w:tc>
        <w:tc>
          <w:tcPr>
            <w:tcW w:type="dxa" w:w="2100"/>
          </w:tcPr>
          <w:p>
            <w:pPr>
              <w:spacing w:before="0" w:after="240" w:line="252" w:lineRule="auto"/>
              <w:jc w:val="left"/>
            </w:pPr>
            <w:r>
              <w:rPr>
                <w:rFonts w:ascii="Calibri" w:hAnsi="Calibri" w:eastAsia="Calibri"/>
                <w:b w:val="0"/>
                <w:color w:val="1E2D38"/>
                <w:sz w:val="15"/>
              </w:rPr>
            </w:r>
          </w:p>
        </w:tc>
      </w:tr>
      <w:tr>
        <w:tc>
          <w:tcPr>
            <w:tcW w:type="dxa" w:w="700"/>
          </w:tcPr>
          <w:p>
            <w:pPr>
              <w:spacing w:before="0" w:after="240" w:line="252" w:lineRule="auto"/>
              <w:jc w:val="center"/>
            </w:pPr>
            <w:r>
              <w:rPr>
                <w:rFonts w:ascii="Calibri" w:hAnsi="Calibri" w:eastAsia="Calibri"/>
                <w:b w:val="0"/>
                <w:color w:val="1E2D38"/>
                <w:sz w:val="15"/>
              </w:rPr>
              <w:t>____</w:t>
            </w:r>
          </w:p>
        </w:tc>
        <w:tc>
          <w:tcPr>
            <w:tcW w:type="dxa" w:w="900"/>
          </w:tcPr>
          <w:p>
            <w:pPr>
              <w:spacing w:before="0" w:after="240" w:line="252" w:lineRule="auto"/>
              <w:jc w:val="center"/>
            </w:pPr>
            <w:r>
              <w:rPr>
                <w:rFonts w:ascii="Calibri" w:hAnsi="Calibri" w:eastAsia="Calibri"/>
                <w:b w:val="0"/>
                <w:color w:val="1E2D38"/>
                <w:sz w:val="15"/>
              </w:rPr>
              <w:t>C / I</w:t>
            </w:r>
          </w:p>
        </w:tc>
        <w:tc>
          <w:tcPr>
            <w:tcW w:type="dxa" w:w="1050"/>
          </w:tcPr>
          <w:p>
            <w:pPr>
              <w:spacing w:before="0" w:after="240" w:line="252" w:lineRule="auto"/>
              <w:jc w:val="center"/>
            </w:pPr>
            <w:r>
              <w:rPr>
                <w:rFonts w:ascii="Calibri" w:hAnsi="Calibri" w:eastAsia="Calibri"/>
                <w:b w:val="0"/>
                <w:color w:val="1E2D38"/>
                <w:sz w:val="15"/>
              </w:rPr>
              <w:t>1 2 3 4</w:t>
            </w:r>
          </w:p>
        </w:tc>
        <w:tc>
          <w:tcPr>
            <w:tcW w:type="dxa" w:w="2460"/>
          </w:tcPr>
          <w:p>
            <w:pPr>
              <w:spacing w:before="0" w:after="240" w:line="252" w:lineRule="auto"/>
              <w:jc w:val="left"/>
            </w:pPr>
            <w:r>
              <w:rPr>
                <w:rFonts w:ascii="Calibri" w:hAnsi="Calibri" w:eastAsia="Calibri"/>
                <w:b w:val="0"/>
                <w:color w:val="1E2D38"/>
                <w:sz w:val="15"/>
              </w:rPr>
            </w:r>
          </w:p>
        </w:tc>
        <w:tc>
          <w:tcPr>
            <w:tcW w:type="dxa" w:w="2150"/>
          </w:tcPr>
          <w:p>
            <w:pPr>
              <w:spacing w:before="0" w:after="240" w:line="252" w:lineRule="auto"/>
              <w:jc w:val="left"/>
            </w:pPr>
            <w:r>
              <w:rPr>
                <w:rFonts w:ascii="Calibri" w:hAnsi="Calibri" w:eastAsia="Calibri"/>
                <w:b w:val="0"/>
                <w:color w:val="1E2D38"/>
                <w:sz w:val="15"/>
              </w:rPr>
            </w:r>
          </w:p>
        </w:tc>
        <w:tc>
          <w:tcPr>
            <w:tcW w:type="dxa" w:w="2100"/>
          </w:tcPr>
          <w:p>
            <w:pPr>
              <w:spacing w:before="0" w:after="240" w:line="252" w:lineRule="auto"/>
              <w:jc w:val="left"/>
            </w:pPr>
            <w:r>
              <w:rPr>
                <w:rFonts w:ascii="Calibri" w:hAnsi="Calibri" w:eastAsia="Calibri"/>
                <w:b w:val="0"/>
                <w:color w:val="1E2D38"/>
                <w:sz w:val="15"/>
              </w:rPr>
            </w:r>
          </w:p>
        </w:tc>
      </w:tr>
      <w:tr>
        <w:tc>
          <w:tcPr>
            <w:tcW w:type="dxa" w:w="700"/>
          </w:tcPr>
          <w:p>
            <w:pPr>
              <w:spacing w:before="0" w:after="240" w:line="252" w:lineRule="auto"/>
              <w:jc w:val="center"/>
            </w:pPr>
            <w:r>
              <w:rPr>
                <w:rFonts w:ascii="Calibri" w:hAnsi="Calibri" w:eastAsia="Calibri"/>
                <w:b w:val="0"/>
                <w:color w:val="1E2D38"/>
                <w:sz w:val="15"/>
              </w:rPr>
              <w:t>____</w:t>
            </w:r>
          </w:p>
        </w:tc>
        <w:tc>
          <w:tcPr>
            <w:tcW w:type="dxa" w:w="900"/>
          </w:tcPr>
          <w:p>
            <w:pPr>
              <w:spacing w:before="0" w:after="240" w:line="252" w:lineRule="auto"/>
              <w:jc w:val="center"/>
            </w:pPr>
            <w:r>
              <w:rPr>
                <w:rFonts w:ascii="Calibri" w:hAnsi="Calibri" w:eastAsia="Calibri"/>
                <w:b w:val="0"/>
                <w:color w:val="1E2D38"/>
                <w:sz w:val="15"/>
              </w:rPr>
              <w:t>C / I</w:t>
            </w:r>
          </w:p>
        </w:tc>
        <w:tc>
          <w:tcPr>
            <w:tcW w:type="dxa" w:w="1050"/>
          </w:tcPr>
          <w:p>
            <w:pPr>
              <w:spacing w:before="0" w:after="240" w:line="252" w:lineRule="auto"/>
              <w:jc w:val="center"/>
            </w:pPr>
            <w:r>
              <w:rPr>
                <w:rFonts w:ascii="Calibri" w:hAnsi="Calibri" w:eastAsia="Calibri"/>
                <w:b w:val="0"/>
                <w:color w:val="1E2D38"/>
                <w:sz w:val="15"/>
              </w:rPr>
              <w:t>1 2 3 4</w:t>
            </w:r>
          </w:p>
        </w:tc>
        <w:tc>
          <w:tcPr>
            <w:tcW w:type="dxa" w:w="2460"/>
          </w:tcPr>
          <w:p>
            <w:pPr>
              <w:spacing w:before="0" w:after="240" w:line="252" w:lineRule="auto"/>
              <w:jc w:val="left"/>
            </w:pPr>
            <w:r>
              <w:rPr>
                <w:rFonts w:ascii="Calibri" w:hAnsi="Calibri" w:eastAsia="Calibri"/>
                <w:b w:val="0"/>
                <w:color w:val="1E2D38"/>
                <w:sz w:val="15"/>
              </w:rPr>
            </w:r>
          </w:p>
        </w:tc>
        <w:tc>
          <w:tcPr>
            <w:tcW w:type="dxa" w:w="2150"/>
          </w:tcPr>
          <w:p>
            <w:pPr>
              <w:spacing w:before="0" w:after="240" w:line="252" w:lineRule="auto"/>
              <w:jc w:val="left"/>
            </w:pPr>
            <w:r>
              <w:rPr>
                <w:rFonts w:ascii="Calibri" w:hAnsi="Calibri" w:eastAsia="Calibri"/>
                <w:b w:val="0"/>
                <w:color w:val="1E2D38"/>
                <w:sz w:val="15"/>
              </w:rPr>
            </w:r>
          </w:p>
        </w:tc>
        <w:tc>
          <w:tcPr>
            <w:tcW w:type="dxa" w:w="2100"/>
          </w:tcPr>
          <w:p>
            <w:pPr>
              <w:spacing w:before="0" w:after="240" w:line="252" w:lineRule="auto"/>
              <w:jc w:val="left"/>
            </w:pPr>
            <w:r>
              <w:rPr>
                <w:rFonts w:ascii="Calibri" w:hAnsi="Calibri" w:eastAsia="Calibri"/>
                <w:b w:val="0"/>
                <w:color w:val="1E2D38"/>
                <w:sz w:val="15"/>
              </w:rPr>
            </w:r>
          </w:p>
        </w:tc>
      </w:tr>
      <w:tr>
        <w:tc>
          <w:tcPr>
            <w:tcW w:type="dxa" w:w="700"/>
          </w:tcPr>
          <w:p>
            <w:pPr>
              <w:spacing w:before="0" w:after="240" w:line="252" w:lineRule="auto"/>
              <w:jc w:val="center"/>
            </w:pPr>
            <w:r>
              <w:rPr>
                <w:rFonts w:ascii="Calibri" w:hAnsi="Calibri" w:eastAsia="Calibri"/>
                <w:b w:val="0"/>
                <w:color w:val="1E2D38"/>
                <w:sz w:val="15"/>
              </w:rPr>
              <w:t>____</w:t>
            </w:r>
          </w:p>
        </w:tc>
        <w:tc>
          <w:tcPr>
            <w:tcW w:type="dxa" w:w="900"/>
          </w:tcPr>
          <w:p>
            <w:pPr>
              <w:spacing w:before="0" w:after="240" w:line="252" w:lineRule="auto"/>
              <w:jc w:val="center"/>
            </w:pPr>
            <w:r>
              <w:rPr>
                <w:rFonts w:ascii="Calibri" w:hAnsi="Calibri" w:eastAsia="Calibri"/>
                <w:b w:val="0"/>
                <w:color w:val="1E2D38"/>
                <w:sz w:val="15"/>
              </w:rPr>
              <w:t>C / I</w:t>
            </w:r>
          </w:p>
        </w:tc>
        <w:tc>
          <w:tcPr>
            <w:tcW w:type="dxa" w:w="1050"/>
          </w:tcPr>
          <w:p>
            <w:pPr>
              <w:spacing w:before="0" w:after="240" w:line="252" w:lineRule="auto"/>
              <w:jc w:val="center"/>
            </w:pPr>
            <w:r>
              <w:rPr>
                <w:rFonts w:ascii="Calibri" w:hAnsi="Calibri" w:eastAsia="Calibri"/>
                <w:b w:val="0"/>
                <w:color w:val="1E2D38"/>
                <w:sz w:val="15"/>
              </w:rPr>
              <w:t>1 2 3 4</w:t>
            </w:r>
          </w:p>
        </w:tc>
        <w:tc>
          <w:tcPr>
            <w:tcW w:type="dxa" w:w="2460"/>
          </w:tcPr>
          <w:p>
            <w:pPr>
              <w:spacing w:before="0" w:after="240" w:line="252" w:lineRule="auto"/>
              <w:jc w:val="left"/>
            </w:pPr>
            <w:r>
              <w:rPr>
                <w:rFonts w:ascii="Calibri" w:hAnsi="Calibri" w:eastAsia="Calibri"/>
                <w:b w:val="0"/>
                <w:color w:val="1E2D38"/>
                <w:sz w:val="15"/>
              </w:rPr>
            </w:r>
          </w:p>
        </w:tc>
        <w:tc>
          <w:tcPr>
            <w:tcW w:type="dxa" w:w="2150"/>
          </w:tcPr>
          <w:p>
            <w:pPr>
              <w:spacing w:before="0" w:after="240" w:line="252" w:lineRule="auto"/>
              <w:jc w:val="left"/>
            </w:pPr>
            <w:r>
              <w:rPr>
                <w:rFonts w:ascii="Calibri" w:hAnsi="Calibri" w:eastAsia="Calibri"/>
                <w:b w:val="0"/>
                <w:color w:val="1E2D38"/>
                <w:sz w:val="15"/>
              </w:rPr>
            </w:r>
          </w:p>
        </w:tc>
        <w:tc>
          <w:tcPr>
            <w:tcW w:type="dxa" w:w="2100"/>
          </w:tcPr>
          <w:p>
            <w:pPr>
              <w:spacing w:before="0" w:after="240" w:line="252" w:lineRule="auto"/>
              <w:jc w:val="left"/>
            </w:pPr>
            <w:r>
              <w:rPr>
                <w:rFonts w:ascii="Calibri" w:hAnsi="Calibri" w:eastAsia="Calibri"/>
                <w:b w:val="0"/>
                <w:color w:val="1E2D38"/>
                <w:sz w:val="15"/>
              </w:rPr>
            </w:r>
          </w:p>
        </w:tc>
      </w:tr>
      <w:tr>
        <w:tc>
          <w:tcPr>
            <w:tcW w:type="dxa" w:w="700"/>
          </w:tcPr>
          <w:p>
            <w:pPr>
              <w:spacing w:before="0" w:after="240" w:line="252" w:lineRule="auto"/>
              <w:jc w:val="center"/>
            </w:pPr>
            <w:r>
              <w:rPr>
                <w:rFonts w:ascii="Calibri" w:hAnsi="Calibri" w:eastAsia="Calibri"/>
                <w:b w:val="0"/>
                <w:color w:val="1E2D38"/>
                <w:sz w:val="15"/>
              </w:rPr>
              <w:t>____</w:t>
            </w:r>
          </w:p>
        </w:tc>
        <w:tc>
          <w:tcPr>
            <w:tcW w:type="dxa" w:w="900"/>
          </w:tcPr>
          <w:p>
            <w:pPr>
              <w:spacing w:before="0" w:after="240" w:line="252" w:lineRule="auto"/>
              <w:jc w:val="center"/>
            </w:pPr>
            <w:r>
              <w:rPr>
                <w:rFonts w:ascii="Calibri" w:hAnsi="Calibri" w:eastAsia="Calibri"/>
                <w:b w:val="0"/>
                <w:color w:val="1E2D38"/>
                <w:sz w:val="15"/>
              </w:rPr>
              <w:t>C / I</w:t>
            </w:r>
          </w:p>
        </w:tc>
        <w:tc>
          <w:tcPr>
            <w:tcW w:type="dxa" w:w="1050"/>
          </w:tcPr>
          <w:p>
            <w:pPr>
              <w:spacing w:before="0" w:after="240" w:line="252" w:lineRule="auto"/>
              <w:jc w:val="center"/>
            </w:pPr>
            <w:r>
              <w:rPr>
                <w:rFonts w:ascii="Calibri" w:hAnsi="Calibri" w:eastAsia="Calibri"/>
                <w:b w:val="0"/>
                <w:color w:val="1E2D38"/>
                <w:sz w:val="15"/>
              </w:rPr>
              <w:t>1 2 3 4</w:t>
            </w:r>
          </w:p>
        </w:tc>
        <w:tc>
          <w:tcPr>
            <w:tcW w:type="dxa" w:w="2460"/>
          </w:tcPr>
          <w:p>
            <w:pPr>
              <w:spacing w:before="0" w:after="240" w:line="252" w:lineRule="auto"/>
              <w:jc w:val="left"/>
            </w:pPr>
            <w:r>
              <w:rPr>
                <w:rFonts w:ascii="Calibri" w:hAnsi="Calibri" w:eastAsia="Calibri"/>
                <w:b w:val="0"/>
                <w:color w:val="1E2D38"/>
                <w:sz w:val="15"/>
              </w:rPr>
            </w:r>
          </w:p>
        </w:tc>
        <w:tc>
          <w:tcPr>
            <w:tcW w:type="dxa" w:w="2150"/>
          </w:tcPr>
          <w:p>
            <w:pPr>
              <w:spacing w:before="0" w:after="240" w:line="252" w:lineRule="auto"/>
              <w:jc w:val="left"/>
            </w:pPr>
            <w:r>
              <w:rPr>
                <w:rFonts w:ascii="Calibri" w:hAnsi="Calibri" w:eastAsia="Calibri"/>
                <w:b w:val="0"/>
                <w:color w:val="1E2D38"/>
                <w:sz w:val="15"/>
              </w:rPr>
            </w:r>
          </w:p>
        </w:tc>
        <w:tc>
          <w:tcPr>
            <w:tcW w:type="dxa" w:w="2100"/>
          </w:tcPr>
          <w:p>
            <w:pPr>
              <w:spacing w:before="0" w:after="240" w:line="252" w:lineRule="auto"/>
              <w:jc w:val="left"/>
            </w:pPr>
            <w:r>
              <w:rPr>
                <w:rFonts w:ascii="Calibri" w:hAnsi="Calibri" w:eastAsia="Calibri"/>
                <w:b w:val="0"/>
                <w:color w:val="1E2D38"/>
                <w:sz w:val="15"/>
              </w:rPr>
            </w:r>
          </w:p>
        </w:tc>
      </w:tr>
      <w:tr>
        <w:tc>
          <w:tcPr>
            <w:tcW w:type="dxa" w:w="700"/>
          </w:tcPr>
          <w:p>
            <w:pPr>
              <w:spacing w:before="0" w:after="240" w:line="252" w:lineRule="auto"/>
              <w:jc w:val="center"/>
            </w:pPr>
            <w:r>
              <w:rPr>
                <w:rFonts w:ascii="Calibri" w:hAnsi="Calibri" w:eastAsia="Calibri"/>
                <w:b w:val="0"/>
                <w:color w:val="1E2D38"/>
                <w:sz w:val="15"/>
              </w:rPr>
              <w:t>____</w:t>
            </w:r>
          </w:p>
        </w:tc>
        <w:tc>
          <w:tcPr>
            <w:tcW w:type="dxa" w:w="900"/>
          </w:tcPr>
          <w:p>
            <w:pPr>
              <w:spacing w:before="0" w:after="240" w:line="252" w:lineRule="auto"/>
              <w:jc w:val="center"/>
            </w:pPr>
            <w:r>
              <w:rPr>
                <w:rFonts w:ascii="Calibri" w:hAnsi="Calibri" w:eastAsia="Calibri"/>
                <w:b w:val="0"/>
                <w:color w:val="1E2D38"/>
                <w:sz w:val="15"/>
              </w:rPr>
              <w:t>C / I</w:t>
            </w:r>
          </w:p>
        </w:tc>
        <w:tc>
          <w:tcPr>
            <w:tcW w:type="dxa" w:w="1050"/>
          </w:tcPr>
          <w:p>
            <w:pPr>
              <w:spacing w:before="0" w:after="240" w:line="252" w:lineRule="auto"/>
              <w:jc w:val="center"/>
            </w:pPr>
            <w:r>
              <w:rPr>
                <w:rFonts w:ascii="Calibri" w:hAnsi="Calibri" w:eastAsia="Calibri"/>
                <w:b w:val="0"/>
                <w:color w:val="1E2D38"/>
                <w:sz w:val="15"/>
              </w:rPr>
              <w:t>1 2 3 4</w:t>
            </w:r>
          </w:p>
        </w:tc>
        <w:tc>
          <w:tcPr>
            <w:tcW w:type="dxa" w:w="2460"/>
          </w:tcPr>
          <w:p>
            <w:pPr>
              <w:spacing w:before="0" w:after="240" w:line="252" w:lineRule="auto"/>
              <w:jc w:val="left"/>
            </w:pPr>
            <w:r>
              <w:rPr>
                <w:rFonts w:ascii="Calibri" w:hAnsi="Calibri" w:eastAsia="Calibri"/>
                <w:b w:val="0"/>
                <w:color w:val="1E2D38"/>
                <w:sz w:val="15"/>
              </w:rPr>
            </w:r>
          </w:p>
        </w:tc>
        <w:tc>
          <w:tcPr>
            <w:tcW w:type="dxa" w:w="2150"/>
          </w:tcPr>
          <w:p>
            <w:pPr>
              <w:spacing w:before="0" w:after="240" w:line="252" w:lineRule="auto"/>
              <w:jc w:val="left"/>
            </w:pPr>
            <w:r>
              <w:rPr>
                <w:rFonts w:ascii="Calibri" w:hAnsi="Calibri" w:eastAsia="Calibri"/>
                <w:b w:val="0"/>
                <w:color w:val="1E2D38"/>
                <w:sz w:val="15"/>
              </w:rPr>
            </w:r>
          </w:p>
        </w:tc>
        <w:tc>
          <w:tcPr>
            <w:tcW w:type="dxa" w:w="2100"/>
          </w:tcPr>
          <w:p>
            <w:pPr>
              <w:spacing w:before="0" w:after="240" w:line="252" w:lineRule="auto"/>
              <w:jc w:val="left"/>
            </w:pPr>
            <w:r>
              <w:rPr>
                <w:rFonts w:ascii="Calibri" w:hAnsi="Calibri" w:eastAsia="Calibri"/>
                <w:b w:val="0"/>
                <w:color w:val="1E2D38"/>
                <w:sz w:val="15"/>
              </w:rPr>
            </w:r>
          </w:p>
        </w:tc>
      </w:tr>
      <w:tr>
        <w:tc>
          <w:tcPr>
            <w:tcW w:type="dxa" w:w="700"/>
          </w:tcPr>
          <w:p>
            <w:pPr>
              <w:spacing w:before="0" w:after="240" w:line="252" w:lineRule="auto"/>
              <w:jc w:val="center"/>
            </w:pPr>
            <w:r>
              <w:rPr>
                <w:rFonts w:ascii="Calibri" w:hAnsi="Calibri" w:eastAsia="Calibri"/>
                <w:b w:val="0"/>
                <w:color w:val="1E2D38"/>
                <w:sz w:val="15"/>
              </w:rPr>
              <w:t>____</w:t>
            </w:r>
          </w:p>
        </w:tc>
        <w:tc>
          <w:tcPr>
            <w:tcW w:type="dxa" w:w="900"/>
          </w:tcPr>
          <w:p>
            <w:pPr>
              <w:spacing w:before="0" w:after="240" w:line="252" w:lineRule="auto"/>
              <w:jc w:val="center"/>
            </w:pPr>
            <w:r>
              <w:rPr>
                <w:rFonts w:ascii="Calibri" w:hAnsi="Calibri" w:eastAsia="Calibri"/>
                <w:b w:val="0"/>
                <w:color w:val="1E2D38"/>
                <w:sz w:val="15"/>
              </w:rPr>
              <w:t>C / I</w:t>
            </w:r>
          </w:p>
        </w:tc>
        <w:tc>
          <w:tcPr>
            <w:tcW w:type="dxa" w:w="1050"/>
          </w:tcPr>
          <w:p>
            <w:pPr>
              <w:spacing w:before="0" w:after="240" w:line="252" w:lineRule="auto"/>
              <w:jc w:val="center"/>
            </w:pPr>
            <w:r>
              <w:rPr>
                <w:rFonts w:ascii="Calibri" w:hAnsi="Calibri" w:eastAsia="Calibri"/>
                <w:b w:val="0"/>
                <w:color w:val="1E2D38"/>
                <w:sz w:val="15"/>
              </w:rPr>
              <w:t>1 2 3 4</w:t>
            </w:r>
          </w:p>
        </w:tc>
        <w:tc>
          <w:tcPr>
            <w:tcW w:type="dxa" w:w="2460"/>
          </w:tcPr>
          <w:p>
            <w:pPr>
              <w:spacing w:before="0" w:after="240" w:line="252" w:lineRule="auto"/>
              <w:jc w:val="left"/>
            </w:pPr>
            <w:r>
              <w:rPr>
                <w:rFonts w:ascii="Calibri" w:hAnsi="Calibri" w:eastAsia="Calibri"/>
                <w:b w:val="0"/>
                <w:color w:val="1E2D38"/>
                <w:sz w:val="15"/>
              </w:rPr>
            </w:r>
          </w:p>
        </w:tc>
        <w:tc>
          <w:tcPr>
            <w:tcW w:type="dxa" w:w="2150"/>
          </w:tcPr>
          <w:p>
            <w:pPr>
              <w:spacing w:before="0" w:after="240" w:line="252" w:lineRule="auto"/>
              <w:jc w:val="left"/>
            </w:pPr>
            <w:r>
              <w:rPr>
                <w:rFonts w:ascii="Calibri" w:hAnsi="Calibri" w:eastAsia="Calibri"/>
                <w:b w:val="0"/>
                <w:color w:val="1E2D38"/>
                <w:sz w:val="15"/>
              </w:rPr>
            </w:r>
          </w:p>
        </w:tc>
        <w:tc>
          <w:tcPr>
            <w:tcW w:type="dxa" w:w="2100"/>
          </w:tcPr>
          <w:p>
            <w:pPr>
              <w:spacing w:before="0" w:after="240" w:line="252" w:lineRule="auto"/>
              <w:jc w:val="left"/>
            </w:pPr>
            <w:r>
              <w:rPr>
                <w:rFonts w:ascii="Calibri" w:hAnsi="Calibri" w:eastAsia="Calibri"/>
                <w:b w:val="0"/>
                <w:color w:val="1E2D38"/>
                <w:sz w:val="15"/>
              </w:rPr>
            </w:r>
          </w:p>
        </w:tc>
      </w:tr>
    </w:tbl>
    <w:p>
      <w:pPr>
        <w:pStyle w:val="Heading1"/>
        <w:pageBreakBefore/>
      </w:pPr>
      <w:r>
        <w:t>Currency and Source Controls</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CURRENCY RULE: </w:t>
            </w:r>
            <w:r>
              <w:rPr>
                <w:rFonts w:ascii="Calibri" w:hAnsi="Calibri" w:eastAsia="Calibri"/>
                <w:color w:val="1E2D38"/>
                <w:sz w:val="18"/>
              </w:rPr>
              <w:t>This controlled file teaches reasoning and does not replace current law, regulation, licensing-board requirements, organizational policy, payer rules, or individualized legal or clinical consultation. Recheck high-change legal, ethical, diagnostic, privacy, teletherapy, supervision, and AI content before each release window.</w:t>
            </w:r>
          </w:p>
        </w:tc>
      </w:tr>
    </w:tbl>
    <w:p>
      <w:pPr>
        <w:spacing w:after="0"/>
      </w:pPr>
    </w:p>
    <w:p>
      <w:pPr>
        <w:ind w:left="317" w:hanging="317"/>
      </w:pPr>
      <w:r>
        <w:rPr>
          <w:rFonts w:ascii="Calibri" w:hAnsi="Calibri" w:eastAsia="Calibri"/>
          <w:b/>
          <w:color w:val="12385B"/>
        </w:rPr>
        <w:t xml:space="preserve">1. </w:t>
      </w:r>
      <w:hyperlink r:id="rId14">
        <w:r>
          <w:rPr>
            <w:color w:val="13A6A6"/>
            <w:u w:val="single"/>
            <w:rFonts w:ascii="Calibri" w:hAnsi="Calibri"/>
          </w:rPr>
          <w:t>2026 PTC/AMFTRB Handbook for Candidates (revised April 30, 2026)</w:t>
        </w:r>
      </w:hyperlink>
      <w:r>
        <w:rPr>
          <w:rFonts w:ascii="Calibri" w:hAnsi="Calibri" w:eastAsia="Calibri"/>
          <w:color w:val="1E2D38"/>
          <w:sz w:val="18"/>
        </w:rPr>
        <w:t xml:space="preserve"> - Exam mechanics, six-domain outline, task and knowledge controls, candidate rules.</w:t>
      </w:r>
    </w:p>
    <w:p>
      <w:pPr>
        <w:ind w:left="317" w:hanging="317"/>
      </w:pPr>
      <w:r>
        <w:rPr>
          <w:rFonts w:ascii="Calibri" w:hAnsi="Calibri" w:eastAsia="Calibri"/>
          <w:b/>
          <w:color w:val="12385B"/>
        </w:rPr>
        <w:t xml:space="preserve">2. </w:t>
      </w:r>
      <w:hyperlink r:id="rId15">
        <w:r>
          <w:rPr>
            <w:color w:val="13A6A6"/>
            <w:u w:val="single"/>
            <w:rFonts w:ascii="Calibri" w:hAnsi="Calibri"/>
          </w:rPr>
          <w:t>AMFTRB Exam Reference</w:t>
        </w:r>
      </w:hyperlink>
      <w:r>
        <w:rPr>
          <w:rFonts w:ascii="Calibri" w:hAnsi="Calibri" w:eastAsia="Calibri"/>
          <w:color w:val="1E2D38"/>
          <w:sz w:val="18"/>
        </w:rPr>
        <w:t xml:space="preserve"> - 180 items, four options, one best answer, four-hour administration, raw-score and equating information.</w:t>
      </w:r>
    </w:p>
    <w:p>
      <w:pPr>
        <w:ind w:left="317" w:hanging="317"/>
      </w:pPr>
      <w:r>
        <w:rPr>
          <w:rFonts w:ascii="Calibri" w:hAnsi="Calibri" w:eastAsia="Calibri"/>
          <w:b/>
          <w:color w:val="12385B"/>
        </w:rPr>
        <w:t xml:space="preserve">3. </w:t>
      </w:r>
      <w:hyperlink r:id="rId16">
        <w:r>
          <w:rPr>
            <w:color w:val="13A6A6"/>
            <w:u w:val="single"/>
            <w:rFonts w:ascii="Calibri" w:hAnsi="Calibri"/>
          </w:rPr>
          <w:t>AAMFT Code of Ethics effective January 1, 2026</w:t>
        </w:r>
      </w:hyperlink>
      <w:r>
        <w:rPr>
          <w:rFonts w:ascii="Calibri" w:hAnsi="Calibri" w:eastAsia="Calibri"/>
          <w:color w:val="1E2D38"/>
          <w:sz w:val="18"/>
        </w:rPr>
        <w:t xml:space="preserve"> - Current professional ethics source; apply only within its scope and with governing authority.</w:t>
      </w:r>
    </w:p>
    <w:p>
      <w:pPr>
        <w:ind w:left="317" w:hanging="317"/>
      </w:pPr>
      <w:r>
        <w:rPr>
          <w:rFonts w:ascii="Calibri" w:hAnsi="Calibri" w:eastAsia="Calibri"/>
          <w:b/>
          <w:color w:val="12385B"/>
        </w:rPr>
        <w:t xml:space="preserve">4. </w:t>
      </w:r>
      <w:hyperlink r:id="rId17">
        <w:r>
          <w:rPr>
            <w:color w:val="13A6A6"/>
            <w:u w:val="single"/>
            <w:rFonts w:ascii="Calibri" w:hAnsi="Calibri"/>
          </w:rPr>
          <w:t>HHS/OCR HIPAA and Telehealth</w:t>
        </w:r>
      </w:hyperlink>
      <w:r>
        <w:rPr>
          <w:rFonts w:ascii="Calibri" w:hAnsi="Calibri" w:eastAsia="Calibri"/>
          <w:color w:val="1E2D38"/>
          <w:sz w:val="18"/>
        </w:rPr>
        <w:t xml:space="preserve"> - Federal telehealth privacy and security guidance for covered entities.</w:t>
      </w:r>
    </w:p>
    <w:p>
      <w:pPr>
        <w:ind w:left="317" w:hanging="317"/>
      </w:pPr>
      <w:r>
        <w:rPr>
          <w:rFonts w:ascii="Calibri" w:hAnsi="Calibri" w:eastAsia="Calibri"/>
          <w:b/>
          <w:color w:val="12385B"/>
        </w:rPr>
        <w:t xml:space="preserve">5. </w:t>
      </w:r>
      <w:hyperlink r:id="rId18">
        <w:r>
          <w:rPr>
            <w:color w:val="13A6A6"/>
            <w:u w:val="single"/>
            <w:rFonts w:ascii="Calibri" w:hAnsi="Calibri"/>
          </w:rPr>
          <w:t>FTC Health Privacy Guidance</w:t>
        </w:r>
      </w:hyperlink>
      <w:r>
        <w:rPr>
          <w:rFonts w:ascii="Calibri" w:hAnsi="Calibri" w:eastAsia="Calibri"/>
          <w:color w:val="1E2D38"/>
          <w:sz w:val="18"/>
        </w:rPr>
        <w:t xml:space="preserve"> - Federal consumer-health privacy and breach-notification guidance outside or alongside HIPAA as applicable.</w:t>
      </w:r>
    </w:p>
    <w:p>
      <w:pPr>
        <w:ind w:left="317" w:hanging="317"/>
      </w:pPr>
      <w:r>
        <w:rPr>
          <w:rFonts w:ascii="Calibri" w:hAnsi="Calibri" w:eastAsia="Calibri"/>
          <w:b/>
          <w:color w:val="12385B"/>
        </w:rPr>
        <w:t xml:space="preserve">6. </w:t>
      </w:r>
      <w:hyperlink r:id="rId19">
        <w:r>
          <w:rPr>
            <w:color w:val="13A6A6"/>
            <w:u w:val="single"/>
            <w:rFonts w:ascii="Calibri" w:hAnsi="Calibri"/>
          </w:rPr>
          <w:t>NIST AI Risk Management Framework</w:t>
        </w:r>
      </w:hyperlink>
      <w:r>
        <w:rPr>
          <w:rFonts w:ascii="Calibri" w:hAnsi="Calibri" w:eastAsia="Calibri"/>
          <w:color w:val="1E2D38"/>
          <w:sz w:val="18"/>
        </w:rPr>
        <w:t xml:space="preserve"> - Voluntary AI risk-management framework; not a substitute for law, ethics, or clinical judgment.</w:t>
      </w:r>
    </w:p>
    <w:p>
      <w:pPr>
        <w:pStyle w:val="Heading1"/>
      </w:pPr>
      <w:r>
        <w:t>Controlled Access and Release Record</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Program</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 LMFT AMFTRB National Exam Preparation Program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Artifact</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Checkpoint 3 Controlled Answer Key and Detailed Rationales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Version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Effective date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August 3, 2026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Release condition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Candidate first attempt completed and preserved</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Distribution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Controlled staff / authorized learner release only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Security review</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Content approval</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LMS placement verified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Next review date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r>
    </w:tbl>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9B1C1C"/>
                <w:sz w:val="18"/>
              </w:rPr>
              <w:t xml:space="preserve">FINAL CONTROL: </w:t>
            </w:r>
            <w:r>
              <w:rPr>
                <w:rFonts w:ascii="Calibri" w:hAnsi="Calibri" w:eastAsia="Calibri"/>
                <w:color w:val="1E2D38"/>
                <w:sz w:val="18"/>
              </w:rPr>
              <w:t>Do not use this file as a public question bank, live-exam representation, licensing determination, or official passing-score predictor. Preserve the candidate-only assessment and this controlled rationale file as separate access-controlled artifacts.</w:t>
            </w:r>
          </w:p>
        </w:tc>
      </w:tr>
    </w:tbl>
    <w:p>
      <w:pPr>
        <w:spacing w:after="0"/>
      </w:pPr>
    </w:p>
    <w:sectPr w:rsidR="00FC693F" w:rsidRPr="0006063C" w:rsidSect="00034616">
      <w:headerReference w:type="default" r:id="rId9"/>
      <w:footerReference w:type="default" r:id="rId10"/>
      <w:headerReference w:type="first" r:id="rId11"/>
      <w:footerReference w:type="first" r:id="rId12"/>
      <w:pgSz w:w="12240" w:h="15840"/>
      <w:pgMar w:top="1037" w:right="1440" w:bottom="1037"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66717A"/>
        <w:sz w:val="16"/>
      </w:rPr>
      <w:t xml:space="preserve">CONTROLLED - RELEASE AFTER FIRST ATTEMPT   |   Page </w:t>
    </w:r>
    <w:r>
      <w:rPr>
        <w:rFonts w:ascii="Calibri" w:hAnsi="Calibri" w:eastAsia="Calibri"/>
        <w:color w:val="66717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17A"/>
        <w:sz w:val="16"/>
      </w:rPr>
      <w:t>Clinical Training &amp; Supervision Academy | Controlled Assessment Resource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12385B"/>
        <w:sz w:val="16"/>
      </w:rPr>
      <w:t>CTA LMFT AMFTRB | CHECKPOINT 3 CONTROLLED RATIONALES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E2D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2385B"/>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3A6A6"/>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2385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238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ptcny.com/pdf/AMFTRB.pdf" TargetMode="External"/><Relationship Id="rId15" Type="http://schemas.openxmlformats.org/officeDocument/2006/relationships/hyperlink" Target="https://amftrb.org/exam-info/" TargetMode="External"/><Relationship Id="rId16" Type="http://schemas.openxmlformats.org/officeDocument/2006/relationships/hyperlink" Target="https://www.aamft.org/common/Uploaded%20files/Legal%20Ethics/AAMFT%20Code%20of%20Ethics.pdf" TargetMode="External"/><Relationship Id="rId17" Type="http://schemas.openxmlformats.org/officeDocument/2006/relationships/hyperlink" Target="https://www.hhs.gov/hipaa/for-professionals/special-topics/telehealth/index.html" TargetMode="External"/><Relationship Id="rId18" Type="http://schemas.openxmlformats.org/officeDocument/2006/relationships/hyperlink" Target="https://www.ftc.gov/business-guidance/privacy-security/health-privacy" TargetMode="External"/><Relationship Id="rId19"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Checkpoint 3 Controlled Answer Key and Detailed Rationales</dc:title>
  <dc:subject>90-question controlled rationale package for the AMFTRB National Exam Preparation Program</dc:subject>
  <dc:creator>Clinical Training &amp; Supervision Academy</dc:creator>
  <cp:keywords>CTA, LMFT, AMFTRB, Checkpoint 3, answer key, rationales, exam preparation</cp:keywords>
  <dc:description>Version 1.0 | August 2026 | Controlled document | No CE credit</dc:description>
  <cp:lastModifiedBy/>
  <cp:revision>1</cp:revision>
  <dcterms:created xsi:type="dcterms:W3CDTF">2013-12-23T23:15:00Z</dcterms:created>
  <dcterms:modified xsi:type="dcterms:W3CDTF">2013-12-23T23:15:00Z</dcterms:modified>
  <cp:category/>
</cp:coreProperties>
</file>