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400"/>
        <w:jc w:val="center"/>
      </w:pPr>
      <w:r>
        <w:drawing>
          <wp:inline xmlns:a="http://schemas.openxmlformats.org/drawingml/2006/main" xmlns:pic="http://schemas.openxmlformats.org/drawingml/2006/picture">
            <wp:extent cx="4389120" cy="3018971"/>
            <wp:docPr id="1" name="Picture 1" descr="Clinical Training and Supervision Academy horizontal logo"/>
            <wp:cNvGraphicFramePr>
              <a:graphicFrameLocks noChangeAspect="1"/>
            </wp:cNvGraphicFramePr>
            <a:graphic>
              <a:graphicData uri="http://schemas.openxmlformats.org/drawingml/2006/picture">
                <pic:pic>
                  <pic:nvPicPr>
                    <pic:cNvPr id="0" name="10-Primary-Horizontal-Logo.png"/>
                    <pic:cNvPicPr/>
                  </pic:nvPicPr>
                  <pic:blipFill>
                    <a:blip r:embed="rId13"/>
                    <a:stretch>
                      <a:fillRect/>
                    </a:stretch>
                  </pic:blipFill>
                  <pic:spPr>
                    <a:xfrm>
                      <a:off x="0" y="0"/>
                      <a:ext cx="4389120" cy="3018971"/>
                    </a:xfrm>
                    <a:prstGeom prst="rect"/>
                  </pic:spPr>
                </pic:pic>
              </a:graphicData>
            </a:graphic>
          </wp:inline>
        </w:drawing>
      </w:r>
    </w:p>
    <w:p>
      <w:pPr>
        <w:spacing w:after="60"/>
        <w:jc w:val="center"/>
      </w:pPr>
      <w:r>
        <w:rPr>
          <w:rFonts w:ascii="Calibri" w:hAnsi="Calibri"/>
          <w:b/>
          <w:color w:val="12385B"/>
          <w:sz w:val="34"/>
        </w:rPr>
        <w:t>CTA LMFT AMFTRB</w:t>
      </w:r>
    </w:p>
    <w:p>
      <w:pPr>
        <w:spacing w:after="280"/>
        <w:jc w:val="center"/>
      </w:pPr>
      <w:r>
        <w:rPr>
          <w:rFonts w:ascii="Calibri" w:hAnsi="Calibri"/>
          <w:b/>
          <w:color w:val="13A6A6"/>
          <w:sz w:val="21"/>
        </w:rPr>
        <w:t>NATIONAL EXAM PREPARATION PROGRAM</w:t>
      </w:r>
    </w:p>
    <w:p>
      <w:pPr>
        <w:spacing w:after="140"/>
        <w:jc w:val="center"/>
      </w:pPr>
      <w:r>
        <w:rPr>
          <w:rFonts w:ascii="Calibri" w:hAnsi="Calibri"/>
          <w:b/>
          <w:color w:val="9B1C1C"/>
          <w:sz w:val="20"/>
        </w:rPr>
        <w:t>CONTROLLED DOCUMENT</w:t>
      </w:r>
    </w:p>
    <w:p>
      <w:pPr>
        <w:pStyle w:val="Title"/>
        <w:jc w:val="center"/>
      </w:pPr>
      <w:r>
        <w:t>Answer Key and Detailed Rationales</w:t>
      </w:r>
    </w:p>
    <w:p>
      <w:pPr>
        <w:pStyle w:val="Subtitle"/>
        <w:jc w:val="center"/>
      </w:pPr>
      <w:r>
        <w:t>CTA LMFT AMFTRB Workbook 10</w:t>
      </w:r>
    </w:p>
    <w:p>
      <w:pPr>
        <w:spacing w:after="360"/>
        <w:jc w:val="center"/>
      </w:pPr>
      <w:r>
        <w:rPr>
          <w:rFonts w:ascii="Calibri" w:hAnsi="Calibri"/>
          <w:b/>
          <w:color w:val="12385B"/>
          <w:sz w:val="27"/>
        </w:rPr>
        <w:t>Progress Evaluation, Research Literacy, Plan Revision,</w:t>
        <w:br/>
        <w:t>Termination, and Continuity</w:t>
      </w:r>
    </w:p>
    <w:p>
      <w:pPr>
        <w:spacing w:after="100"/>
        <w:jc w:val="center"/>
      </w:pPr>
      <w:r>
        <w:rPr>
          <w:rFonts w:ascii="Calibri" w:hAnsi="Calibri"/>
          <w:color w:val="5A6872"/>
          <w:sz w:val="20"/>
        </w:rPr>
        <w:t>Version 1.0 - August 2026</w:t>
      </w:r>
    </w:p>
    <w:p>
      <w:pPr>
        <w:jc w:val="center"/>
      </w:pPr>
      <w:r>
        <w:rPr>
          <w:rFonts w:ascii="Calibri" w:hAnsi="Calibri"/>
          <w:b/>
          <w:color w:val="12385B"/>
          <w:sz w:val="21"/>
        </w:rPr>
        <w:t>Clinical Training &amp; Supervision Academy</w:t>
      </w:r>
    </w:p>
    <w:p>
      <w:pPr>
        <w:pStyle w:val="Heading1"/>
        <w:pageBreakBefore/>
      </w:pPr>
      <w:r>
        <w:t>Scoring and Use Instructions</w:t>
      </w:r>
    </w:p>
    <w:p>
      <w:pPr>
        <w:numPr>
          <w:ilvl w:val="0"/>
          <w:numId w:val="10"/>
        </w:numPr>
        <w:spacing w:after="80" w:line="300" w:lineRule="auto"/>
        <w:ind w:left="540" w:hanging="271"/>
      </w:pPr>
      <w:r>
        <w:rPr>
          <w:rFonts w:ascii="Calibri" w:hAnsi="Calibri"/>
          <w:color w:val="1E2D38"/>
          <w:sz w:val="22"/>
        </w:rPr>
        <w:t>Score the first attempt using the compact key. Preserve the learner's original answers, confidence ratings, and time used.</w:t>
      </w:r>
    </w:p>
    <w:p>
      <w:pPr>
        <w:numPr>
          <w:ilvl w:val="0"/>
          <w:numId w:val="10"/>
        </w:numPr>
        <w:spacing w:after="80" w:line="300" w:lineRule="auto"/>
        <w:ind w:left="540" w:hanging="271"/>
      </w:pPr>
      <w:r>
        <w:rPr>
          <w:rFonts w:ascii="Calibri" w:hAnsi="Calibri"/>
          <w:color w:val="1E2D38"/>
          <w:sz w:val="22"/>
        </w:rPr>
        <w:t>Review every incorrect answer and every correct answer marked confidence 1 or 2. Read all four option rationales before writing a transfer rule.</w:t>
      </w:r>
    </w:p>
    <w:p>
      <w:pPr>
        <w:numPr>
          <w:ilvl w:val="0"/>
          <w:numId w:val="10"/>
        </w:numPr>
        <w:spacing w:after="80" w:line="300" w:lineRule="auto"/>
        <w:ind w:left="540" w:hanging="271"/>
      </w:pPr>
      <w:r>
        <w:rPr>
          <w:rFonts w:ascii="Calibri" w:hAnsi="Calibri"/>
          <w:color w:val="1E2D38"/>
          <w:sz w:val="22"/>
        </w:rPr>
        <w:t>Assign the controlled remediation code and examine whether another recurring reasoning pattern also contributed.</w:t>
      </w:r>
    </w:p>
    <w:p>
      <w:pPr>
        <w:numPr>
          <w:ilvl w:val="0"/>
          <w:numId w:val="10"/>
        </w:numPr>
        <w:spacing w:after="80" w:line="300" w:lineRule="auto"/>
        <w:ind w:left="540" w:hanging="271"/>
      </w:pPr>
      <w:r>
        <w:rPr>
          <w:rFonts w:ascii="Calibri" w:hAnsi="Calibri"/>
          <w:color w:val="1E2D38"/>
          <w:sz w:val="22"/>
        </w:rPr>
        <w:t>Return to the named objective and chapter/tool, complete the remediation plan, and retake only after the learner can explain the decision point and competing-option defects.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CONTROLLED USE:  </w:t>
            </w:r>
            <w:r>
              <w:rPr>
                <w:rFonts w:ascii="Calibri" w:hAnsi="Calibri"/>
                <w:color w:val="1E2D38"/>
                <w:sz w:val="20"/>
              </w:rPr>
              <w:t>Release only after the candidate completes and records the first timed attempt. Keep this file separate from the learner-facing candidate bank.</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CURRENCY CONTROL:  </w:t>
            </w:r>
            <w:r>
              <w:rPr>
                <w:rFonts w:ascii="Calibri" w:hAnsi="Calibri"/>
                <w:color w:val="1E2D38"/>
                <w:sz w:val="20"/>
              </w:rPr>
              <w:t>Clinical reasoning in this file does not replace current law, regulation, ethics, board guidance, organizational policy, emergency procedures, measure-specific requirements, or individualized consultation. Jurisdiction-dependent requirements must be verified before practice application.</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12385B"/>
                <w:sz w:val="20"/>
              </w:rPr>
              <w:t xml:space="preserve">PROGRAM DESIGNATION:  </w:t>
            </w:r>
            <w:r>
              <w:rPr>
                <w:rFonts w:ascii="Calibri" w:hAnsi="Calibri"/>
                <w:color w:val="1E2D38"/>
                <w:sz w:val="20"/>
              </w:rPr>
              <w:t>Editable Word document | Original CTA exam preparation | No CE credit | Participation does not guarantee examination passage.</w:t>
            </w:r>
          </w:p>
        </w:tc>
      </w:tr>
    </w:tbl>
    <w:p>
      <w:pPr>
        <w:spacing w:after="20"/>
      </w:pPr>
    </w:p>
    <w:p>
      <w:pPr>
        <w:pStyle w:val="Heading2"/>
      </w:pPr>
      <w:r>
        <w:t>Compact Answer Key</w:t>
      </w:r>
    </w:p>
    <w:tbl>
      <w:tblPr>
        <w:tblW w:type="dxa" w:w="9360"/>
        <w:jc w:val="center"/>
        <w:tblLayout w:type="fixed"/>
        <w:tblLook w:firstColumn="1" w:firstRow="1" w:lastColumn="0" w:lastRow="0" w:noHBand="0" w:noVBand="1" w:val="04A0"/>
        <w:tblInd w:w="0" w:type="dxa"/>
      </w:tblPr>
      <w:tblGrid>
        <w:gridCol w:w="690"/>
        <w:gridCol w:w="510"/>
        <w:gridCol w:w="510"/>
        <w:gridCol w:w="510"/>
        <w:gridCol w:w="510"/>
        <w:gridCol w:w="510"/>
        <w:gridCol w:w="510"/>
        <w:gridCol w:w="510"/>
        <w:gridCol w:w="510"/>
        <w:gridCol w:w="510"/>
        <w:gridCol w:w="510"/>
        <w:gridCol w:w="510"/>
        <w:gridCol w:w="510"/>
        <w:gridCol w:w="510"/>
        <w:gridCol w:w="510"/>
        <w:gridCol w:w="510"/>
        <w:gridCol w:w="510"/>
        <w:gridCol w:w="510"/>
      </w:tblGrid>
      <w:tr>
        <w:trPr>
          <w:tblHeader w:val="true"/>
          <w:cantSplit/>
        </w:trPr>
        <w:tc>
          <w:tcPr>
            <w:tcW w:type="dxa" w:w="690"/>
            <w:shd w:fill="12385B"/>
            <w:tcMar>
              <w:top w:w="80" w:type="dxa"/>
              <w:start w:w="120" w:type="dxa"/>
              <w:bottom w:w="80" w:type="dxa"/>
              <w:end w:w="120" w:type="dxa"/>
            </w:tcMar>
            <w:vAlign w:val="center"/>
          </w:tcPr>
          <w:p>
            <w:pPr>
              <w:spacing w:after="0"/>
              <w:jc w:val="center"/>
            </w:pPr>
            <w:r/>
            <w:r>
              <w:rPr>
                <w:rFonts w:ascii="Calibri" w:hAnsi="Calibri"/>
                <w:b/>
                <w:color w:val="FFFFFF"/>
                <w:sz w:val="18"/>
              </w:rPr>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2</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3</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4</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5</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6</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7</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8</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9</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10</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11</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12</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13</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14</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15</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16</w:t>
            </w:r>
          </w:p>
        </w:tc>
        <w:tc>
          <w:tcPr>
            <w:tcW w:type="dxa" w:w="510"/>
            <w:shd w:fill="12385B"/>
            <w:tcMar>
              <w:top w:w="80" w:type="dxa"/>
              <w:start w:w="120" w:type="dxa"/>
              <w:bottom w:w="80" w:type="dxa"/>
              <w:end w:w="120" w:type="dxa"/>
            </w:tcMar>
            <w:vAlign w:val="center"/>
          </w:tcPr>
          <w:p>
            <w:pPr>
              <w:spacing w:after="0"/>
              <w:jc w:val="center"/>
            </w:pPr>
            <w:r/>
            <w:r>
              <w:rPr>
                <w:rFonts w:ascii="Calibri" w:hAnsi="Calibri"/>
                <w:b/>
                <w:color w:val="FFFFFF"/>
                <w:sz w:val="18"/>
              </w:rPr>
              <w:t>17</w:t>
            </w:r>
          </w:p>
        </w:tc>
      </w:tr>
      <w:tr>
        <w:trPr>
          <w:cantSplit/>
        </w:trPr>
        <w:tc>
          <w:tcPr>
            <w:tcW w:type="dxa" w:w="690"/>
            <w:tcMar>
              <w:top w:w="80" w:type="dxa"/>
              <w:start w:w="120" w:type="dxa"/>
              <w:bottom w:w="80" w:type="dxa"/>
              <w:end w:w="120" w:type="dxa"/>
            </w:tcMar>
            <w:vAlign w:val="center"/>
          </w:tcPr>
          <w:p>
            <w:pPr>
              <w:spacing w:after="0" w:line="259" w:lineRule="auto"/>
              <w:jc w:val="center"/>
            </w:pPr>
            <w:r/>
            <w:r>
              <w:rPr>
                <w:rFonts w:ascii="Calibri" w:hAnsi="Calibri"/>
                <w:color w:val="1E2D38"/>
                <w:sz w:val="15"/>
              </w:rPr>
              <w:t>Key</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A</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B</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C</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D</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A</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B</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C</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D</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A</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B</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C</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D</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A</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B</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C</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D</w:t>
            </w:r>
          </w:p>
        </w:tc>
        <w:tc>
          <w:tcPr>
            <w:tcW w:type="dxa" w:w="510"/>
            <w:tcMar>
              <w:top w:w="80" w:type="dxa"/>
              <w:start w:w="120" w:type="dxa"/>
              <w:bottom w:w="80" w:type="dxa"/>
              <w:end w:w="120" w:type="dxa"/>
            </w:tcMar>
            <w:vAlign w:val="center"/>
          </w:tcPr>
          <w:p>
            <w:pPr>
              <w:spacing w:after="0" w:line="259" w:lineRule="auto"/>
            </w:pPr>
            <w:r/>
            <w:r>
              <w:rPr>
                <w:rFonts w:ascii="Calibri" w:hAnsi="Calibri"/>
                <w:color w:val="1E2D38"/>
                <w:sz w:val="15"/>
              </w:rPr>
              <w:t>A</w:t>
            </w:r>
          </w:p>
        </w:tc>
      </w:tr>
      <w:tr>
        <w:trPr>
          <w:cantSplit/>
        </w:trPr>
        <w:tc>
          <w:tcPr>
            <w:tcW w:type="dxa" w:w="69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5"/>
              </w:rPr>
              <w:t>Code</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R1</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R2</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R3</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R4</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R4</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R5</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R5</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R2</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R6</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R7</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R7</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R8</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R9</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R9</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R10</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R10</w:t>
            </w:r>
          </w:p>
        </w:tc>
        <w:tc>
          <w:tcPr>
            <w:tcW w:type="dxa" w:w="510"/>
            <w:tcMar>
              <w:top w:w="80" w:type="dxa"/>
              <w:start w:w="120" w:type="dxa"/>
              <w:bottom w:w="80" w:type="dxa"/>
              <w:end w:w="120" w:type="dxa"/>
            </w:tcMar>
            <w:vAlign w:val="center"/>
            <w:shd w:fill="F8FAFC"/>
          </w:tcPr>
          <w:p>
            <w:pPr>
              <w:spacing w:after="0" w:line="259" w:lineRule="auto"/>
            </w:pPr>
            <w:r/>
            <w:r>
              <w:rPr>
                <w:rFonts w:ascii="Calibri" w:hAnsi="Calibri"/>
                <w:color w:val="1E2D38"/>
                <w:sz w:val="15"/>
              </w:rPr>
              <w:t>R9</w:t>
            </w:r>
          </w:p>
        </w:tc>
      </w:tr>
    </w:tbl>
    <w:p>
      <w:pPr>
        <w:spacing w:after="20"/>
      </w:pPr>
    </w:p>
    <w:p>
      <w:pPr>
        <w:pStyle w:val="Heading2"/>
        <w:pageBreakBefore/>
      </w:pPr>
      <w:r>
        <w:t>Blueprint Synchronization Audit</w:t>
      </w:r>
    </w:p>
    <w:tbl>
      <w:tblPr>
        <w:tblW w:type="dxa" w:w="9360"/>
        <w:jc w:val="center"/>
        <w:tblLayout w:type="fixed"/>
        <w:tblLook w:firstColumn="1" w:firstRow="1" w:lastColumn="0" w:lastRow="0" w:noHBand="0" w:noVBand="1" w:val="04A0"/>
        <w:tblInd w:w="0" w:type="dxa"/>
      </w:tblPr>
      <w:tblGrid>
        <w:gridCol w:w="1600"/>
        <w:gridCol w:w="2900"/>
        <w:gridCol w:w="3240"/>
        <w:gridCol w:w="1620"/>
      </w:tblGrid>
      <w:tr>
        <w:trPr>
          <w:tblHeader w:val="true"/>
          <w:cantSplit/>
        </w:trPr>
        <w:tc>
          <w:tcPr>
            <w:tcW w:type="dxa" w:w="1600"/>
            <w:shd w:fill="12385B"/>
            <w:tcMar>
              <w:top w:w="80" w:type="dxa"/>
              <w:start w:w="120" w:type="dxa"/>
              <w:bottom w:w="80" w:type="dxa"/>
              <w:end w:w="120" w:type="dxa"/>
            </w:tcMar>
            <w:vAlign w:val="center"/>
          </w:tcPr>
          <w:p>
            <w:pPr>
              <w:spacing w:after="0"/>
              <w:jc w:val="center"/>
            </w:pPr>
            <w:r/>
            <w:r>
              <w:rPr>
                <w:rFonts w:ascii="Calibri" w:hAnsi="Calibri"/>
                <w:b/>
                <w:color w:val="FFFFFF"/>
                <w:sz w:val="18"/>
              </w:rPr>
              <w:t>Dimension</w:t>
            </w:r>
          </w:p>
        </w:tc>
        <w:tc>
          <w:tcPr>
            <w:tcW w:type="dxa" w:w="2900"/>
            <w:shd w:fill="12385B"/>
            <w:tcMar>
              <w:top w:w="80" w:type="dxa"/>
              <w:start w:w="120" w:type="dxa"/>
              <w:bottom w:w="80" w:type="dxa"/>
              <w:end w:w="120" w:type="dxa"/>
            </w:tcMar>
            <w:vAlign w:val="center"/>
          </w:tcPr>
          <w:p>
            <w:pPr>
              <w:spacing w:after="0"/>
              <w:jc w:val="center"/>
            </w:pPr>
            <w:r/>
            <w:r>
              <w:rPr>
                <w:rFonts w:ascii="Calibri" w:hAnsi="Calibri"/>
                <w:b/>
                <w:color w:val="FFFFFF"/>
                <w:sz w:val="18"/>
              </w:rPr>
              <w:t>Required</w:t>
            </w:r>
          </w:p>
        </w:tc>
        <w:tc>
          <w:tcPr>
            <w:tcW w:type="dxa" w:w="3240"/>
            <w:shd w:fill="12385B"/>
            <w:tcMar>
              <w:top w:w="80" w:type="dxa"/>
              <w:start w:w="120" w:type="dxa"/>
              <w:bottom w:w="80" w:type="dxa"/>
              <w:end w:w="120" w:type="dxa"/>
            </w:tcMar>
            <w:vAlign w:val="center"/>
          </w:tcPr>
          <w:p>
            <w:pPr>
              <w:spacing w:after="0"/>
              <w:jc w:val="left"/>
            </w:pPr>
            <w:r/>
            <w:r>
              <w:rPr>
                <w:rFonts w:ascii="Calibri" w:hAnsi="Calibri"/>
                <w:b/>
                <w:color w:val="FFFFFF"/>
                <w:sz w:val="18"/>
              </w:rPr>
              <w:t>Controlled result</w:t>
            </w:r>
          </w:p>
        </w:tc>
        <w:tc>
          <w:tcPr>
            <w:tcW w:type="dxa" w:w="1620"/>
            <w:shd w:fill="12385B"/>
            <w:tcMar>
              <w:top w:w="80" w:type="dxa"/>
              <w:start w:w="120" w:type="dxa"/>
              <w:bottom w:w="80" w:type="dxa"/>
              <w:end w:w="120" w:type="dxa"/>
            </w:tcMar>
            <w:vAlign w:val="center"/>
          </w:tcPr>
          <w:p>
            <w:pPr>
              <w:spacing w:after="0"/>
              <w:jc w:val="center"/>
            </w:pPr>
            <w:r/>
            <w:r>
              <w:rPr>
                <w:rFonts w:ascii="Calibri" w:hAnsi="Calibri"/>
                <w:b/>
                <w:color w:val="FFFFFF"/>
                <w:sz w:val="18"/>
              </w:rPr>
              <w:t>Status</w:t>
            </w:r>
          </w:p>
        </w:tc>
      </w:tr>
      <w:tr>
        <w:trPr>
          <w:cantSplit/>
        </w:trPr>
        <w:tc>
          <w:tcPr>
            <w:tcW w:type="dxa" w:w="1600"/>
            <w:tcMar>
              <w:top w:w="80" w:type="dxa"/>
              <w:start w:w="120" w:type="dxa"/>
              <w:bottom w:w="80" w:type="dxa"/>
              <w:end w:w="120" w:type="dxa"/>
            </w:tcMar>
            <w:vAlign w:val="center"/>
          </w:tcPr>
          <w:p>
            <w:pPr>
              <w:spacing w:after="0" w:line="259" w:lineRule="auto"/>
              <w:jc w:val="center"/>
            </w:pPr>
            <w:r/>
            <w:r>
              <w:rPr>
                <w:rFonts w:ascii="Calibri" w:hAnsi="Calibri"/>
                <w:color w:val="1E2D38"/>
                <w:sz w:val="16"/>
              </w:rPr>
              <w:t>Total</w:t>
            </w:r>
          </w:p>
        </w:tc>
        <w:tc>
          <w:tcPr>
            <w:tcW w:type="dxa" w:w="2900"/>
            <w:tcMar>
              <w:top w:w="80" w:type="dxa"/>
              <w:start w:w="120" w:type="dxa"/>
              <w:bottom w:w="80" w:type="dxa"/>
              <w:end w:w="120" w:type="dxa"/>
            </w:tcMar>
            <w:vAlign w:val="center"/>
          </w:tcPr>
          <w:p>
            <w:pPr>
              <w:spacing w:after="0" w:line="259" w:lineRule="auto"/>
            </w:pPr>
            <w:r/>
            <w:r>
              <w:rPr>
                <w:rFonts w:ascii="Calibri" w:hAnsi="Calibri"/>
                <w:color w:val="1E2D38"/>
                <w:sz w:val="16"/>
              </w:rPr>
              <w:t>17</w:t>
            </w:r>
          </w:p>
        </w:tc>
        <w:tc>
          <w:tcPr>
            <w:tcW w:type="dxa" w:w="3240"/>
            <w:tcMar>
              <w:top w:w="80" w:type="dxa"/>
              <w:start w:w="120" w:type="dxa"/>
              <w:bottom w:w="80" w:type="dxa"/>
              <w:end w:w="120" w:type="dxa"/>
            </w:tcMar>
            <w:vAlign w:val="center"/>
          </w:tcPr>
          <w:p>
            <w:pPr>
              <w:spacing w:after="0" w:line="259" w:lineRule="auto"/>
            </w:pPr>
            <w:r/>
            <w:r>
              <w:rPr>
                <w:rFonts w:ascii="Calibri" w:hAnsi="Calibri"/>
                <w:color w:val="1E2D38"/>
                <w:sz w:val="16"/>
              </w:rPr>
              <w:t>17</w:t>
            </w:r>
          </w:p>
        </w:tc>
        <w:tc>
          <w:tcPr>
            <w:tcW w:type="dxa" w:w="1620"/>
            <w:tcMar>
              <w:top w:w="80" w:type="dxa"/>
              <w:start w:w="120" w:type="dxa"/>
              <w:bottom w:w="80" w:type="dxa"/>
              <w:end w:w="120" w:type="dxa"/>
            </w:tcMar>
            <w:vAlign w:val="center"/>
          </w:tcPr>
          <w:p>
            <w:pPr>
              <w:spacing w:after="0" w:line="259" w:lineRule="auto"/>
            </w:pPr>
            <w:r/>
            <w:r>
              <w:rPr>
                <w:rFonts w:ascii="Calibri" w:hAnsi="Calibri"/>
                <w:color w:val="1E2D38"/>
                <w:sz w:val="16"/>
              </w:rPr>
              <w:t>PASS</w:t>
            </w:r>
          </w:p>
        </w:tc>
      </w:tr>
      <w:tr>
        <w:trPr>
          <w:cantSplit/>
        </w:trPr>
        <w:tc>
          <w:tcPr>
            <w:tcW w:type="dxa" w:w="1600"/>
            <w:tcMar>
              <w:top w:w="80" w:type="dxa"/>
              <w:start w:w="120" w:type="dxa"/>
              <w:bottom w:w="80" w:type="dxa"/>
              <w:end w:w="120" w:type="dxa"/>
            </w:tcMar>
            <w:vAlign w:val="center"/>
            <w:shd w:fill="F8FAFC"/>
          </w:tcPr>
          <w:p>
            <w:pPr>
              <w:spacing w:after="0" w:line="259" w:lineRule="auto"/>
            </w:pPr>
            <w:r/>
            <w:r>
              <w:rPr>
                <w:rFonts w:ascii="Calibri" w:hAnsi="Calibri"/>
                <w:color w:val="1E2D38"/>
                <w:sz w:val="16"/>
              </w:rPr>
              <w:t>Difficulty</w:t>
            </w:r>
          </w:p>
        </w:tc>
        <w:tc>
          <w:tcPr>
            <w:tcW w:type="dxa" w:w="2900"/>
            <w:tcMar>
              <w:top w:w="80" w:type="dxa"/>
              <w:start w:w="120" w:type="dxa"/>
              <w:bottom w:w="80" w:type="dxa"/>
              <w:end w:w="120" w:type="dxa"/>
            </w:tcMar>
            <w:vAlign w:val="center"/>
            <w:shd w:fill="F8FAFC"/>
          </w:tcPr>
          <w:p>
            <w:pPr>
              <w:spacing w:after="0" w:line="259" w:lineRule="auto"/>
            </w:pPr>
            <w:r/>
            <w:r>
              <w:rPr>
                <w:rFonts w:ascii="Calibri" w:hAnsi="Calibri"/>
                <w:color w:val="1E2D38"/>
                <w:sz w:val="16"/>
              </w:rPr>
              <w:t>E=5; M=7; D=5</w:t>
            </w:r>
          </w:p>
        </w:tc>
        <w:tc>
          <w:tcPr>
            <w:tcW w:type="dxa" w:w="3240"/>
            <w:tcMar>
              <w:top w:w="80" w:type="dxa"/>
              <w:start w:w="120" w:type="dxa"/>
              <w:bottom w:w="80" w:type="dxa"/>
              <w:end w:w="120" w:type="dxa"/>
            </w:tcMar>
            <w:vAlign w:val="center"/>
            <w:shd w:fill="F8FAFC"/>
          </w:tcPr>
          <w:p>
            <w:pPr>
              <w:spacing w:after="0" w:line="259" w:lineRule="auto"/>
            </w:pPr>
            <w:r/>
            <w:r>
              <w:rPr>
                <w:rFonts w:ascii="Calibri" w:hAnsi="Calibri"/>
                <w:color w:val="1E2D38"/>
                <w:sz w:val="16"/>
              </w:rPr>
              <w:t>E=5; M=7; D=5</w:t>
            </w:r>
          </w:p>
        </w:tc>
        <w:tc>
          <w:tcPr>
            <w:tcW w:type="dxa" w:w="1620"/>
            <w:tcMar>
              <w:top w:w="80" w:type="dxa"/>
              <w:start w:w="120" w:type="dxa"/>
              <w:bottom w:w="80" w:type="dxa"/>
              <w:end w:w="120" w:type="dxa"/>
            </w:tcMar>
            <w:vAlign w:val="center"/>
            <w:shd w:fill="F8FAFC"/>
          </w:tcPr>
          <w:p>
            <w:pPr>
              <w:spacing w:after="0" w:line="259" w:lineRule="auto"/>
            </w:pPr>
            <w:r/>
            <w:r>
              <w:rPr>
                <w:rFonts w:ascii="Calibri" w:hAnsi="Calibri"/>
                <w:color w:val="1E2D38"/>
                <w:sz w:val="16"/>
              </w:rPr>
              <w:t>PASS</w:t>
            </w:r>
          </w:p>
        </w:tc>
      </w:tr>
      <w:tr>
        <w:trPr>
          <w:cantSplit/>
        </w:trPr>
        <w:tc>
          <w:tcPr>
            <w:tcW w:type="dxa" w:w="1600"/>
            <w:tcMar>
              <w:top w:w="80" w:type="dxa"/>
              <w:start w:w="120" w:type="dxa"/>
              <w:bottom w:w="80" w:type="dxa"/>
              <w:end w:w="120" w:type="dxa"/>
            </w:tcMar>
            <w:vAlign w:val="center"/>
          </w:tcPr>
          <w:p>
            <w:pPr>
              <w:spacing w:after="0" w:line="259" w:lineRule="auto"/>
              <w:jc w:val="center"/>
            </w:pPr>
            <w:r/>
            <w:r>
              <w:rPr>
                <w:rFonts w:ascii="Calibri" w:hAnsi="Calibri"/>
                <w:color w:val="1E2D38"/>
                <w:sz w:val="16"/>
              </w:rPr>
              <w:t>Type</w:t>
            </w:r>
          </w:p>
        </w:tc>
        <w:tc>
          <w:tcPr>
            <w:tcW w:type="dxa" w:w="2900"/>
            <w:tcMar>
              <w:top w:w="80" w:type="dxa"/>
              <w:start w:w="120" w:type="dxa"/>
              <w:bottom w:w="80" w:type="dxa"/>
              <w:end w:w="120" w:type="dxa"/>
            </w:tcMar>
            <w:vAlign w:val="center"/>
          </w:tcPr>
          <w:p>
            <w:pPr>
              <w:spacing w:after="0" w:line="259" w:lineRule="auto"/>
            </w:pPr>
            <w:r/>
            <w:r>
              <w:rPr>
                <w:rFonts w:ascii="Calibri" w:hAnsi="Calibri"/>
                <w:color w:val="1E2D38"/>
                <w:sz w:val="16"/>
              </w:rPr>
              <w:t>K=3; A=5; S=6; I=3</w:t>
            </w:r>
          </w:p>
        </w:tc>
        <w:tc>
          <w:tcPr>
            <w:tcW w:type="dxa" w:w="3240"/>
            <w:tcMar>
              <w:top w:w="80" w:type="dxa"/>
              <w:start w:w="120" w:type="dxa"/>
              <w:bottom w:w="80" w:type="dxa"/>
              <w:end w:w="120" w:type="dxa"/>
            </w:tcMar>
            <w:vAlign w:val="center"/>
          </w:tcPr>
          <w:p>
            <w:pPr>
              <w:spacing w:after="0" w:line="259" w:lineRule="auto"/>
            </w:pPr>
            <w:r/>
            <w:r>
              <w:rPr>
                <w:rFonts w:ascii="Calibri" w:hAnsi="Calibri"/>
                <w:color w:val="1E2D38"/>
                <w:sz w:val="16"/>
              </w:rPr>
              <w:t>K=3; A=5; S=6; I=3</w:t>
            </w:r>
          </w:p>
        </w:tc>
        <w:tc>
          <w:tcPr>
            <w:tcW w:type="dxa" w:w="1620"/>
            <w:tcMar>
              <w:top w:w="80" w:type="dxa"/>
              <w:start w:w="120" w:type="dxa"/>
              <w:bottom w:w="80" w:type="dxa"/>
              <w:end w:w="120" w:type="dxa"/>
            </w:tcMar>
            <w:vAlign w:val="center"/>
          </w:tcPr>
          <w:p>
            <w:pPr>
              <w:spacing w:after="0" w:line="259" w:lineRule="auto"/>
            </w:pPr>
            <w:r/>
            <w:r>
              <w:rPr>
                <w:rFonts w:ascii="Calibri" w:hAnsi="Calibri"/>
                <w:color w:val="1E2D38"/>
                <w:sz w:val="16"/>
              </w:rPr>
              <w:t>PASS</w:t>
            </w:r>
          </w:p>
        </w:tc>
      </w:tr>
      <w:tr>
        <w:trPr>
          <w:cantSplit/>
        </w:trPr>
        <w:tc>
          <w:tcPr>
            <w:tcW w:type="dxa" w:w="1600"/>
            <w:tcMar>
              <w:top w:w="80" w:type="dxa"/>
              <w:start w:w="120" w:type="dxa"/>
              <w:bottom w:w="80" w:type="dxa"/>
              <w:end w:w="120" w:type="dxa"/>
            </w:tcMar>
            <w:vAlign w:val="center"/>
            <w:shd w:fill="F8FAFC"/>
          </w:tcPr>
          <w:p>
            <w:pPr>
              <w:spacing w:after="0" w:line="259" w:lineRule="auto"/>
            </w:pPr>
            <w:r/>
            <w:r>
              <w:rPr>
                <w:rFonts w:ascii="Calibri" w:hAnsi="Calibri"/>
                <w:color w:val="1E2D38"/>
                <w:sz w:val="16"/>
              </w:rPr>
              <w:t>Primary domain</w:t>
            </w:r>
          </w:p>
        </w:tc>
        <w:tc>
          <w:tcPr>
            <w:tcW w:type="dxa" w:w="2900"/>
            <w:tcMar>
              <w:top w:w="80" w:type="dxa"/>
              <w:start w:w="120" w:type="dxa"/>
              <w:bottom w:w="80" w:type="dxa"/>
              <w:end w:w="120" w:type="dxa"/>
            </w:tcMar>
            <w:vAlign w:val="center"/>
            <w:shd w:fill="F8FAFC"/>
          </w:tcPr>
          <w:p>
            <w:pPr>
              <w:spacing w:after="0" w:line="259" w:lineRule="auto"/>
            </w:pPr>
            <w:r/>
            <w:r>
              <w:rPr>
                <w:rFonts w:ascii="Calibri" w:hAnsi="Calibri"/>
                <w:color w:val="1E2D38"/>
                <w:sz w:val="16"/>
              </w:rPr>
              <w:t>D2=1; D3=3; D4=9; D5=1; D6=3</w:t>
            </w:r>
          </w:p>
        </w:tc>
        <w:tc>
          <w:tcPr>
            <w:tcW w:type="dxa" w:w="3240"/>
            <w:tcMar>
              <w:top w:w="80" w:type="dxa"/>
              <w:start w:w="120" w:type="dxa"/>
              <w:bottom w:w="80" w:type="dxa"/>
              <w:end w:w="120" w:type="dxa"/>
            </w:tcMar>
            <w:vAlign w:val="center"/>
            <w:shd w:fill="F8FAFC"/>
          </w:tcPr>
          <w:p>
            <w:pPr>
              <w:spacing w:after="0" w:line="259" w:lineRule="auto"/>
            </w:pPr>
            <w:r/>
            <w:r>
              <w:rPr>
                <w:rFonts w:ascii="Calibri" w:hAnsi="Calibri"/>
                <w:color w:val="1E2D38"/>
                <w:sz w:val="16"/>
              </w:rPr>
              <w:t>D2=1; D3=3; D4=9; D5=1; D6=3</w:t>
            </w:r>
          </w:p>
        </w:tc>
        <w:tc>
          <w:tcPr>
            <w:tcW w:type="dxa" w:w="1620"/>
            <w:tcMar>
              <w:top w:w="80" w:type="dxa"/>
              <w:start w:w="120" w:type="dxa"/>
              <w:bottom w:w="80" w:type="dxa"/>
              <w:end w:w="120" w:type="dxa"/>
            </w:tcMar>
            <w:vAlign w:val="center"/>
            <w:shd w:fill="F8FAFC"/>
          </w:tcPr>
          <w:p>
            <w:pPr>
              <w:spacing w:after="0" w:line="259" w:lineRule="auto"/>
            </w:pPr>
            <w:r/>
            <w:r>
              <w:rPr>
                <w:rFonts w:ascii="Calibri" w:hAnsi="Calibri"/>
                <w:color w:val="1E2D38"/>
                <w:sz w:val="16"/>
              </w:rPr>
              <w:t>PASS</w:t>
            </w:r>
          </w:p>
        </w:tc>
      </w:tr>
      <w:tr>
        <w:trPr>
          <w:cantSplit/>
        </w:trPr>
        <w:tc>
          <w:tcPr>
            <w:tcW w:type="dxa" w:w="1600"/>
            <w:tcMar>
              <w:top w:w="80" w:type="dxa"/>
              <w:start w:w="120" w:type="dxa"/>
              <w:bottom w:w="80" w:type="dxa"/>
              <w:end w:w="120" w:type="dxa"/>
            </w:tcMar>
            <w:vAlign w:val="center"/>
          </w:tcPr>
          <w:p>
            <w:pPr>
              <w:spacing w:after="0" w:line="259" w:lineRule="auto"/>
            </w:pPr>
            <w:r/>
            <w:r>
              <w:rPr>
                <w:rFonts w:ascii="Calibri" w:hAnsi="Calibri"/>
                <w:color w:val="1E2D38"/>
                <w:sz w:val="16"/>
              </w:rPr>
              <w:t>Key position</w:t>
            </w:r>
          </w:p>
        </w:tc>
        <w:tc>
          <w:tcPr>
            <w:tcW w:type="dxa" w:w="2900"/>
            <w:tcMar>
              <w:top w:w="80" w:type="dxa"/>
              <w:start w:w="120" w:type="dxa"/>
              <w:bottom w:w="80" w:type="dxa"/>
              <w:end w:w="120" w:type="dxa"/>
            </w:tcMar>
            <w:vAlign w:val="center"/>
          </w:tcPr>
          <w:p>
            <w:pPr>
              <w:spacing w:after="0" w:line="259" w:lineRule="auto"/>
            </w:pPr>
            <w:r/>
            <w:r>
              <w:rPr>
                <w:rFonts w:ascii="Calibri" w:hAnsi="Calibri"/>
                <w:color w:val="1E2D38"/>
                <w:sz w:val="16"/>
              </w:rPr>
              <w:t>A=5; B=4; C=4; D=4</w:t>
            </w:r>
          </w:p>
        </w:tc>
        <w:tc>
          <w:tcPr>
            <w:tcW w:type="dxa" w:w="3240"/>
            <w:tcMar>
              <w:top w:w="80" w:type="dxa"/>
              <w:start w:w="120" w:type="dxa"/>
              <w:bottom w:w="80" w:type="dxa"/>
              <w:end w:w="120" w:type="dxa"/>
            </w:tcMar>
            <w:vAlign w:val="center"/>
          </w:tcPr>
          <w:p>
            <w:pPr>
              <w:spacing w:after="0" w:line="259" w:lineRule="auto"/>
            </w:pPr>
            <w:r/>
            <w:r>
              <w:rPr>
                <w:rFonts w:ascii="Calibri" w:hAnsi="Calibri"/>
                <w:color w:val="1E2D38"/>
                <w:sz w:val="16"/>
              </w:rPr>
              <w:t>A=5; B=4; C=4; D=4</w:t>
            </w:r>
          </w:p>
        </w:tc>
        <w:tc>
          <w:tcPr>
            <w:tcW w:type="dxa" w:w="1620"/>
            <w:tcMar>
              <w:top w:w="80" w:type="dxa"/>
              <w:start w:w="120" w:type="dxa"/>
              <w:bottom w:w="80" w:type="dxa"/>
              <w:end w:w="120" w:type="dxa"/>
            </w:tcMar>
            <w:vAlign w:val="center"/>
          </w:tcPr>
          <w:p>
            <w:pPr>
              <w:spacing w:after="0" w:line="259" w:lineRule="auto"/>
            </w:pPr>
            <w:r/>
            <w:r>
              <w:rPr>
                <w:rFonts w:ascii="Calibri" w:hAnsi="Calibri"/>
                <w:color w:val="1E2D38"/>
                <w:sz w:val="16"/>
              </w:rPr>
              <w:t>PASS</w:t>
            </w:r>
          </w:p>
        </w:tc>
      </w:tr>
    </w:tbl>
    <w:p>
      <w:pPr>
        <w:spacing w:after="20"/>
      </w:pPr>
    </w:p>
    <w:p>
      <w:pPr>
        <w:pStyle w:val="Heading1"/>
      </w:pPr>
      <w:r>
        <w:t>Item 1 -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Which plan BEST establishes whether a client system is making progress toward a treatment goal?</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Define the agreed target in observable terms, record a relevant baseline, identify whose perspectives and indicators will be used, and set a timeframe and review decision.</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Select one standardized score and treat any numerical decrease as proof that the treatment goal has been met.</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Delay formal evaluation until the therapist believes enough sessions have occurred to justify a conclusion.</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Use the therapist's impression of session quality because client and family reports may disagree.</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A</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A operationalizes progress before judging it. It links the agreed client-system target to observable indicators, a baseline, multiple relevant perspectives, a timeframe, and a decision point so later data can guide continuation or revision.</w:t>
      </w:r>
    </w:p>
    <w:p>
      <w:pPr>
        <w:pStyle w:val="Heading2"/>
      </w:pPr>
      <w:r>
        <w:t>Option-by-Option Rationales</w:t>
      </w:r>
    </w:p>
    <w:p>
      <w:pPr>
        <w:keepLines/>
        <w:spacing w:after="100" w:line="283" w:lineRule="auto"/>
      </w:pPr>
      <w:r>
        <w:rPr>
          <w:rFonts w:ascii="Calibri" w:hAnsi="Calibri"/>
          <w:b/>
          <w:color w:val="1F3A5F"/>
          <w:sz w:val="21"/>
        </w:rPr>
        <w:t xml:space="preserve">A: </w:t>
      </w:r>
      <w:r>
        <w:rPr>
          <w:rFonts w:ascii="Calibri" w:hAnsi="Calibri"/>
          <w:color w:val="1E2D38"/>
          <w:sz w:val="21"/>
        </w:rPr>
        <w:t>Correct. It defines what will change, how change will be observed, where the system is starting, whose information matters, and when the result will be reviewed.</w:t>
      </w:r>
    </w:p>
    <w:p>
      <w:pPr>
        <w:keepLines/>
        <w:spacing w:after="100" w:line="283" w:lineRule="auto"/>
      </w:pPr>
      <w:r>
        <w:rPr>
          <w:rFonts w:ascii="Calibri" w:hAnsi="Calibri"/>
          <w:b/>
          <w:color w:val="12385B"/>
          <w:sz w:val="21"/>
        </w:rPr>
        <w:t xml:space="preserve">B: </w:t>
      </w:r>
      <w:r>
        <w:rPr>
          <w:rFonts w:ascii="Calibri" w:hAnsi="Calibri"/>
          <w:color w:val="1E2D38"/>
          <w:sz w:val="21"/>
        </w:rPr>
        <w:t>Single-score trap. A standardized score can contribute evidence, but a numerical decrease alone does not establish goal attainment, functional benefit, safety, or shared meaning.</w:t>
      </w:r>
    </w:p>
    <w:p>
      <w:pPr>
        <w:keepLines/>
        <w:spacing w:after="100" w:line="283" w:lineRule="auto"/>
      </w:pPr>
      <w:r>
        <w:rPr>
          <w:rFonts w:ascii="Calibri" w:hAnsi="Calibri"/>
          <w:b/>
          <w:color w:val="12385B"/>
          <w:sz w:val="21"/>
        </w:rPr>
        <w:t xml:space="preserve">C: </w:t>
      </w:r>
      <w:r>
        <w:rPr>
          <w:rFonts w:ascii="Calibri" w:hAnsi="Calibri"/>
          <w:color w:val="1E2D38"/>
          <w:sz w:val="21"/>
        </w:rPr>
        <w:t>Unstructured-delay trap. Waiting for a therapist impression leaves the goal, baseline, timeframe, and revision threshold unspecified.</w:t>
      </w:r>
    </w:p>
    <w:p>
      <w:pPr>
        <w:keepLines/>
        <w:spacing w:after="100" w:line="283" w:lineRule="auto"/>
      </w:pPr>
      <w:r>
        <w:rPr>
          <w:rFonts w:ascii="Calibri" w:hAnsi="Calibri"/>
          <w:b/>
          <w:color w:val="12385B"/>
          <w:sz w:val="21"/>
        </w:rPr>
        <w:t xml:space="preserve">D: </w:t>
      </w:r>
      <w:r>
        <w:rPr>
          <w:rFonts w:ascii="Calibri" w:hAnsi="Calibri"/>
          <w:color w:val="1E2D38"/>
          <w:sz w:val="21"/>
        </w:rPr>
        <w:t>Therapist-impression trap. Clinical observation is one source of data; it should not erase client and family perspectives or treat disagreement as measurement failure.</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For progress-plan items, choose the option that defines the target, baseline, indicators, perspectives, timeframe, and decision threshold before interpreting change.</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Use TRACK: target the agreed goal, record baseline and method, attend context and meaning, compare repeated information, and keep or change the plan.</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D4</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Define observable progress indicators and a baseline</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1</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Knowledge/Recall</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Easy</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R1</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Ch1 / TRACK</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2 -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bilingual family wants to reduce morning conflict and improve a child's school attendance. Caregivers have limited time, the child communicates more comfortably in another language, and the school can provide attendance records. Which monitoring plan is MOST appropriate?</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Administer a lengthy English-only symptom battery to every participant before each session so all data use the same format.</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Collaboratively select brief, accessible indicators from the child, caregivers, and attendance record; establish baseline and review timing; and monitor burden, safety, function, alliance, and family meaning.</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Use school attendance alone because an objective record makes family perspectives unnecessary.</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Ask one caregiver to summarize everyone's experience so differences among participants do not complicate interpretation.</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B</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B creates a feasible, culturally and linguistically responsive monitoring system. It uses brief multi-source information, preserves the child and caregivers as distinct informants, incorporates an available functional record, and tracks burden, safety, alliance, and family meaning.</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Burden and access error. A lengthy English-only battery may be linguistically invalid, impractical, and exclusionary; uniform format does not guarantee meaningful measurement.</w:t>
      </w:r>
    </w:p>
    <w:p>
      <w:pPr>
        <w:keepLines/>
        <w:spacing w:after="100" w:line="283" w:lineRule="auto"/>
      </w:pPr>
      <w:r>
        <w:rPr>
          <w:rFonts w:ascii="Calibri" w:hAnsi="Calibri"/>
          <w:b/>
          <w:color w:val="1F3A5F"/>
          <w:sz w:val="21"/>
        </w:rPr>
        <w:t xml:space="preserve">B: </w:t>
      </w:r>
      <w:r>
        <w:rPr>
          <w:rFonts w:ascii="Calibri" w:hAnsi="Calibri"/>
          <w:color w:val="1E2D38"/>
          <w:sz w:val="21"/>
        </w:rPr>
        <w:t>Correct. It matches indicators and methods to the treatment unit, language, access, purpose, and available sources while establishing baseline and review timing.</w:t>
      </w:r>
    </w:p>
    <w:p>
      <w:pPr>
        <w:keepLines/>
        <w:spacing w:after="100" w:line="283" w:lineRule="auto"/>
      </w:pPr>
      <w:r>
        <w:rPr>
          <w:rFonts w:ascii="Calibri" w:hAnsi="Calibri"/>
          <w:b/>
          <w:color w:val="12385B"/>
          <w:sz w:val="21"/>
        </w:rPr>
        <w:t xml:space="preserve">C: </w:t>
      </w:r>
      <w:r>
        <w:rPr>
          <w:rFonts w:ascii="Calibri" w:hAnsi="Calibri"/>
          <w:color w:val="1E2D38"/>
          <w:sz w:val="21"/>
        </w:rPr>
        <w:t>Single-source trap. Attendance is useful functional evidence, but it cannot independently explain relational change, safety, alliance, barriers, or the meaning of attendance to the family.</w:t>
      </w:r>
    </w:p>
    <w:p>
      <w:pPr>
        <w:keepLines/>
        <w:spacing w:after="100" w:line="283" w:lineRule="auto"/>
      </w:pPr>
      <w:r>
        <w:rPr>
          <w:rFonts w:ascii="Calibri" w:hAnsi="Calibri"/>
          <w:b/>
          <w:color w:val="12385B"/>
          <w:sz w:val="21"/>
        </w:rPr>
        <w:t xml:space="preserve">D: </w:t>
      </w:r>
      <w:r>
        <w:rPr>
          <w:rFonts w:ascii="Calibri" w:hAnsi="Calibri"/>
          <w:color w:val="1E2D38"/>
          <w:sz w:val="21"/>
        </w:rPr>
        <w:t>Informant-collapse trap. One caregiver cannot automatically represent the child and every family member; meaningful differences may contain important clinical information.</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Prefer monitoring that is brief, accessible, multi-source, decision-linked, and sensitive to burden and context.</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Match each indicator to the person, language, method, burden, baseline, review point, and decision it is meant to inform.</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D4</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Select a feasible multi-source monitoring plan</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1 and 2</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Application</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B</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R2</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Ch1 / TRACK</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3 -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At a scheduled review, a couple's shared conflict-frequency target has improved. One partner gives the alliance measure its lowest rating and writes, “I agree in session because the therapist and my spouse outnumber me.” What should the therapist do NEXT?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Continue the current plan because the agreed behavioral target has improved.</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Average both partners' alliance ratings so the couple has one interpretable result.</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Explore the reported rupture, power, safety, goals, and participation; invite each partner's perspective; and collaboratively repair or revise the treatment frame before adding technique.</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Discontinue alliance measurement because conflicting ratings may undermine treatment confidence.</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C</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Improvement in conflict frequency does not cancel a serious alliance and power signal. Option C makes the disclosure the next clinical decision point, explores each partner's experience and safety, and repairs or revises the treatment frame before adding another technique.</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Outcome-over-alliance trap. One improved behavioral target cannot override possible coercion, silencing, dropout risk, or compromised participation.</w:t>
      </w:r>
    </w:p>
    <w:p>
      <w:pPr>
        <w:keepLines/>
        <w:spacing w:after="100" w:line="283" w:lineRule="auto"/>
      </w:pPr>
      <w:r>
        <w:rPr>
          <w:rFonts w:ascii="Calibri" w:hAnsi="Calibri"/>
          <w:b/>
          <w:color w:val="12385B"/>
          <w:sz w:val="21"/>
        </w:rPr>
        <w:t xml:space="preserve">B: </w:t>
      </w:r>
      <w:r>
        <w:rPr>
          <w:rFonts w:ascii="Calibri" w:hAnsi="Calibri"/>
          <w:color w:val="1E2D38"/>
          <w:sz w:val="21"/>
        </w:rPr>
        <w:t>Averaging trap. Combining discrepant alliance ratings can erase the very participant-level signal that requires assessment and repair.</w:t>
      </w:r>
    </w:p>
    <w:p>
      <w:pPr>
        <w:keepLines/>
        <w:spacing w:after="100" w:line="283" w:lineRule="auto"/>
      </w:pPr>
      <w:r>
        <w:rPr>
          <w:rFonts w:ascii="Calibri" w:hAnsi="Calibri"/>
          <w:b/>
          <w:color w:val="1F3A5F"/>
          <w:sz w:val="21"/>
        </w:rPr>
        <w:t xml:space="preserve">C: </w:t>
      </w:r>
      <w:r>
        <w:rPr>
          <w:rFonts w:ascii="Calibri" w:hAnsi="Calibri"/>
          <w:color w:val="1E2D38"/>
          <w:sz w:val="21"/>
        </w:rPr>
        <w:t>Correct. It investigates rupture, power, safety, goals, and participation and uses each partner's perspective to repair or revise the treatment frame.</w:t>
      </w:r>
    </w:p>
    <w:p>
      <w:pPr>
        <w:keepLines/>
        <w:spacing w:after="100" w:line="283" w:lineRule="auto"/>
      </w:pPr>
      <w:r>
        <w:rPr>
          <w:rFonts w:ascii="Calibri" w:hAnsi="Calibri"/>
          <w:b/>
          <w:color w:val="12385B"/>
          <w:sz w:val="21"/>
        </w:rPr>
        <w:t xml:space="preserve">D: </w:t>
      </w:r>
      <w:r>
        <w:rPr>
          <w:rFonts w:ascii="Calibri" w:hAnsi="Calibri"/>
          <w:color w:val="1E2D38"/>
          <w:sz w:val="21"/>
        </w:rPr>
        <w:t>Feedback-avoidance trap. Disagreement is not a reason to stop measurement; it is information that can improve fit, safety, and alliance.</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When outcome and alliance data conflict, do not average away or ignore the rupture signal; explore it before adding technique.</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Name the discrepant feedback, assess power and safety, invite separate meanings, repair the frame collaboratively, and recheck participation.</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D4</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D1 / D3</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Respond to discordant outcome and alliance feedback</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2 and 5</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Scenario-Based</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C</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R3</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Ch1 / TRACK</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Conjoint safety, confidentiality, separate-contact, documentation, and treatment-format decisions must follow current law, ethics, informed-consent terms, and setting policy.</w:t>
            </w:r>
          </w:p>
        </w:tc>
      </w:tr>
    </w:tbl>
    <w:p>
      <w:pPr>
        <w:spacing w:after="20"/>
      </w:pPr>
    </w:p>
    <w:p>
      <w:pPr>
        <w:pStyle w:val="Heading1"/>
      </w:pPr>
      <w:r>
        <w:t>Item 4 -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Which sequence is MOST consistent with responsible appraisal of research for a clinical decision?</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Start with the article's conclusion, select the technique it recommends, and evaluate fit only if the intervention fails.</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Rank sources by study design and apply the highest-ranked source without considering sample or setting differences.</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Choose the finding that matches the therapist's preferred approach, then explain its likely benefits to the client.</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Frame the decision question; examine design, source, sample, comparison, measures, effects, harms, bias, and limits; then integrate applicability, expertise, client preferences, culture, and feasibility.</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D</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D follows a defensible evidence-appraisal sequence. It begins with the clinical decision, evaluates the study's methods and findings, then integrates applicability with clinician expertise, client characteristics and preferences, culture, and feasibility.</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Conclusion-first trap. An abstract conclusion does not substitute for examining design, comparison, measures, effect, harms, bias, and limits before selecting care.</w:t>
      </w:r>
    </w:p>
    <w:p>
      <w:pPr>
        <w:keepLines/>
        <w:spacing w:after="100" w:line="283" w:lineRule="auto"/>
      </w:pPr>
      <w:r>
        <w:rPr>
          <w:rFonts w:ascii="Calibri" w:hAnsi="Calibri"/>
          <w:b/>
          <w:color w:val="12385B"/>
          <w:sz w:val="21"/>
        </w:rPr>
        <w:t xml:space="preserve">B: </w:t>
      </w:r>
      <w:r>
        <w:rPr>
          <w:rFonts w:ascii="Calibri" w:hAnsi="Calibri"/>
          <w:color w:val="1E2D38"/>
          <w:sz w:val="21"/>
        </w:rPr>
        <w:t>Hierarchy-only trap. Study design matters, but even strong evidence must be interpreted for sample, setting, outcome, culture, feasibility, and the current decision.</w:t>
      </w:r>
    </w:p>
    <w:p>
      <w:pPr>
        <w:keepLines/>
        <w:spacing w:after="100" w:line="283" w:lineRule="auto"/>
      </w:pPr>
      <w:r>
        <w:rPr>
          <w:rFonts w:ascii="Calibri" w:hAnsi="Calibri"/>
          <w:b/>
          <w:color w:val="12385B"/>
          <w:sz w:val="21"/>
        </w:rPr>
        <w:t xml:space="preserve">C: </w:t>
      </w:r>
      <w:r>
        <w:rPr>
          <w:rFonts w:ascii="Calibri" w:hAnsi="Calibri"/>
          <w:color w:val="1E2D38"/>
          <w:sz w:val="21"/>
        </w:rPr>
        <w:t>Confirmation-bias trap. Selecting evidence because it supports a preferred approach reverses responsible appraisal and can hide contrary findings or harms.</w:t>
      </w:r>
    </w:p>
    <w:p>
      <w:pPr>
        <w:keepLines/>
        <w:spacing w:after="100" w:line="283" w:lineRule="auto"/>
      </w:pPr>
      <w:r>
        <w:rPr>
          <w:rFonts w:ascii="Calibri" w:hAnsi="Calibri"/>
          <w:b/>
          <w:color w:val="1F3A5F"/>
          <w:sz w:val="21"/>
        </w:rPr>
        <w:t xml:space="preserve">D: </w:t>
      </w:r>
      <w:r>
        <w:rPr>
          <w:rFonts w:ascii="Calibri" w:hAnsi="Calibri"/>
          <w:color w:val="1E2D38"/>
          <w:sz w:val="21"/>
        </w:rPr>
        <w:t>Correct. It frames the question, appraises validity and results, and integrates evidence with expertise, client context, preferences, culture, and feasibility.</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Research items reward question-first appraisal followed by client-system applicability—not conclusion-first, hierarchy-only, or preference-confirming shortcuts.</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Use LENS: locate the decision, examine methods, note effect and limits, and synthesize evidence with client context and feasibility.</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D4</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Use an evidence-appraisal sequence for a clinical question</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4</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Knowledge/Recall</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Easy</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D</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R4</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Ch2 / LENS</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5 -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controlled study found an average benefit for a highly structured couple intervention. The current couple has caregiving demands, limited transportation, different language needs, and goals not emphasized in the study. What is the BEST use of the evidence?</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Examine whether the sample, setting, outcomes, effect, harms, mechanism, culture, access demands, and alternatives fit this couple; discuss uncertainty and preferences; and monitor benefit and burden if the approach is used or adapted.</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Apply the full protocol unchanged because a controlled study should override feasibility and client preference.</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Reject the study completely because any difference between the research sample and the couple eliminates relevance.</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Select a familiar intervention instead because clinical experience is more important than published evidence.</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A</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A neither overgeneralizes nor discards the study. It evaluates transferability across population, setting, outcomes, effects, harms, mechanisms, culture, access, and alternatives, then makes uncertainty and monitoring part of shared decision-making.</w:t>
      </w:r>
    </w:p>
    <w:p>
      <w:pPr>
        <w:pStyle w:val="Heading2"/>
      </w:pPr>
      <w:r>
        <w:t>Option-by-Option Rationales</w:t>
      </w:r>
    </w:p>
    <w:p>
      <w:pPr>
        <w:keepLines/>
        <w:spacing w:after="100" w:line="283" w:lineRule="auto"/>
      </w:pPr>
      <w:r>
        <w:rPr>
          <w:rFonts w:ascii="Calibri" w:hAnsi="Calibri"/>
          <w:b/>
          <w:color w:val="1F3A5F"/>
          <w:sz w:val="21"/>
        </w:rPr>
        <w:t xml:space="preserve">A: </w:t>
      </w:r>
      <w:r>
        <w:rPr>
          <w:rFonts w:ascii="Calibri" w:hAnsi="Calibri"/>
          <w:color w:val="1E2D38"/>
          <w:sz w:val="21"/>
        </w:rPr>
        <w:t>Correct. It translates rather than copies the evidence, integrates preferences and feasibility, and plans to monitor both benefit and burden.</w:t>
      </w:r>
    </w:p>
    <w:p>
      <w:pPr>
        <w:keepLines/>
        <w:spacing w:after="100" w:line="283" w:lineRule="auto"/>
      </w:pPr>
      <w:r>
        <w:rPr>
          <w:rFonts w:ascii="Calibri" w:hAnsi="Calibri"/>
          <w:b/>
          <w:color w:val="12385B"/>
          <w:sz w:val="21"/>
        </w:rPr>
        <w:t xml:space="preserve">B: </w:t>
      </w:r>
      <w:r>
        <w:rPr>
          <w:rFonts w:ascii="Calibri" w:hAnsi="Calibri"/>
          <w:color w:val="1E2D38"/>
          <w:sz w:val="21"/>
        </w:rPr>
        <w:t>Protocol-over-fit trap. Controlled evidence does not justify ignoring language, caregiving, transportation, goals, burden, or informed client preference.</w:t>
      </w:r>
    </w:p>
    <w:p>
      <w:pPr>
        <w:keepLines/>
        <w:spacing w:after="100" w:line="283" w:lineRule="auto"/>
      </w:pPr>
      <w:r>
        <w:rPr>
          <w:rFonts w:ascii="Calibri" w:hAnsi="Calibri"/>
          <w:b/>
          <w:color w:val="12385B"/>
          <w:sz w:val="21"/>
        </w:rPr>
        <w:t xml:space="preserve">C: </w:t>
      </w:r>
      <w:r>
        <w:rPr>
          <w:rFonts w:ascii="Calibri" w:hAnsi="Calibri"/>
          <w:color w:val="1E2D38"/>
          <w:sz w:val="21"/>
        </w:rPr>
        <w:t>Difference-means-irrelevance trap. Imperfect sample match calls for cautious translation and monitoring, not automatic rejection of all evidence.</w:t>
      </w:r>
    </w:p>
    <w:p>
      <w:pPr>
        <w:keepLines/>
        <w:spacing w:after="100" w:line="283" w:lineRule="auto"/>
      </w:pPr>
      <w:r>
        <w:rPr>
          <w:rFonts w:ascii="Calibri" w:hAnsi="Calibri"/>
          <w:b/>
          <w:color w:val="12385B"/>
          <w:sz w:val="21"/>
        </w:rPr>
        <w:t xml:space="preserve">D: </w:t>
      </w:r>
      <w:r>
        <w:rPr>
          <w:rFonts w:ascii="Calibri" w:hAnsi="Calibri"/>
          <w:color w:val="1E2D38"/>
          <w:sz w:val="21"/>
        </w:rPr>
        <w:t>Experience-only trap. Clinical expertise helps interpret and implement evidence; it does not replace responsible consideration of research and client preferences.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Choose calibrated transfer: appraise how and where evidence fits, discuss uncertainty, adapt responsibly, and monitor the result.</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Compare sample, setting, target, effect, harm, mechanism, culture, access, alternatives, and client preference before selecting or adapting care.</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D4</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Judge cultural, clinical, and setting applicability of research</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4</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Application</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R4</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Ch2 / LENS</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6 -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Which statement BEST distinguishes statistical significance from clinically meaningful change?</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Statistical significance proves that every client experienced an important improvement in daily life.</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Statistical significance addresses whether an observed group difference is unlikely under a specified model, while clinical meaning asks whether the magnitude matters for goals, function, safety, burden, and the client system.</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Clinically meaningful change can be established from the therapist's preference even when outcomes and client reports show no benefit.</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The two terms are interchangeable whenever a standardized measure is used.</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B</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B correctly separates an inferential property of a group result from whether change matters in this client system. Clinical meaning depends on magnitude and relevance to agreed goals, function, safety, burden, and client or family experience.</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Population-to-person error. Statistical significance does not prove that every participant improved or that the change was important in daily life.</w:t>
      </w:r>
    </w:p>
    <w:p>
      <w:pPr>
        <w:keepLines/>
        <w:spacing w:after="100" w:line="283" w:lineRule="auto"/>
      </w:pPr>
      <w:r>
        <w:rPr>
          <w:rFonts w:ascii="Calibri" w:hAnsi="Calibri"/>
          <w:b/>
          <w:color w:val="1F3A5F"/>
          <w:sz w:val="21"/>
        </w:rPr>
        <w:t xml:space="preserve">B: </w:t>
      </w:r>
      <w:r>
        <w:rPr>
          <w:rFonts w:ascii="Calibri" w:hAnsi="Calibri"/>
          <w:color w:val="1E2D38"/>
          <w:sz w:val="21"/>
        </w:rPr>
        <w:t>Correct. It distinguishes statistical inference from the practical and client-centered importance of the observed change.</w:t>
      </w:r>
    </w:p>
    <w:p>
      <w:pPr>
        <w:keepLines/>
        <w:spacing w:after="100" w:line="283" w:lineRule="auto"/>
      </w:pPr>
      <w:r>
        <w:rPr>
          <w:rFonts w:ascii="Calibri" w:hAnsi="Calibri"/>
          <w:b/>
          <w:color w:val="12385B"/>
          <w:sz w:val="21"/>
        </w:rPr>
        <w:t xml:space="preserve">C: </w:t>
      </w:r>
      <w:r>
        <w:rPr>
          <w:rFonts w:ascii="Calibri" w:hAnsi="Calibri"/>
          <w:color w:val="1E2D38"/>
          <w:sz w:val="21"/>
        </w:rPr>
        <w:t>Preference-as-outcome trap. Therapist preference cannot establish meaningful benefit when outcome, function, and client reports do not support it.</w:t>
      </w:r>
    </w:p>
    <w:p>
      <w:pPr>
        <w:keepLines/>
        <w:spacing w:after="100" w:line="283" w:lineRule="auto"/>
      </w:pPr>
      <w:r>
        <w:rPr>
          <w:rFonts w:ascii="Calibri" w:hAnsi="Calibri"/>
          <w:b/>
          <w:color w:val="12385B"/>
          <w:sz w:val="21"/>
        </w:rPr>
        <w:t xml:space="preserve">D: </w:t>
      </w:r>
      <w:r>
        <w:rPr>
          <w:rFonts w:ascii="Calibri" w:hAnsi="Calibri"/>
          <w:color w:val="1E2D38"/>
          <w:sz w:val="21"/>
        </w:rPr>
        <w:t>Concept-collapse trap. A standardized measure can support either analysis, but it does not make statistical and clinical significance interchangeable.</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When asked about meaningful change, anchor the answer to magnitude, goals, function, safety, burden, and client meaning—not the p-value alone.</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State separately what the statistic supports and whether the magnitude changes life, risk, function, burden, or the agreed treatment decision.</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D4</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Distinguish statistical from clinically meaningful change</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3</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Knowledge/Recall</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Easy</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B</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R5</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Ch3 / SIGNAL</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7 -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weekly relationship measure improves for three sessions, is missing during two weeks of severe conflict, and then returns near baseline. One partner says daily functioning is unchanged; the measure has a possible ceiling effect for the other partner. What is the BEST interpretation?</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The early improvement proves that treatment worked, and the later return to baseline is ordinary variation.</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The missing scores should be omitted from discussion because they prevent a clean statistical trend.</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The pattern is uncertain; investigate the conflict-linked missingness and measure limits, integrate function and both partners' meanings, avoid a causal claim, and gather the next planned information before deciding.</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The treatment has definitively failed because a valid response must improve at every observation.</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C</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C treats the data pattern as uncertain rather than forcing a success or failure conclusion. It examines informative missingness and ceiling limits, integrates participant-level function and meaning, avoids causal overclaiming, and gathers the next planned evidence.</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Early-trend anchoring. Initial improvement does not prove durable benefit when later scores return to baseline and function remains unchanged.</w:t>
      </w:r>
    </w:p>
    <w:p>
      <w:pPr>
        <w:keepLines/>
        <w:spacing w:after="100" w:line="283" w:lineRule="auto"/>
      </w:pPr>
      <w:r>
        <w:rPr>
          <w:rFonts w:ascii="Calibri" w:hAnsi="Calibri"/>
          <w:b/>
          <w:color w:val="12385B"/>
          <w:sz w:val="21"/>
        </w:rPr>
        <w:t xml:space="preserve">B: </w:t>
      </w:r>
      <w:r>
        <w:rPr>
          <w:rFonts w:ascii="Calibri" w:hAnsi="Calibri"/>
          <w:color w:val="1E2D38"/>
          <w:sz w:val="21"/>
        </w:rPr>
        <w:t>Missingness-neglect trap. Scores missing during severe conflict may be informative; omitting them can bias interpretation and conceal deterioration.</w:t>
      </w:r>
    </w:p>
    <w:p>
      <w:pPr>
        <w:keepLines/>
        <w:spacing w:after="100" w:line="283" w:lineRule="auto"/>
      </w:pPr>
      <w:r>
        <w:rPr>
          <w:rFonts w:ascii="Calibri" w:hAnsi="Calibri"/>
          <w:b/>
          <w:color w:val="1F3A5F"/>
          <w:sz w:val="21"/>
        </w:rPr>
        <w:t xml:space="preserve">C: </w:t>
      </w:r>
      <w:r>
        <w:rPr>
          <w:rFonts w:ascii="Calibri" w:hAnsi="Calibri"/>
          <w:color w:val="1E2D38"/>
          <w:sz w:val="21"/>
        </w:rPr>
        <w:t>Correct. It integrates trend, missingness, measurement limits, function, and both partners' meanings while preserving uncertainty and the next review step.</w:t>
      </w:r>
    </w:p>
    <w:p>
      <w:pPr>
        <w:keepLines/>
        <w:spacing w:after="100" w:line="283" w:lineRule="auto"/>
      </w:pPr>
      <w:r>
        <w:rPr>
          <w:rFonts w:ascii="Calibri" w:hAnsi="Calibri"/>
          <w:b/>
          <w:color w:val="12385B"/>
          <w:sz w:val="21"/>
        </w:rPr>
        <w:t xml:space="preserve">D: </w:t>
      </w:r>
      <w:r>
        <w:rPr>
          <w:rFonts w:ascii="Calibri" w:hAnsi="Calibri"/>
          <w:color w:val="1E2D38"/>
          <w:sz w:val="21"/>
        </w:rPr>
        <w:t>All-or-nothing trend trap. Effective treatment does not require improvement at every observation, and fluctuation alone does not prove failure.</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For imperfect trend data, investigate what is missing and what the measure cannot show before declaring success, failure, or causation.</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Use SIGNAL: specify the indicator, integrate repeated sources, gauge change and uncertainty, notice missingness and limits, anchor to function, and log the next check.</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D4</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Interpret a trend with missing data and measure limits</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3</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Scenario-Based</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Difficult</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C</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R5</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Ch3 / SIGNAL</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8 -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Outcome scores have modestly improved, but family members disagree about whether the change matters, one translated measure has uncertain validity for this family, and attendance was interrupted by transportation problems. Which documentation is BEST?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Record that the family improved because the numerical trend is the most objective source.</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Document only the therapist's final decision so the record remains concise and avoids conflicting information.</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State that no conclusion can be made and omit the scores, family reports, and access barriers from the record.</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Document the indicators, timeframe, sources, discordant meanings, missingness, access context, measure limitations, safety and function findings, uncertainty, collaborative decision, rationale, and next review point.</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D</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D creates a transparent record of what was measured, over what period, from whom, under what limitations, and how the information led to the collaborative decision. It preserves discordance and uncertainty rather than disguising them.</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Objectivity shortcut. A numerical trend is not self-interpreting and should not erase function, participant meaning, access barriers, missingness, or measure limitations.</w:t>
      </w:r>
    </w:p>
    <w:p>
      <w:pPr>
        <w:keepLines/>
        <w:spacing w:after="100" w:line="283" w:lineRule="auto"/>
      </w:pPr>
      <w:r>
        <w:rPr>
          <w:rFonts w:ascii="Calibri" w:hAnsi="Calibri"/>
          <w:b/>
          <w:color w:val="12385B"/>
          <w:sz w:val="21"/>
        </w:rPr>
        <w:t xml:space="preserve">B: </w:t>
      </w:r>
      <w:r>
        <w:rPr>
          <w:rFonts w:ascii="Calibri" w:hAnsi="Calibri"/>
          <w:color w:val="1E2D38"/>
          <w:sz w:val="21"/>
        </w:rPr>
        <w:t>Rationale-omission trap. Recording only the decision prevents later readers from understanding the evidence, uncertainty, collaboration, and basis for the next step.</w:t>
      </w:r>
    </w:p>
    <w:p>
      <w:pPr>
        <w:keepLines/>
        <w:spacing w:after="100" w:line="283" w:lineRule="auto"/>
      </w:pPr>
      <w:r>
        <w:rPr>
          <w:rFonts w:ascii="Calibri" w:hAnsi="Calibri"/>
          <w:b/>
          <w:color w:val="12385B"/>
          <w:sz w:val="21"/>
        </w:rPr>
        <w:t xml:space="preserve">C: </w:t>
      </w:r>
      <w:r>
        <w:rPr>
          <w:rFonts w:ascii="Calibri" w:hAnsi="Calibri"/>
          <w:color w:val="1E2D38"/>
          <w:sz w:val="21"/>
        </w:rPr>
        <w:t>Data-suppression trap. Uncertainty is a reason to document sources and limits carefully, not omit the information that created the uncertainty.</w:t>
      </w:r>
    </w:p>
    <w:p>
      <w:pPr>
        <w:keepLines/>
        <w:spacing w:after="100" w:line="283" w:lineRule="auto"/>
      </w:pPr>
      <w:r>
        <w:rPr>
          <w:rFonts w:ascii="Calibri" w:hAnsi="Calibri"/>
          <w:b/>
          <w:color w:val="1F3A5F"/>
          <w:sz w:val="21"/>
        </w:rPr>
        <w:t xml:space="preserve">D: </w:t>
      </w:r>
      <w:r>
        <w:rPr>
          <w:rFonts w:ascii="Calibri" w:hAnsi="Calibri"/>
          <w:color w:val="1E2D38"/>
          <w:sz w:val="21"/>
        </w:rPr>
        <w:t>Correct. It documents indicators, context, discordance, limitations, uncertainty, decision, rationale, and next review point.</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The strongest documentation answer shows the decision trail: source, timeframe, context, limitations, meaning, rationale, and next check.</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Record what was observed, by whom, when, with what limits, what it means, what remains uncertain, what was decided, and when it will be reviewed.</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D6</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 / D4</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Document practice-based data and the decision rationale</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3</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Integrated Clinical Reasoning</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Difficult</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D</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R2</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Ch3 / SIGNAL</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Records, measure use, language access, confidentiality, information sharing, and retention must follow current law, ethics, board guidance, organizational policy, and measure-specific requirements.</w:t>
            </w:r>
          </w:p>
        </w:tc>
      </w:tr>
    </w:tbl>
    <w:p>
      <w:pPr>
        <w:spacing w:after="20"/>
      </w:pPr>
    </w:p>
    <w:p>
      <w:pPr>
        <w:pStyle w:val="Heading1"/>
      </w:pPr>
      <w:r>
        <w:t>Item 9 -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During an outcome review, a parent reports fewer arguments. The adolescent quietly discloses escalating self-harm, access to a large supply of medication, and doubt about being able to stay safe tonight. What should the therapist do FIRST?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Conduct a direct current safety and stability assessment and arrange the appropriate immediate protective and level-of-care response before returning to routine outcome interpretation.</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Complete the planned family measure so the progress record remains comparable with earlier sessions.</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Ask the parent and adolescent to negotiate a communication goal before discussing emergency options.</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Terminate the therapy immediately because the adolescent may need a service outside routine outpatient care.</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A</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A recognizes an acute safety disclosure as the controlling decision point. A direct current assessment and immediate protective or level-of-care response must precede routine outcome measurement, relational work, or administrative termination.</w:t>
      </w:r>
    </w:p>
    <w:p>
      <w:pPr>
        <w:pStyle w:val="Heading2"/>
      </w:pPr>
      <w:r>
        <w:t>Option-by-Option Rationales</w:t>
      </w:r>
    </w:p>
    <w:p>
      <w:pPr>
        <w:keepLines/>
        <w:spacing w:after="100" w:line="283" w:lineRule="auto"/>
      </w:pPr>
      <w:r>
        <w:rPr>
          <w:rFonts w:ascii="Calibri" w:hAnsi="Calibri"/>
          <w:b/>
          <w:color w:val="1F3A5F"/>
          <w:sz w:val="21"/>
        </w:rPr>
        <w:t xml:space="preserve">A: </w:t>
      </w:r>
      <w:r>
        <w:rPr>
          <w:rFonts w:ascii="Calibri" w:hAnsi="Calibri"/>
          <w:color w:val="1E2D38"/>
          <w:sz w:val="21"/>
        </w:rPr>
        <w:t>Correct. It prioritizes current intent, means access, ability to remain safe, protective factors, participation capacity, and an appropriate immediate response.</w:t>
      </w:r>
    </w:p>
    <w:p>
      <w:pPr>
        <w:keepLines/>
        <w:spacing w:after="100" w:line="283" w:lineRule="auto"/>
      </w:pPr>
      <w:r>
        <w:rPr>
          <w:rFonts w:ascii="Calibri" w:hAnsi="Calibri"/>
          <w:b/>
          <w:color w:val="12385B"/>
          <w:sz w:val="21"/>
        </w:rPr>
        <w:t xml:space="preserve">B: </w:t>
      </w:r>
      <w:r>
        <w:rPr>
          <w:rFonts w:ascii="Calibri" w:hAnsi="Calibri"/>
          <w:color w:val="1E2D38"/>
          <w:sz w:val="21"/>
        </w:rPr>
        <w:t>Measurement-priority error. Comparability of routine data cannot take precedence over escalating self-harm, medication access, and doubt about staying safe.</w:t>
      </w:r>
    </w:p>
    <w:p>
      <w:pPr>
        <w:keepLines/>
        <w:spacing w:after="100" w:line="283" w:lineRule="auto"/>
      </w:pPr>
      <w:r>
        <w:rPr>
          <w:rFonts w:ascii="Calibri" w:hAnsi="Calibri"/>
          <w:b/>
          <w:color w:val="12385B"/>
          <w:sz w:val="21"/>
        </w:rPr>
        <w:t xml:space="preserve">C: </w:t>
      </w:r>
      <w:r>
        <w:rPr>
          <w:rFonts w:ascii="Calibri" w:hAnsi="Calibri"/>
          <w:color w:val="1E2D38"/>
          <w:sz w:val="21"/>
        </w:rPr>
        <w:t>Intervention-before-stabilization trap. Communication negotiation does not address the acute safety and level-of-care question.</w:t>
      </w:r>
    </w:p>
    <w:p>
      <w:pPr>
        <w:keepLines/>
        <w:spacing w:after="100" w:line="283" w:lineRule="auto"/>
      </w:pPr>
      <w:r>
        <w:rPr>
          <w:rFonts w:ascii="Calibri" w:hAnsi="Calibri"/>
          <w:b/>
          <w:color w:val="12385B"/>
          <w:sz w:val="21"/>
        </w:rPr>
        <w:t xml:space="preserve">D: </w:t>
      </w:r>
      <w:r>
        <w:rPr>
          <w:rFonts w:ascii="Calibri" w:hAnsi="Calibri"/>
          <w:color w:val="1E2D38"/>
          <w:sz w:val="21"/>
        </w:rPr>
        <w:t>Abrupt-termination trap. Higher-level care may be needed, but responsible escalation includes assessment, coordination, interim safety, documentation, and continuity.</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If new information changes acuity, answer the safety and stability question before interpreting routine progress.</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Pause review, assess current danger and participation capacity, activate the appropriate protective response, coordinate continuity, and document.</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D5</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D4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Prioritize worsening outcomes and new safety concerns</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5 and 6</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Scenario-Based</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Difficult</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R6</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Ch4 / REPAIR</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Suicide-risk, emergency, minor-consent, disclosure, transport, hospitalization, documentation, and continuity duties vary by jurisdiction and setting and require current protocols and qualified consultation.</w:t>
            </w:r>
          </w:p>
        </w:tc>
      </w:tr>
    </w:tbl>
    <w:p>
      <w:pPr>
        <w:spacing w:after="20"/>
      </w:pPr>
    </w:p>
    <w:p>
      <w:pPr>
        <w:pStyle w:val="Heading1"/>
      </w:pPr>
      <w:r>
        <w:t>Item 10 -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couple has completed an agreed communication intervention with good participation, but conflict and sleep disruption have worsened. One partner recently began using stimulants to work nights and now shows episodic agitation. What should the therapist do NEXT?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Add another communication technique because participation confirms that the original formulation remains correct.</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Reassess safety, substance and health factors, symptoms across time, diagnosis, function, the reciprocal hypothesis, alliance, and treatment fit; coordinate or refer within consent and scope; then revise the plan for a stated reason.</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Conclude that the couple is resistant because the intervention was completed without improvement.</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Continue unchanged until the original intervention has been used for a predetermined number of sessions.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B</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Worsening despite participation, plus new stimulant use and episodic agitation, weakens the original formulation and raises safety, substance, health, and diagnostic questions. Option B reassesses those factors and treatment fit before revising the plan with consented coordination or referral.</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Technique-accumulation trap. Participation does not confirm the hypothesis when outcome and new clinical information contradict it.</w:t>
      </w:r>
    </w:p>
    <w:p>
      <w:pPr>
        <w:keepLines/>
        <w:spacing w:after="100" w:line="283" w:lineRule="auto"/>
      </w:pPr>
      <w:r>
        <w:rPr>
          <w:rFonts w:ascii="Calibri" w:hAnsi="Calibri"/>
          <w:b/>
          <w:color w:val="1F3A5F"/>
          <w:sz w:val="21"/>
        </w:rPr>
        <w:t xml:space="preserve">B: </w:t>
      </w:r>
      <w:r>
        <w:rPr>
          <w:rFonts w:ascii="Calibri" w:hAnsi="Calibri"/>
          <w:color w:val="1E2D38"/>
          <w:sz w:val="21"/>
        </w:rPr>
        <w:t>Correct. It reopens safety, substance and health factors, longitudinal symptoms, diagnosis, reciprocal hypotheses, alliance, and fit before revising care.</w:t>
      </w:r>
    </w:p>
    <w:p>
      <w:pPr>
        <w:keepLines/>
        <w:spacing w:after="100" w:line="283" w:lineRule="auto"/>
      </w:pPr>
      <w:r>
        <w:rPr>
          <w:rFonts w:ascii="Calibri" w:hAnsi="Calibri"/>
          <w:b/>
          <w:color w:val="12385B"/>
          <w:sz w:val="21"/>
        </w:rPr>
        <w:t xml:space="preserve">C: </w:t>
      </w:r>
      <w:r>
        <w:rPr>
          <w:rFonts w:ascii="Calibri" w:hAnsi="Calibri"/>
          <w:color w:val="1E2D38"/>
          <w:sz w:val="21"/>
        </w:rPr>
        <w:t>Resistance-label trap. Nonresponse after implementation calls for hypothesis and fit review, not a global attribution of blame to the couple.</w:t>
      </w:r>
    </w:p>
    <w:p>
      <w:pPr>
        <w:keepLines/>
        <w:spacing w:after="100" w:line="283" w:lineRule="auto"/>
      </w:pPr>
      <w:r>
        <w:rPr>
          <w:rFonts w:ascii="Calibri" w:hAnsi="Calibri"/>
          <w:b/>
          <w:color w:val="12385B"/>
          <w:sz w:val="21"/>
        </w:rPr>
        <w:t xml:space="preserve">D: </w:t>
      </w:r>
      <w:r>
        <w:rPr>
          <w:rFonts w:ascii="Calibri" w:hAnsi="Calibri"/>
          <w:color w:val="1E2D38"/>
          <w:sz w:val="21"/>
        </w:rPr>
        <w:t>Dose-without-feedback trap. A predetermined session count should not override deterioration, new risk information, or evidence that the plan may be mismatched.</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When a well-implemented plan is followed by worsening or new atypical symptoms, reassess the formulation before intensifying the same intervention.</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Use REPAIR: reassess safety and diagnosis, elicit feedback, probe barriers and fit, adapt the plan, involve consultation or referral, and review response.</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D2</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 / D4</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Reassess diagnosis and systemic hypotheses after nonresponse</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5</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Scenario-Based</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B</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R7</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Ch4 / REPAIR</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Substance, medication, medical, emergency, coordination, consent, and referral decisions must follow current law, ethics, policy, and competence-appropriate consultation.</w:t>
            </w:r>
          </w:p>
        </w:tc>
      </w:tr>
    </w:tbl>
    <w:p>
      <w:pPr>
        <w:spacing w:after="20"/>
      </w:pPr>
    </w:p>
    <w:p>
      <w:pPr>
        <w:pStyle w:val="Heading1"/>
      </w:pPr>
      <w:r>
        <w:t>Item 11 -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family reports no meaningful change after a well-implemented first treatment phase, and no new safety concern is identified. Which action BEST reflects collaborative plan revision?</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Select several new techniques before discussing the nonresponse so the family does not lose confidence.</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Keep the original goal and method unchanged because changing course would make the first phase appear unsuccessful.</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Review goals, evidence, alliance, access, fit, and the working hypothesis with the family; agree on a specific change in target, participants, modality, sequence, or method; and define the next response threshold.</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Ask the family to choose any intervention it prefers and transfer all responsibility for the clinical rationale.</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C</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C makes nonresponse a shared clinical problem. It revisits goals, evidence, alliance, access, fit, and the working hypothesis; selects one reasoned modification; and defines what response will trigger the next decision.</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Unfocused-change trap. Adding several techniques before understanding nonresponse obscures what is being tested and can increase burden or reduce confidence.</w:t>
      </w:r>
    </w:p>
    <w:p>
      <w:pPr>
        <w:keepLines/>
        <w:spacing w:after="100" w:line="283" w:lineRule="auto"/>
      </w:pPr>
      <w:r>
        <w:rPr>
          <w:rFonts w:ascii="Calibri" w:hAnsi="Calibri"/>
          <w:b/>
          <w:color w:val="12385B"/>
          <w:sz w:val="21"/>
        </w:rPr>
        <w:t xml:space="preserve">B: </w:t>
      </w:r>
      <w:r>
        <w:rPr>
          <w:rFonts w:ascii="Calibri" w:hAnsi="Calibri"/>
          <w:color w:val="1E2D38"/>
          <w:sz w:val="21"/>
        </w:rPr>
        <w:t>Sunk-cost trap. Preserving an ineffective plan to protect appearances places the old decision above current response data and client needs.</w:t>
      </w:r>
    </w:p>
    <w:p>
      <w:pPr>
        <w:keepLines/>
        <w:spacing w:after="100" w:line="283" w:lineRule="auto"/>
      </w:pPr>
      <w:r>
        <w:rPr>
          <w:rFonts w:ascii="Calibri" w:hAnsi="Calibri"/>
          <w:b/>
          <w:color w:val="1F3A5F"/>
          <w:sz w:val="21"/>
        </w:rPr>
        <w:t xml:space="preserve">C: </w:t>
      </w:r>
      <w:r>
        <w:rPr>
          <w:rFonts w:ascii="Calibri" w:hAnsi="Calibri"/>
          <w:color w:val="1E2D38"/>
          <w:sz w:val="21"/>
        </w:rPr>
        <w:t>Correct. It combines collaborative reassessment, a specific justified modification, and a prospective response threshold.</w:t>
      </w:r>
    </w:p>
    <w:p>
      <w:pPr>
        <w:keepLines/>
        <w:spacing w:after="100" w:line="283" w:lineRule="auto"/>
      </w:pPr>
      <w:r>
        <w:rPr>
          <w:rFonts w:ascii="Calibri" w:hAnsi="Calibri"/>
          <w:b/>
          <w:color w:val="12385B"/>
          <w:sz w:val="21"/>
        </w:rPr>
        <w:t xml:space="preserve">D: </w:t>
      </w:r>
      <w:r>
        <w:rPr>
          <w:rFonts w:ascii="Calibri" w:hAnsi="Calibri"/>
          <w:color w:val="1E2D38"/>
          <w:sz w:val="21"/>
        </w:rPr>
        <w:t>Responsibility-abdication trap. Client preference is essential, but the therapist remains responsible for competent rationale, informed options, and monitoring.</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A strong revision answer identifies why change is needed, what specifically will change, and what future result will guide the next decision.</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Review goals, hypothesis, alliance, access, implementation, evidence, and preferences; change one or more explicit plan elements and set the next threshold.</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D4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Revise the treatment plan collaboratively after nonresponse</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5 and 6</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Application</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Easy</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C</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R7</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Ch4 / REPAIR</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12 -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client receiving weekly outpatient therapy has rapidly worsening disorganization, cannot reliably attend to basic needs, and requires repeated emergency contacts despite an implemented safety and support plan. Which response is MOST appropriate?</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Increase homework so the client demonstrates readiness to remain in the current setting.</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Maintain weekly outpatient care because changing intensity may disrupt the therapeutic alliance.</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End treatment and instruct the client to locate a higher level of care independently.</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Reassess acuity, function, safety, participation capacity, and alternatives; coordinate a timely step-up to the least restrictive appropriate level of care; and clarify interim roles and continuity.</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D</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D matches treatment intensity to worsening function, repeated emergency use, and reduced capacity to participate in weekly outpatient care. It reassesses acuity and alternatives, coordinates timely step-up, and maintains interim role clarity and continuity.</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Burden-and-fit error. Homework does not establish safety or outpatient suitability and may be unusable when basic functioning and organization are deteriorating.</w:t>
      </w:r>
    </w:p>
    <w:p>
      <w:pPr>
        <w:keepLines/>
        <w:spacing w:after="100" w:line="283" w:lineRule="auto"/>
      </w:pPr>
      <w:r>
        <w:rPr>
          <w:rFonts w:ascii="Calibri" w:hAnsi="Calibri"/>
          <w:b/>
          <w:color w:val="12385B"/>
          <w:sz w:val="21"/>
        </w:rPr>
        <w:t xml:space="preserve">B: </w:t>
      </w:r>
      <w:r>
        <w:rPr>
          <w:rFonts w:ascii="Calibri" w:hAnsi="Calibri"/>
          <w:color w:val="1E2D38"/>
          <w:sz w:val="21"/>
        </w:rPr>
        <w:t>Alliance-as-setting trap. Preserving alliance does not justify care at an inadequate intensity; continuity can be protected during a coordinated transition.</w:t>
      </w:r>
    </w:p>
    <w:p>
      <w:pPr>
        <w:keepLines/>
        <w:spacing w:after="100" w:line="283" w:lineRule="auto"/>
      </w:pPr>
      <w:r>
        <w:rPr>
          <w:rFonts w:ascii="Calibri" w:hAnsi="Calibri"/>
          <w:b/>
          <w:color w:val="12385B"/>
          <w:sz w:val="21"/>
        </w:rPr>
        <w:t xml:space="preserve">C: </w:t>
      </w:r>
      <w:r>
        <w:rPr>
          <w:rFonts w:ascii="Calibri" w:hAnsi="Calibri"/>
          <w:color w:val="1E2D38"/>
          <w:sz w:val="21"/>
        </w:rPr>
        <w:t>Abandonment trap. Ending care and requiring independent navigation is unsafe when the client is disorganized and the receiving service is not established.</w:t>
      </w:r>
    </w:p>
    <w:p>
      <w:pPr>
        <w:keepLines/>
        <w:spacing w:after="100" w:line="283" w:lineRule="auto"/>
      </w:pPr>
      <w:r>
        <w:rPr>
          <w:rFonts w:ascii="Calibri" w:hAnsi="Calibri"/>
          <w:b/>
          <w:color w:val="1F3A5F"/>
          <w:sz w:val="21"/>
        </w:rPr>
        <w:t xml:space="preserve">D: </w:t>
      </w:r>
      <w:r>
        <w:rPr>
          <w:rFonts w:ascii="Calibri" w:hAnsi="Calibri"/>
          <w:color w:val="1E2D38"/>
          <w:sz w:val="21"/>
        </w:rPr>
        <w:t>Correct. It selects the least restrictive appropriate level from acuity, function, safety, participation capacity, and available alternatives and coordinates the transition.</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Level-of-care items turn on acuity, function, participation capacity, response, and continuity—not homework, convenience, or alliance alone.</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Use STEPS: screen acuity and continuity risk, test fit and alternatives, explain options, plan the handoff, secure interim care, and confirm transition.</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D4 / D5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Select step-up or step-down care from acuity and response</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6</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Scenario-Based</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D</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R8</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Ch5 / STEPS</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Emergency, hospitalization, involuntary-care, disclosure, transport, crisis, and continuity requirements vary by jurisdiction and setting; use current protocols and consultation.</w:t>
            </w:r>
          </w:p>
        </w:tc>
      </w:tr>
    </w:tbl>
    <w:p>
      <w:pPr>
        <w:spacing w:after="20"/>
      </w:pPr>
    </w:p>
    <w:p>
      <w:pPr>
        <w:pStyle w:val="Heading1"/>
      </w:pPr>
      <w:r>
        <w:t>Item 13 -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therapist determines that a client needs specialized eating-disorder treatment beyond the therapist's competence. The client wants help connecting with a program but also wishes to limit what is shared. What is the BEST response?</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Explain the competence limit and options, obtain informed permission for a defined information exchange, coordinate a warm referral, clarify any continuing MFT role, and confirm that the receiving service can respond.</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Send the complete record to the nearest specialty program because clinical urgency eliminates the client's information preferences.</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Continue treating the eating disorder independently until the client becomes comfortable with unrestricted disclosure.</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Give the client a list of programs and close the case immediately so roles cannot overlap.</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A</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A addresses the competence limit transparently while preserving client choice and confidentiality. It defines the authorized information exchange, coordinates a warm referral, clarifies any remaining MFT role, and confirms that the specialty service can respond.</w:t>
      </w:r>
    </w:p>
    <w:p>
      <w:pPr>
        <w:pStyle w:val="Heading2"/>
      </w:pPr>
      <w:r>
        <w:t>Option-by-Option Rationales</w:t>
      </w:r>
    </w:p>
    <w:p>
      <w:pPr>
        <w:keepLines/>
        <w:spacing w:after="100" w:line="283" w:lineRule="auto"/>
      </w:pPr>
      <w:r>
        <w:rPr>
          <w:rFonts w:ascii="Calibri" w:hAnsi="Calibri"/>
          <w:b/>
          <w:color w:val="1F3A5F"/>
          <w:sz w:val="21"/>
        </w:rPr>
        <w:t xml:space="preserve">A: </w:t>
      </w:r>
      <w:r>
        <w:rPr>
          <w:rFonts w:ascii="Calibri" w:hAnsi="Calibri"/>
          <w:color w:val="1E2D38"/>
          <w:sz w:val="21"/>
        </w:rPr>
        <w:t>Correct. It combines competence, informed participation, minimum-necessary information, warm coordination, role clarity, and confirmation of continuity.</w:t>
      </w:r>
    </w:p>
    <w:p>
      <w:pPr>
        <w:keepLines/>
        <w:spacing w:after="100" w:line="283" w:lineRule="auto"/>
      </w:pPr>
      <w:r>
        <w:rPr>
          <w:rFonts w:ascii="Calibri" w:hAnsi="Calibri"/>
          <w:b/>
          <w:color w:val="12385B"/>
          <w:sz w:val="21"/>
        </w:rPr>
        <w:t xml:space="preserve">B: </w:t>
      </w:r>
      <w:r>
        <w:rPr>
          <w:rFonts w:ascii="Calibri" w:hAnsi="Calibri"/>
          <w:color w:val="1E2D38"/>
          <w:sz w:val="21"/>
        </w:rPr>
        <w:t>Overdisclosure trap. Clinical concern does not automatically authorize sending the full record or disregarding the client's information preferences.</w:t>
      </w:r>
    </w:p>
    <w:p>
      <w:pPr>
        <w:keepLines/>
        <w:spacing w:after="100" w:line="283" w:lineRule="auto"/>
      </w:pPr>
      <w:r>
        <w:rPr>
          <w:rFonts w:ascii="Calibri" w:hAnsi="Calibri"/>
          <w:b/>
          <w:color w:val="12385B"/>
          <w:sz w:val="21"/>
        </w:rPr>
        <w:t xml:space="preserve">C: </w:t>
      </w:r>
      <w:r>
        <w:rPr>
          <w:rFonts w:ascii="Calibri" w:hAnsi="Calibri"/>
          <w:color w:val="1E2D38"/>
          <w:sz w:val="21"/>
        </w:rPr>
        <w:t>Competence-drift trap. Continuing specialty treatment beyond competence is not made safe by waiting for unrestricted disclosure.</w:t>
      </w:r>
    </w:p>
    <w:p>
      <w:pPr>
        <w:keepLines/>
        <w:spacing w:after="100" w:line="283" w:lineRule="auto"/>
      </w:pPr>
      <w:r>
        <w:rPr>
          <w:rFonts w:ascii="Calibri" w:hAnsi="Calibri"/>
          <w:b/>
          <w:color w:val="12385B"/>
          <w:sz w:val="21"/>
        </w:rPr>
        <w:t xml:space="preserve">D: </w:t>
      </w:r>
      <w:r>
        <w:rPr>
          <w:rFonts w:ascii="Calibri" w:hAnsi="Calibri"/>
          <w:color w:val="1E2D38"/>
          <w:sz w:val="21"/>
        </w:rPr>
        <w:t>Cold-referral trap. A generic list and immediate closure do not address active needs, navigation burden, acceptance, interim care, or nonabandonment.</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For competence limits, choose transparent discussion plus consented, minimum-necessary, confirmed referral and continuity.</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Explain the limit, offer qualified options, define permission and information scope, coordinate the handoff, clarify interim roles, and confirm connection.</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D6</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 / D4</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Arrange a consented warm referral or transfer</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6 and 7</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Integrated Clinical Reasoning</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Difficult</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R9</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Ch5 / STEPS</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Competence, eating-disorder care, confidentiality, authorization, records, referral, emergency response, and nonabandonment must follow current law, ethics, policy, and specialty consultation.</w:t>
            </w:r>
          </w:p>
        </w:tc>
      </w:tr>
    </w:tbl>
    <w:p>
      <w:pPr>
        <w:spacing w:after="20"/>
      </w:pPr>
    </w:p>
    <w:p>
      <w:pPr>
        <w:pStyle w:val="Heading1"/>
        <w:pageBreakBefore/>
      </w:pPr>
      <w:r>
        <w:t>Item 14 -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clinic is closing in two weeks. A client with active treatment needs agrees to transfer, but the receiving program cannot complete intake for six weeks and has not accepted clinical responsibility. What should the therapist do NEXT?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Close the case on the clinic's final day because the client agreed to the referral.</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Reassess current risk and needs, clarify the gap with the client and both settings, pursue feasible alternatives, arrange reasonable interim care and crisis instructions, share only authorized necessary information, and confirm when responsibility transfers.</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Promise indefinite personal availability outside the closing clinic until the new program completes intake.</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Send the full chart without permission so the receiving program is required to accept the case sooner.</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B</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The receiving program has not accepted responsibility, so agreeing to a referral does not complete the transfer. Option B reassesses current needs, addresses the six-week gap, pursues alternatives, arranges reasonable interim care and crisis instructions, limits disclosure, and confirms when responsibility changes.</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Date-based closure trap. The clinic's final day does not prove that active needs, foreseeable risk, or continuity obligations have been responsibly addressed.</w:t>
      </w:r>
    </w:p>
    <w:p>
      <w:pPr>
        <w:keepLines/>
        <w:spacing w:after="100" w:line="283" w:lineRule="auto"/>
      </w:pPr>
      <w:r>
        <w:rPr>
          <w:rFonts w:ascii="Calibri" w:hAnsi="Calibri"/>
          <w:b/>
          <w:color w:val="1F3A5F"/>
          <w:sz w:val="21"/>
        </w:rPr>
        <w:t xml:space="preserve">B: </w:t>
      </w:r>
      <w:r>
        <w:rPr>
          <w:rFonts w:ascii="Calibri" w:hAnsi="Calibri"/>
          <w:color w:val="1E2D38"/>
          <w:sz w:val="21"/>
        </w:rPr>
        <w:t>Correct. It manages the gap explicitly and protects continuity until responsibility is actually established or another feasible plan is arranged.</w:t>
      </w:r>
    </w:p>
    <w:p>
      <w:pPr>
        <w:keepLines/>
        <w:spacing w:after="100" w:line="283" w:lineRule="auto"/>
      </w:pPr>
      <w:r>
        <w:rPr>
          <w:rFonts w:ascii="Calibri" w:hAnsi="Calibri"/>
          <w:b/>
          <w:color w:val="12385B"/>
          <w:sz w:val="21"/>
        </w:rPr>
        <w:t xml:space="preserve">C: </w:t>
      </w:r>
      <w:r>
        <w:rPr>
          <w:rFonts w:ascii="Calibri" w:hAnsi="Calibri"/>
          <w:color w:val="1E2D38"/>
          <w:sz w:val="21"/>
        </w:rPr>
        <w:t>Boundary-overreach trap. Continuity does not require indefinite personal availability outside the therapist's setting, role, policy, and competence.</w:t>
      </w:r>
    </w:p>
    <w:p>
      <w:pPr>
        <w:keepLines/>
        <w:spacing w:after="100" w:line="283" w:lineRule="auto"/>
      </w:pPr>
      <w:r>
        <w:rPr>
          <w:rFonts w:ascii="Calibri" w:hAnsi="Calibri"/>
          <w:b/>
          <w:color w:val="12385B"/>
          <w:sz w:val="21"/>
        </w:rPr>
        <w:t xml:space="preserve">D: </w:t>
      </w:r>
      <w:r>
        <w:rPr>
          <w:rFonts w:ascii="Calibri" w:hAnsi="Calibri"/>
          <w:color w:val="1E2D38"/>
          <w:sz w:val="21"/>
        </w:rPr>
        <w:t>Unauthorized-disclosure trap. Sending a full chart without permission does not compel acceptance and may violate confidentiality and minimum-necessary principles.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A referral is not a transfer until acceptance, timing, responsibility, and interim coverage are clear.</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Clarify who is responsible now, what gap remains, what alternatives and interim supports are feasible, what may be shared, and how acceptance will be confirmed.</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D6</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 / D4</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Maintain responsibility during an incomplete transition</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7</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Integrated Clinical Reasoning</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Difficult</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B</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R9</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Ch5 / STEPS</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Closure, notice, emergency coverage, authorization, records, transfer, organizational duties, and abandonment standards depend on current law, ethics, contracts, and setting policy.</w:t>
            </w:r>
          </w:p>
        </w:tc>
      </w:tr>
    </w:tbl>
    <w:p>
      <w:pPr>
        <w:spacing w:after="20"/>
      </w:pPr>
    </w:p>
    <w:p>
      <w:pPr>
        <w:pStyle w:val="Heading1"/>
      </w:pPr>
      <w:r>
        <w:t>Item 15 -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After substantial improvement, a therapist believes treatment may be ready to end. One family member agrees, another reports an important goal remains only partly met, and there is no acute safety concern. What should the therapist do?</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Terminate because the therapist's judgment controls when sufficient progress has occurred.</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Continue indefinitely because any disagreement means termination criteria cannot be considered.</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Review the agreed criteria, progress evidence, each participant's meaning, remaining needs, burdens, preferences, and alternatives; then collaboratively decide whether to continue, revise, taper, transfer, or terminate.</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Use the average outcome score as the sole criterion so individual perspectives do not delay closure.</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C</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C treats readiness to end as a collaborative evidence-based decision rather than a unilateral rule. It reviews criteria, progress, participant-specific meanings, remaining needs, burdens, preferences, and alternatives before selecting continuation, revision, taper, transfer, or termination.</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Therapist-control trap. Clinical judgment matters, but termination should incorporate agreed criteria, client participation, remaining needs, risk, and continuity.</w:t>
      </w:r>
    </w:p>
    <w:p>
      <w:pPr>
        <w:keepLines/>
        <w:spacing w:after="100" w:line="283" w:lineRule="auto"/>
      </w:pPr>
      <w:r>
        <w:rPr>
          <w:rFonts w:ascii="Calibri" w:hAnsi="Calibri"/>
          <w:b/>
          <w:color w:val="12385B"/>
          <w:sz w:val="21"/>
        </w:rPr>
        <w:t xml:space="preserve">B: </w:t>
      </w:r>
      <w:r>
        <w:rPr>
          <w:rFonts w:ascii="Calibri" w:hAnsi="Calibri"/>
          <w:color w:val="1E2D38"/>
          <w:sz w:val="21"/>
        </w:rPr>
        <w:t>Disagreement-means-indefinite-care trap. Different views call for assessment and shared decision-making, not treatment without a continuing indication.</w:t>
      </w:r>
    </w:p>
    <w:p>
      <w:pPr>
        <w:keepLines/>
        <w:spacing w:after="100" w:line="283" w:lineRule="auto"/>
      </w:pPr>
      <w:r>
        <w:rPr>
          <w:rFonts w:ascii="Calibri" w:hAnsi="Calibri"/>
          <w:b/>
          <w:color w:val="1F3A5F"/>
          <w:sz w:val="21"/>
        </w:rPr>
        <w:t xml:space="preserve">C: </w:t>
      </w:r>
      <w:r>
        <w:rPr>
          <w:rFonts w:ascii="Calibri" w:hAnsi="Calibri"/>
          <w:color w:val="1E2D38"/>
          <w:sz w:val="21"/>
        </w:rPr>
        <w:t>Correct. It integrates the agreed criteria, progress evidence, each participant's meaning, remaining needs, burden, preferences, and feasible options.</w:t>
      </w:r>
    </w:p>
    <w:p>
      <w:pPr>
        <w:keepLines/>
        <w:spacing w:after="100" w:line="283" w:lineRule="auto"/>
      </w:pPr>
      <w:r>
        <w:rPr>
          <w:rFonts w:ascii="Calibri" w:hAnsi="Calibri"/>
          <w:b/>
          <w:color w:val="12385B"/>
          <w:sz w:val="21"/>
        </w:rPr>
        <w:t xml:space="preserve">D: </w:t>
      </w:r>
      <w:r>
        <w:rPr>
          <w:rFonts w:ascii="Calibri" w:hAnsi="Calibri"/>
          <w:color w:val="1E2D38"/>
          <w:sz w:val="21"/>
        </w:rPr>
        <w:t>Average-score trap. A mean can conceal a partially unmet goal and cannot serve as the sole termination criterion.</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Termination questions reward collaborative criteria and participant-level evidence—not unilateral judgment, indefinite continuation, or one aggregate score.</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Use CLOSE: clarify indication and safety, link evidence to goals, outline gains and needs, strengthen supports, establish follow-up, and document the ending.</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D4</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Apply termination criteria collaboratively</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8</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Application</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C</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R10</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Ch6 / CLOSE</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16 -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A couple has met its goals and can independently interrupt a recurring escalation cycle. Which action BEST supports maintenance after termination?</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Introduce a new intensive intervention so the couple does not lose momentum before ending.</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Assure the couple that relapse is unlikely now that the outcome score has improved.</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Require permanent monthly sessions because maintenance cannot be client directed.</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Review gains and remaining vulnerabilities, identify early warning signs and specific responses, strengthen client-owned supports, and agree on proportionate follow-up and re-entry options.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D</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D consolidates change into a client-owned maintenance plan. It reviews gains and vulnerabilities, identifies early warning signs and responses, strengthens supports, and provides proportionate follow-up and re-entry options without creating unnecessary dependence.</w:t>
      </w:r>
    </w:p>
    <w:p>
      <w:pPr>
        <w:pStyle w:val="Heading2"/>
      </w:pPr>
      <w:r>
        <w:t>Option-by-Option Rationales</w:t>
      </w:r>
    </w:p>
    <w:p>
      <w:pPr>
        <w:keepLines/>
        <w:spacing w:after="100" w:line="283" w:lineRule="auto"/>
      </w:pPr>
      <w:r>
        <w:rPr>
          <w:rFonts w:ascii="Calibri" w:hAnsi="Calibri"/>
          <w:b/>
          <w:color w:val="12385B"/>
          <w:sz w:val="21"/>
        </w:rPr>
        <w:t xml:space="preserve">A: </w:t>
      </w:r>
      <w:r>
        <w:rPr>
          <w:rFonts w:ascii="Calibri" w:hAnsi="Calibri"/>
          <w:color w:val="1E2D38"/>
          <w:sz w:val="21"/>
        </w:rPr>
        <w:t>Intervention-creep trap. Adding intensive treatment after goals are met may increase burden and blur the rationale for ending.</w:t>
      </w:r>
    </w:p>
    <w:p>
      <w:pPr>
        <w:keepLines/>
        <w:spacing w:after="100" w:line="283" w:lineRule="auto"/>
      </w:pPr>
      <w:r>
        <w:rPr>
          <w:rFonts w:ascii="Calibri" w:hAnsi="Calibri"/>
          <w:b/>
          <w:color w:val="12385B"/>
          <w:sz w:val="21"/>
        </w:rPr>
        <w:t xml:space="preserve">B: </w:t>
      </w:r>
      <w:r>
        <w:rPr>
          <w:rFonts w:ascii="Calibri" w:hAnsi="Calibri"/>
          <w:color w:val="1E2D38"/>
          <w:sz w:val="21"/>
        </w:rPr>
        <w:t>False-reassurance trap. Improvement does not make relapse impossible; maintenance planning prepares the couple to respond early and effectively.</w:t>
      </w:r>
    </w:p>
    <w:p>
      <w:pPr>
        <w:keepLines/>
        <w:spacing w:after="100" w:line="283" w:lineRule="auto"/>
      </w:pPr>
      <w:r>
        <w:rPr>
          <w:rFonts w:ascii="Calibri" w:hAnsi="Calibri"/>
          <w:b/>
          <w:color w:val="12385B"/>
          <w:sz w:val="21"/>
        </w:rPr>
        <w:t xml:space="preserve">C: </w:t>
      </w:r>
      <w:r>
        <w:rPr>
          <w:rFonts w:ascii="Calibri" w:hAnsi="Calibri"/>
          <w:color w:val="1E2D38"/>
          <w:sz w:val="21"/>
        </w:rPr>
        <w:t>Dependence trap. Permanent sessions are not required when the couple can use skills independently and has appropriate follow-up and re-entry options.</w:t>
      </w:r>
    </w:p>
    <w:p>
      <w:pPr>
        <w:keepLines/>
        <w:spacing w:after="100" w:line="283" w:lineRule="auto"/>
      </w:pPr>
      <w:r>
        <w:rPr>
          <w:rFonts w:ascii="Calibri" w:hAnsi="Calibri"/>
          <w:b/>
          <w:color w:val="1F3A5F"/>
          <w:sz w:val="21"/>
        </w:rPr>
        <w:t xml:space="preserve">D: </w:t>
      </w:r>
      <w:r>
        <w:rPr>
          <w:rFonts w:ascii="Calibri" w:hAnsi="Calibri"/>
          <w:color w:val="1E2D38"/>
          <w:sz w:val="21"/>
        </w:rPr>
        <w:t>Correct. It translates gains into early-warning, response, support, follow-up, and re-entry plans owned by the couple.</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For maintenance items, choose a specific client-owned warning-sign and response plan with proportionate follow-up and re-entry.</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Name gains, vulnerabilities, early signs, first responses, supports, follow-up conditions, re-entry pathways, and how the plan will be documented.</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D4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Develop a maintenance, relapse, and follow-up plan</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8</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Application</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Easy</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D</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R10</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Ch6 / CLOSE</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p>
      <w:pPr>
        <w:pStyle w:val="Heading1"/>
      </w:pPr>
      <w:r>
        <w:t>Item 17 - Controlled Rationale</w:t>
      </w:r>
    </w:p>
    <w:p>
      <w:pPr>
        <w:keepNext/>
        <w:keepLines/>
        <w:spacing w:after="100" w:line="283" w:lineRule="auto"/>
      </w:pPr>
      <w:r>
        <w:rPr>
          <w:rFonts w:ascii="Calibri" w:hAnsi="Calibri"/>
          <w:b/>
          <w:color w:val="12385B"/>
          <w:sz w:val="21"/>
        </w:rPr>
        <w:t xml:space="preserve">Stem: </w:t>
      </w:r>
      <w:r>
        <w:rPr>
          <w:rFonts w:ascii="Calibri" w:hAnsi="Calibri"/>
          <w:color w:val="1E2D38"/>
          <w:sz w:val="21"/>
        </w:rPr>
        <w:t>Under agency policy, three missed appointments trigger administrative closure. A client with ongoing needs misses three sessions after a work-schedule change and leaves a message asking whether treatment can continue. What should the therapist do NEXT?</w:t>
      </w:r>
    </w:p>
    <w:p>
      <w:pPr>
        <w:keepNext/>
        <w:keepLines/>
        <w:spacing w:after="80" w:line="283" w:lineRule="auto"/>
        <w:ind w:left="360" w:hanging="360"/>
      </w:pPr>
      <w:r>
        <w:rPr>
          <w:rFonts w:ascii="Calibri" w:hAnsi="Calibri"/>
          <w:b/>
          <w:color w:val="12385B"/>
          <w:sz w:val="21"/>
        </w:rPr>
        <w:t xml:space="preserve">A. </w:t>
      </w:r>
      <w:r>
        <w:rPr>
          <w:rFonts w:ascii="Calibri" w:hAnsi="Calibri"/>
          <w:color w:val="1E2D38"/>
          <w:sz w:val="21"/>
        </w:rPr>
        <w:t>Respond proportionately, assess current needs and any safety concerns, clarify the client's wishes and access barrier, explain policy and feasible options, arrange continuation or a consented transition when possible, and document outreach and disposition.</w:t>
      </w:r>
    </w:p>
    <w:p>
      <w:pPr>
        <w:keepNext/>
        <w:keepLines/>
        <w:spacing w:after="80" w:line="283" w:lineRule="auto"/>
        <w:ind w:left="360" w:hanging="360"/>
      </w:pPr>
      <w:r>
        <w:rPr>
          <w:rFonts w:ascii="Calibri" w:hAnsi="Calibri"/>
          <w:b/>
          <w:color w:val="12385B"/>
          <w:sz w:val="21"/>
        </w:rPr>
        <w:t xml:space="preserve">B. </w:t>
      </w:r>
      <w:r>
        <w:rPr>
          <w:rFonts w:ascii="Calibri" w:hAnsi="Calibri"/>
          <w:color w:val="1E2D38"/>
          <w:sz w:val="21"/>
        </w:rPr>
        <w:t>Close the record automatically because attendance policy replaces the need for a clinical termination process.</w:t>
      </w:r>
    </w:p>
    <w:p>
      <w:pPr>
        <w:keepNext/>
        <w:keepLines/>
        <w:spacing w:after="80" w:line="283" w:lineRule="auto"/>
        <w:ind w:left="360" w:hanging="360"/>
      </w:pPr>
      <w:r>
        <w:rPr>
          <w:rFonts w:ascii="Calibri" w:hAnsi="Calibri"/>
          <w:b/>
          <w:color w:val="12385B"/>
          <w:sz w:val="21"/>
        </w:rPr>
        <w:t xml:space="preserve">C. </w:t>
      </w:r>
      <w:r>
        <w:rPr>
          <w:rFonts w:ascii="Calibri" w:hAnsi="Calibri"/>
          <w:color w:val="1E2D38"/>
          <w:sz w:val="21"/>
        </w:rPr>
        <w:t>Require the client to restart the entire intake process before the therapist discusses current risk or continuity.</w:t>
      </w:r>
    </w:p>
    <w:p>
      <w:pPr>
        <w:keepNext/>
        <w:keepLines/>
        <w:spacing w:after="80" w:line="283" w:lineRule="auto"/>
        <w:ind w:left="360" w:hanging="360"/>
      </w:pPr>
      <w:r>
        <w:rPr>
          <w:rFonts w:ascii="Calibri" w:hAnsi="Calibri"/>
          <w:b/>
          <w:color w:val="12385B"/>
          <w:sz w:val="21"/>
        </w:rPr>
        <w:t xml:space="preserve">D. </w:t>
      </w:r>
      <w:r>
        <w:rPr>
          <w:rFonts w:ascii="Calibri" w:hAnsi="Calibri"/>
          <w:color w:val="1E2D38"/>
          <w:sz w:val="21"/>
        </w:rPr>
        <w:t>Send an unrequested full record to another agency so the therapist can document that a transfer was attempted.</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F3A5F"/>
                <w:sz w:val="20"/>
              </w:rPr>
              <w:t xml:space="preserve">CORRECT ANSWER:  </w:t>
            </w:r>
            <w:r>
              <w:rPr>
                <w:rFonts w:ascii="Calibri" w:hAnsi="Calibri"/>
                <w:color w:val="1E2D38"/>
                <w:sz w:val="20"/>
              </w:rPr>
              <w:t>A</w:t>
            </w:r>
          </w:p>
        </w:tc>
      </w:tr>
    </w:tbl>
    <w:p>
      <w:pPr>
        <w:spacing w:after="20"/>
      </w:pPr>
    </w:p>
    <w:p>
      <w:pPr>
        <w:keepLines w:val="0"/>
        <w:spacing w:after="100" w:line="283" w:lineRule="auto"/>
      </w:pPr>
      <w:r>
        <w:rPr>
          <w:rFonts w:ascii="Calibri" w:hAnsi="Calibri"/>
          <w:b/>
          <w:color w:val="12385B"/>
          <w:sz w:val="21"/>
        </w:rPr>
        <w:t xml:space="preserve">Why the keyed option is best: </w:t>
      </w:r>
      <w:r>
        <w:rPr>
          <w:rFonts w:ascii="Calibri" w:hAnsi="Calibri"/>
          <w:color w:val="1E2D38"/>
          <w:sz w:val="21"/>
        </w:rPr>
        <w:t>Option A recognizes that an administrative trigger does not eliminate clinical responsibility. It responds to the client, reassesses current need and safety, addresses the access barrier, explains policy and feasible options, supports continuation or transition, and documents the outcome.</w:t>
      </w:r>
    </w:p>
    <w:p>
      <w:pPr>
        <w:pStyle w:val="Heading2"/>
      </w:pPr>
      <w:r>
        <w:t>Option-by-Option Rationales</w:t>
      </w:r>
    </w:p>
    <w:p>
      <w:pPr>
        <w:keepLines/>
        <w:spacing w:after="100" w:line="283" w:lineRule="auto"/>
      </w:pPr>
      <w:r>
        <w:rPr>
          <w:rFonts w:ascii="Calibri" w:hAnsi="Calibri"/>
          <w:b/>
          <w:color w:val="1F3A5F"/>
          <w:sz w:val="21"/>
        </w:rPr>
        <w:t xml:space="preserve">A: </w:t>
      </w:r>
      <w:r>
        <w:rPr>
          <w:rFonts w:ascii="Calibri" w:hAnsi="Calibri"/>
          <w:color w:val="1E2D38"/>
          <w:sz w:val="21"/>
        </w:rPr>
        <w:t>Correct. It applies policy proportionately while preserving assessment, informed participation, access review, continuity, and documentation.</w:t>
      </w:r>
    </w:p>
    <w:p>
      <w:pPr>
        <w:keepLines/>
        <w:spacing w:after="100" w:line="283" w:lineRule="auto"/>
      </w:pPr>
      <w:r>
        <w:rPr>
          <w:rFonts w:ascii="Calibri" w:hAnsi="Calibri"/>
          <w:b/>
          <w:color w:val="12385B"/>
          <w:sz w:val="21"/>
        </w:rPr>
        <w:t xml:space="preserve">B: </w:t>
      </w:r>
      <w:r>
        <w:rPr>
          <w:rFonts w:ascii="Calibri" w:hAnsi="Calibri"/>
          <w:color w:val="1E2D38"/>
          <w:sz w:val="21"/>
        </w:rPr>
        <w:t>Policy-replaces-judgment trap. Administrative rules do not by themselves complete a clinically responsible termination or resolve foreseeable continuity concerns.</w:t>
      </w:r>
    </w:p>
    <w:p>
      <w:pPr>
        <w:keepLines/>
        <w:spacing w:after="100" w:line="283" w:lineRule="auto"/>
      </w:pPr>
      <w:r>
        <w:rPr>
          <w:rFonts w:ascii="Calibri" w:hAnsi="Calibri"/>
          <w:b/>
          <w:color w:val="12385B"/>
          <w:sz w:val="21"/>
        </w:rPr>
        <w:t xml:space="preserve">C: </w:t>
      </w:r>
      <w:r>
        <w:rPr>
          <w:rFonts w:ascii="Calibri" w:hAnsi="Calibri"/>
          <w:color w:val="1E2D38"/>
          <w:sz w:val="21"/>
        </w:rPr>
        <w:t>Barrier-escalation trap. Requiring a full restart before discussing current need or risk delays clinically relevant response and may worsen the access problem.</w:t>
      </w:r>
    </w:p>
    <w:p>
      <w:pPr>
        <w:keepLines/>
        <w:spacing w:after="100" w:line="283" w:lineRule="auto"/>
      </w:pPr>
      <w:r>
        <w:rPr>
          <w:rFonts w:ascii="Calibri" w:hAnsi="Calibri"/>
          <w:b/>
          <w:color w:val="12385B"/>
          <w:sz w:val="21"/>
        </w:rPr>
        <w:t xml:space="preserve">D: </w:t>
      </w:r>
      <w:r>
        <w:rPr>
          <w:rFonts w:ascii="Calibri" w:hAnsi="Calibri"/>
          <w:color w:val="1E2D38"/>
          <w:sz w:val="21"/>
        </w:rPr>
        <w:t>Unauthorized-transfer trap. Sending an unrequested full record neither creates a valid transfer nor respects consent and minimum-necessary information.</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CTA EXAM STRATEGY:  </w:t>
            </w:r>
            <w:r>
              <w:rPr>
                <w:rFonts w:ascii="Calibri" w:hAnsi="Calibri"/>
                <w:color w:val="1E2D38"/>
                <w:sz w:val="20"/>
              </w:rPr>
              <w:t>When policy triggers closure, look for a proportionate clinical response that assesses need, addresses barriers, explains options, preserves continuity, and documents disposition.</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TRANSFERABLE REPAIR RULE:  </w:t>
            </w:r>
            <w:r>
              <w:rPr>
                <w:rFonts w:ascii="Calibri" w:hAnsi="Calibri"/>
                <w:color w:val="1E2D38"/>
                <w:sz w:val="20"/>
              </w:rPr>
              <w:t>Respond, reassess need and safety, clarify wishes and barriers, explain policy and options, arrange continuation or consented transition, and document outreach and outcome.</w:t>
            </w:r>
          </w:p>
        </w:tc>
      </w:tr>
    </w:tbl>
    <w:p>
      <w:pPr>
        <w:spacing w:after="20"/>
      </w:pPr>
    </w:p>
    <w:p>
      <w:pPr>
        <w:pStyle w:val="Heading2"/>
      </w:pPr>
      <w:r>
        <w:t>Controlled Metadata</w:t>
      </w:r>
    </w:p>
    <w:tbl>
      <w:tblPr>
        <w:tblW w:type="dxa" w:w="9360"/>
        <w:jc w:val="center"/>
        <w:tblLayout w:type="fixed"/>
        <w:tblLook w:firstColumn="1" w:firstRow="1" w:lastColumn="0" w:lastRow="0" w:noHBand="0" w:noVBand="1" w:val="04A0"/>
        <w:tblInd w:w="0" w:type="dxa"/>
      </w:tblPr>
      <w:tblGrid>
        <w:gridCol w:w="1750"/>
        <w:gridCol w:w="2930"/>
        <w:gridCol w:w="1750"/>
        <w:gridCol w:w="2930"/>
      </w:tblGrid>
      <w:tr>
        <w:trPr>
          <w:tblHeader w:val="true"/>
          <w:cantSplit/>
        </w:trPr>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c>
          <w:tcPr>
            <w:tcW w:type="dxa" w:w="1750"/>
            <w:shd w:fill="12385B"/>
            <w:tcMar>
              <w:top w:w="80" w:type="dxa"/>
              <w:start w:w="120" w:type="dxa"/>
              <w:bottom w:w="80" w:type="dxa"/>
              <w:end w:w="120" w:type="dxa"/>
            </w:tcMar>
            <w:vAlign w:val="center"/>
          </w:tcPr>
          <w:p>
            <w:pPr>
              <w:spacing w:after="0"/>
              <w:jc w:val="center"/>
            </w:pPr>
            <w:r/>
            <w:r>
              <w:rPr>
                <w:rFonts w:ascii="Calibri" w:hAnsi="Calibri"/>
                <w:b/>
                <w:color w:val="FFFFFF"/>
                <w:sz w:val="18"/>
              </w:rPr>
              <w:t>Field</w:t>
            </w:r>
          </w:p>
        </w:tc>
        <w:tc>
          <w:tcPr>
            <w:tcW w:type="dxa" w:w="2930"/>
            <w:shd w:fill="12385B"/>
            <w:tcMar>
              <w:top w:w="80" w:type="dxa"/>
              <w:start w:w="120" w:type="dxa"/>
              <w:bottom w:w="80" w:type="dxa"/>
              <w:end w:w="120" w:type="dxa"/>
            </w:tcMar>
            <w:vAlign w:val="center"/>
          </w:tcPr>
          <w:p>
            <w:pPr>
              <w:spacing w:after="0"/>
              <w:jc w:val="center"/>
            </w:pPr>
            <w:r/>
            <w:r>
              <w:rPr>
                <w:rFonts w:ascii="Calibri" w:hAnsi="Calibri"/>
                <w:b/>
                <w:color w:val="FFFFFF"/>
                <w:sz w:val="18"/>
              </w:rPr>
              <w:t>Value</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Primary domain</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D4</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Secondary alignment</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D3 / D6</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Blueprint task</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Respond to premature or administrative ending</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Workbook objective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7 and 8</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Item type</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Scenario-Based</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Difficulty</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Moderate</w:t>
            </w:r>
          </w:p>
        </w:tc>
      </w:tr>
      <w:tr>
        <w:trPr>
          <w:cantSplit/>
        </w:trPr>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Key position</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A</w:t>
            </w:r>
          </w:p>
        </w:tc>
        <w:tc>
          <w:tcPr>
            <w:tcW w:type="dxa" w:w="1750"/>
            <w:tcMar>
              <w:top w:w="80" w:type="dxa"/>
              <w:start w:w="120" w:type="dxa"/>
              <w:bottom w:w="80" w:type="dxa"/>
              <w:end w:w="120" w:type="dxa"/>
            </w:tcMar>
            <w:vAlign w:val="center"/>
            <w:shd w:fill="F8FAFC"/>
          </w:tcPr>
          <w:p>
            <w:pPr>
              <w:spacing w:after="0" w:line="259" w:lineRule="auto"/>
            </w:pPr>
            <w:r/>
            <w:r>
              <w:rPr>
                <w:rFonts w:ascii="Calibri" w:hAnsi="Calibri"/>
                <w:color w:val="1E2D38"/>
                <w:sz w:val="17"/>
              </w:rPr>
              <w:t>Remediation code</w:t>
            </w:r>
          </w:p>
        </w:tc>
        <w:tc>
          <w:tcPr>
            <w:tcW w:type="dxa" w:w="2930"/>
            <w:tcMar>
              <w:top w:w="80" w:type="dxa"/>
              <w:start w:w="120" w:type="dxa"/>
              <w:bottom w:w="80" w:type="dxa"/>
              <w:end w:w="120" w:type="dxa"/>
            </w:tcMar>
            <w:vAlign w:val="center"/>
            <w:shd w:fill="F8FAFC"/>
          </w:tcPr>
          <w:p>
            <w:pPr>
              <w:spacing w:after="0" w:line="259" w:lineRule="auto"/>
            </w:pPr>
            <w:r/>
            <w:r>
              <w:rPr>
                <w:rFonts w:ascii="Calibri" w:hAnsi="Calibri"/>
                <w:color w:val="1E2D38"/>
                <w:sz w:val="17"/>
              </w:rPr>
              <w:t>R9</w:t>
            </w:r>
          </w:p>
        </w:tc>
      </w:tr>
      <w:tr>
        <w:trPr>
          <w:cantSplit/>
        </w:trPr>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Chapter / tool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Ch6 / CLOSE</w:t>
            </w:r>
          </w:p>
        </w:tc>
        <w:tc>
          <w:tcPr>
            <w:tcW w:type="dxa" w:w="1750"/>
            <w:tcMar>
              <w:top w:w="80" w:type="dxa"/>
              <w:start w:w="120" w:type="dxa"/>
              <w:bottom w:w="80" w:type="dxa"/>
              <w:end w:w="120" w:type="dxa"/>
            </w:tcMar>
            <w:vAlign w:val="center"/>
          </w:tcPr>
          <w:p>
            <w:pPr>
              <w:spacing w:after="0" w:line="259" w:lineRule="auto"/>
            </w:pPr>
            <w:r/>
            <w:r>
              <w:rPr>
                <w:rFonts w:ascii="Calibri" w:hAnsi="Calibri"/>
                <w:color w:val="1E2D38"/>
                <w:sz w:val="17"/>
              </w:rPr>
              <w:t>Source control</w:t>
            </w:r>
          </w:p>
        </w:tc>
        <w:tc>
          <w:tcPr>
            <w:tcW w:type="dxa" w:w="2930"/>
            <w:tcMar>
              <w:top w:w="80" w:type="dxa"/>
              <w:start w:w="120" w:type="dxa"/>
              <w:bottom w:w="80" w:type="dxa"/>
              <w:end w:w="120" w:type="dxa"/>
            </w:tcMar>
            <w:vAlign w:val="center"/>
          </w:tcPr>
          <w:p>
            <w:pPr>
              <w:spacing w:after="0" w:line="259" w:lineRule="auto"/>
            </w:pPr>
            <w:r/>
            <w:r>
              <w:rPr>
                <w:rFonts w:ascii="Calibri" w:hAnsi="Calibri"/>
                <w:color w:val="1E2D38"/>
                <w:sz w:val="17"/>
              </w:rPr>
              <w:t>Candidate Bank v1.0</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7A5A00"/>
                <w:sz w:val="20"/>
              </w:rPr>
              <w:t xml:space="preserve">CURRENCY NOTE:  </w:t>
            </w:r>
            <w:r>
              <w:rPr>
                <w:rFonts w:ascii="Calibri" w:hAnsi="Calibri"/>
                <w:color w:val="1E2D38"/>
                <w:sz w:val="20"/>
              </w:rPr>
              <w:t>Administrative closure, attendance, notice, accessibility, fees, emergency coverage, records, consent, and nonabandonment must follow current law, ethics, contracts, and agency policy.</w:t>
            </w:r>
          </w:p>
        </w:tc>
      </w:tr>
    </w:tbl>
    <w:p>
      <w:pPr>
        <w:spacing w:after="20"/>
      </w:pPr>
    </w:p>
    <w:p>
      <w:pPr>
        <w:pStyle w:val="Heading1"/>
      </w:pPr>
      <w:r>
        <w:t>Controlled Remediation Supports</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REVIEW SEQUENCE:  </w:t>
            </w:r>
            <w:r>
              <w:rPr>
                <w:rFonts w:ascii="Calibri" w:hAnsi="Calibri"/>
                <w:color w:val="1E2D38"/>
                <w:sz w:val="20"/>
              </w:rPr>
              <w:t>Use the reasoning-error profile, domain review, and low-confidence worksheet together. Remediate the decision rule—not only the item—and document the evidence that supports a retake.</w:t>
            </w:r>
          </w:p>
        </w:tc>
      </w:tr>
    </w:tbl>
    <w:p>
      <w:pPr>
        <w:spacing w:after="20"/>
      </w:pPr>
    </w:p>
    <w:p>
      <w:pPr>
        <w:pStyle w:val="Heading2"/>
        <w:pageBreakBefore/>
      </w:pPr>
      <w:r>
        <w:t>Reasoning-Error Code Profile</w:t>
      </w:r>
    </w:p>
    <w:tbl>
      <w:tblPr>
        <w:tblW w:type="dxa" w:w="9360"/>
        <w:jc w:val="center"/>
        <w:tblLayout w:type="fixed"/>
        <w:tblLook w:firstColumn="1" w:firstRow="1" w:lastColumn="0" w:lastRow="0" w:noHBand="0" w:noVBand="1" w:val="04A0"/>
        <w:tblInd w:w="0" w:type="dxa"/>
      </w:tblPr>
      <w:tblGrid>
        <w:gridCol w:w="720"/>
        <w:gridCol w:w="2300"/>
        <w:gridCol w:w="1200"/>
        <w:gridCol w:w="5140"/>
      </w:tblGrid>
      <w:tr>
        <w:trPr>
          <w:tblHeader w:val="true"/>
          <w:cantSplit/>
        </w:trPr>
        <w:tc>
          <w:tcPr>
            <w:tcW w:type="dxa" w:w="720"/>
            <w:shd w:fill="12385B"/>
            <w:tcMar>
              <w:top w:w="80" w:type="dxa"/>
              <w:start w:w="120" w:type="dxa"/>
              <w:bottom w:w="80" w:type="dxa"/>
              <w:end w:w="120" w:type="dxa"/>
            </w:tcMar>
            <w:vAlign w:val="center"/>
          </w:tcPr>
          <w:p>
            <w:pPr>
              <w:spacing w:after="0"/>
              <w:jc w:val="center"/>
            </w:pPr>
            <w:r/>
            <w:r>
              <w:rPr>
                <w:rFonts w:ascii="Calibri" w:hAnsi="Calibri"/>
                <w:b/>
                <w:color w:val="FFFFFF"/>
                <w:sz w:val="18"/>
              </w:rPr>
              <w:t>Code</w:t>
            </w:r>
          </w:p>
        </w:tc>
        <w:tc>
          <w:tcPr>
            <w:tcW w:type="dxa" w:w="2300"/>
            <w:shd w:fill="12385B"/>
            <w:tcMar>
              <w:top w:w="80" w:type="dxa"/>
              <w:start w:w="120" w:type="dxa"/>
              <w:bottom w:w="80" w:type="dxa"/>
              <w:end w:w="120" w:type="dxa"/>
            </w:tcMar>
            <w:vAlign w:val="center"/>
          </w:tcPr>
          <w:p>
            <w:pPr>
              <w:spacing w:after="0"/>
              <w:jc w:val="left"/>
            </w:pPr>
            <w:r/>
            <w:r>
              <w:rPr>
                <w:rFonts w:ascii="Calibri" w:hAnsi="Calibri"/>
                <w:b/>
                <w:color w:val="FFFFFF"/>
                <w:sz w:val="18"/>
              </w:rPr>
              <w:t>Reasoning pattern</w:t>
            </w:r>
          </w:p>
        </w:tc>
        <w:tc>
          <w:tcPr>
            <w:tcW w:type="dxa" w:w="1200"/>
            <w:shd w:fill="12385B"/>
            <w:tcMar>
              <w:top w:w="80" w:type="dxa"/>
              <w:start w:w="120" w:type="dxa"/>
              <w:bottom w:w="80" w:type="dxa"/>
              <w:end w:w="120" w:type="dxa"/>
            </w:tcMar>
            <w:vAlign w:val="center"/>
          </w:tcPr>
          <w:p>
            <w:pPr>
              <w:spacing w:after="0"/>
              <w:jc w:val="center"/>
            </w:pPr>
            <w:r/>
            <w:r>
              <w:rPr>
                <w:rFonts w:ascii="Calibri" w:hAnsi="Calibri"/>
                <w:b/>
                <w:color w:val="FFFFFF"/>
                <w:sz w:val="18"/>
              </w:rPr>
              <w:t>Bank items</w:t>
            </w:r>
          </w:p>
        </w:tc>
        <w:tc>
          <w:tcPr>
            <w:tcW w:type="dxa" w:w="5140"/>
            <w:shd w:fill="12385B"/>
            <w:tcMar>
              <w:top w:w="80" w:type="dxa"/>
              <w:start w:w="120" w:type="dxa"/>
              <w:bottom w:w="80" w:type="dxa"/>
              <w:end w:w="120" w:type="dxa"/>
            </w:tcMar>
            <w:vAlign w:val="center"/>
          </w:tcPr>
          <w:p>
            <w:pPr>
              <w:spacing w:after="0"/>
              <w:jc w:val="center"/>
            </w:pPr>
            <w:r/>
            <w:r>
              <w:rPr>
                <w:rFonts w:ascii="Calibri" w:hAnsi="Calibri"/>
                <w:b/>
                <w:color w:val="FFFFFF"/>
                <w:sz w:val="18"/>
              </w:rPr>
              <w:t>Repair action</w:t>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t>R1</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Vague goal / no baseline</w:t>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t>1</w:t>
            </w:r>
          </w:p>
        </w:tc>
        <w:tc>
          <w:tcPr>
            <w:tcW w:type="dxa" w:w="5140"/>
            <w:tcMar>
              <w:top w:w="80" w:type="dxa"/>
              <w:start w:w="120" w:type="dxa"/>
              <w:bottom w:w="80" w:type="dxa"/>
              <w:end w:w="120" w:type="dxa"/>
            </w:tcMar>
            <w:vAlign w:val="center"/>
          </w:tcPr>
          <w:p>
            <w:pPr>
              <w:spacing w:after="0" w:line="259" w:lineRule="auto"/>
            </w:pPr>
            <w:r/>
            <w:r>
              <w:rPr>
                <w:rFonts w:ascii="Calibri" w:hAnsi="Calibri"/>
                <w:color w:val="1E2D38"/>
                <w:sz w:val="16"/>
              </w:rPr>
              <w:t>Define the client-system target, observable indicators, baseline, timeframe, and review decision before judging progress.</w:t>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t>R2</w:t>
            </w:r>
          </w:p>
        </w:tc>
        <w:tc>
          <w:tcPr>
            <w:tcW w:type="dxa" w:w="2300"/>
            <w:tcMar>
              <w:top w:w="80" w:type="dxa"/>
              <w:start w:w="120" w:type="dxa"/>
              <w:bottom w:w="80" w:type="dxa"/>
              <w:end w:w="120" w:type="dxa"/>
            </w:tcMar>
            <w:vAlign w:val="center"/>
            <w:shd w:fill="F8FAFC"/>
          </w:tcPr>
          <w:p>
            <w:pPr>
              <w:spacing w:after="0" w:line="259" w:lineRule="auto"/>
            </w:pPr>
            <w:r/>
            <w:r>
              <w:rPr>
                <w:rFonts w:ascii="Calibri" w:hAnsi="Calibri"/>
                <w:color w:val="1E2D38"/>
                <w:sz w:val="16"/>
              </w:rPr>
              <w:t>Single-score or therapist-impression trap</w:t>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t>2, 8</w:t>
            </w:r>
          </w:p>
        </w:tc>
        <w:tc>
          <w:tcPr>
            <w:tcW w:type="dxa" w:w="5140"/>
            <w:tcMar>
              <w:top w:w="80" w:type="dxa"/>
              <w:start w:w="120" w:type="dxa"/>
              <w:bottom w:w="80" w:type="dxa"/>
              <w:end w:w="120" w:type="dxa"/>
            </w:tcMar>
            <w:vAlign w:val="center"/>
            <w:shd w:fill="F8FAFC"/>
          </w:tcPr>
          <w:p>
            <w:pPr>
              <w:spacing w:after="0" w:line="259" w:lineRule="auto"/>
            </w:pPr>
            <w:r/>
            <w:r>
              <w:rPr>
                <w:rFonts w:ascii="Calibri" w:hAnsi="Calibri"/>
                <w:color w:val="1E2D38"/>
                <w:sz w:val="16"/>
              </w:rPr>
              <w:t>Integrate repeated outcomes, alliance, function, safety, behavior, context, and client meaning rather than treating one source as self-interpreting.</w:t>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t>R3</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Alliance or dropout signal ignored</w:t>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t>3</w:t>
            </w:r>
          </w:p>
        </w:tc>
        <w:tc>
          <w:tcPr>
            <w:tcW w:type="dxa" w:w="5140"/>
            <w:tcMar>
              <w:top w:w="80" w:type="dxa"/>
              <w:start w:w="120" w:type="dxa"/>
              <w:bottom w:w="80" w:type="dxa"/>
              <w:end w:w="120" w:type="dxa"/>
            </w:tcMar>
            <w:vAlign w:val="center"/>
          </w:tcPr>
          <w:p>
            <w:pPr>
              <w:spacing w:after="0" w:line="259" w:lineRule="auto"/>
            </w:pPr>
            <w:r/>
            <w:r>
              <w:rPr>
                <w:rFonts w:ascii="Calibri" w:hAnsi="Calibri"/>
                <w:color w:val="1E2D38"/>
                <w:sz w:val="16"/>
              </w:rPr>
              <w:t>Invite each participant's feedback, assess rupture and power, address access or participation barriers, and repair collaboratively.</w:t>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t>R4</w:t>
            </w:r>
          </w:p>
        </w:tc>
        <w:tc>
          <w:tcPr>
            <w:tcW w:type="dxa" w:w="2300"/>
            <w:tcMar>
              <w:top w:w="80" w:type="dxa"/>
              <w:start w:w="120" w:type="dxa"/>
              <w:bottom w:w="80" w:type="dxa"/>
              <w:end w:w="120" w:type="dxa"/>
            </w:tcMar>
            <w:vAlign w:val="center"/>
            <w:shd w:fill="F8FAFC"/>
          </w:tcPr>
          <w:p>
            <w:pPr>
              <w:spacing w:after="0" w:line="259" w:lineRule="auto"/>
            </w:pPr>
            <w:r/>
            <w:r>
              <w:rPr>
                <w:rFonts w:ascii="Calibri" w:hAnsi="Calibri"/>
                <w:color w:val="1E2D38"/>
                <w:sz w:val="16"/>
              </w:rPr>
              <w:t>Research hierarchy or overgeneralization error</w:t>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t>4, 5</w:t>
            </w:r>
          </w:p>
        </w:tc>
        <w:tc>
          <w:tcPr>
            <w:tcW w:type="dxa" w:w="5140"/>
            <w:tcMar>
              <w:top w:w="80" w:type="dxa"/>
              <w:start w:w="120" w:type="dxa"/>
              <w:bottom w:w="80" w:type="dxa"/>
              <w:end w:w="120" w:type="dxa"/>
            </w:tcMar>
            <w:vAlign w:val="center"/>
            <w:shd w:fill="F8FAFC"/>
          </w:tcPr>
          <w:p>
            <w:pPr>
              <w:spacing w:after="0" w:line="259" w:lineRule="auto"/>
            </w:pPr>
            <w:r/>
            <w:r>
              <w:rPr>
                <w:rFonts w:ascii="Calibri" w:hAnsi="Calibri"/>
                <w:color w:val="1E2D38"/>
                <w:sz w:val="16"/>
              </w:rPr>
              <w:t>Frame the decision question; appraise design, bias, effects, harms, limits, culture, feasibility, and fit before applying evidence.</w:t>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t>R5</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Statistical or trend overclaim</w:t>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t>6, 7</w:t>
            </w:r>
          </w:p>
        </w:tc>
        <w:tc>
          <w:tcPr>
            <w:tcW w:type="dxa" w:w="5140"/>
            <w:tcMar>
              <w:top w:w="80" w:type="dxa"/>
              <w:start w:w="120" w:type="dxa"/>
              <w:bottom w:w="80" w:type="dxa"/>
              <w:end w:w="120" w:type="dxa"/>
            </w:tcMar>
            <w:vAlign w:val="center"/>
          </w:tcPr>
          <w:p>
            <w:pPr>
              <w:spacing w:after="0" w:line="259" w:lineRule="auto"/>
            </w:pPr>
            <w:r/>
            <w:r>
              <w:rPr>
                <w:rFonts w:ascii="Calibri" w:hAnsi="Calibri"/>
                <w:color w:val="1E2D38"/>
                <w:sz w:val="16"/>
              </w:rPr>
              <w:t>Separate statistical from clinical meaning and investigate variation, missingness, measure limits, function, and client meaning.</w:t>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t>R6</w:t>
            </w:r>
          </w:p>
        </w:tc>
        <w:tc>
          <w:tcPr>
            <w:tcW w:type="dxa" w:w="2300"/>
            <w:tcMar>
              <w:top w:w="80" w:type="dxa"/>
              <w:start w:w="120" w:type="dxa"/>
              <w:bottom w:w="80" w:type="dxa"/>
              <w:end w:w="120" w:type="dxa"/>
            </w:tcMar>
            <w:vAlign w:val="center"/>
            <w:shd w:fill="F8FAFC"/>
          </w:tcPr>
          <w:p>
            <w:pPr>
              <w:spacing w:after="0" w:line="259" w:lineRule="auto"/>
            </w:pPr>
            <w:r/>
            <w:r>
              <w:rPr>
                <w:rFonts w:ascii="Calibri" w:hAnsi="Calibri"/>
                <w:color w:val="1E2D38"/>
                <w:sz w:val="16"/>
              </w:rPr>
              <w:t>Safety or deterioration signal subordinated</w:t>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t>9</w:t>
            </w:r>
          </w:p>
        </w:tc>
        <w:tc>
          <w:tcPr>
            <w:tcW w:type="dxa" w:w="5140"/>
            <w:tcMar>
              <w:top w:w="80" w:type="dxa"/>
              <w:start w:w="120" w:type="dxa"/>
              <w:bottom w:w="80" w:type="dxa"/>
              <w:end w:w="120" w:type="dxa"/>
            </w:tcMar>
            <w:vAlign w:val="center"/>
            <w:shd w:fill="F8FAFC"/>
          </w:tcPr>
          <w:p>
            <w:pPr>
              <w:spacing w:after="0" w:line="259" w:lineRule="auto"/>
            </w:pPr>
            <w:r/>
            <w:r>
              <w:rPr>
                <w:rFonts w:ascii="Calibri" w:hAnsi="Calibri"/>
                <w:color w:val="1E2D38"/>
                <w:sz w:val="16"/>
              </w:rPr>
              <w:t>Pause routine review, assess current danger and stability directly, and arrange the appropriate protective response or level of care.</w:t>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t>R7</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Technique accumulation without hypothesis revision</w:t>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t>10, 11</w:t>
            </w:r>
          </w:p>
        </w:tc>
        <w:tc>
          <w:tcPr>
            <w:tcW w:type="dxa" w:w="5140"/>
            <w:tcMar>
              <w:top w:w="80" w:type="dxa"/>
              <w:start w:w="120" w:type="dxa"/>
              <w:bottom w:w="80" w:type="dxa"/>
              <w:end w:w="120" w:type="dxa"/>
            </w:tcMar>
            <w:vAlign w:val="center"/>
          </w:tcPr>
          <w:p>
            <w:pPr>
              <w:spacing w:after="0" w:line="259" w:lineRule="auto"/>
            </w:pPr>
            <w:r/>
            <w:r>
              <w:rPr>
                <w:rFonts w:ascii="Calibri" w:hAnsi="Calibri"/>
                <w:color w:val="1E2D38"/>
                <w:sz w:val="16"/>
              </w:rPr>
              <w:t>Reassess safety, diagnosis, systemic hypothesis, alliance, access, implementation, and fit before making a reasoned plan change.</w:t>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t>R8</w:t>
            </w:r>
          </w:p>
        </w:tc>
        <w:tc>
          <w:tcPr>
            <w:tcW w:type="dxa" w:w="2300"/>
            <w:tcMar>
              <w:top w:w="80" w:type="dxa"/>
              <w:start w:w="120" w:type="dxa"/>
              <w:bottom w:w="80" w:type="dxa"/>
              <w:end w:w="120" w:type="dxa"/>
            </w:tcMar>
            <w:vAlign w:val="center"/>
            <w:shd w:fill="F8FAFC"/>
          </w:tcPr>
          <w:p>
            <w:pPr>
              <w:spacing w:after="0" w:line="259" w:lineRule="auto"/>
            </w:pPr>
            <w:r/>
            <w:r>
              <w:rPr>
                <w:rFonts w:ascii="Calibri" w:hAnsi="Calibri"/>
                <w:color w:val="1E2D38"/>
                <w:sz w:val="16"/>
              </w:rPr>
              <w:t>Wrong intensity, modality, or sequence</w:t>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t>12</w:t>
            </w:r>
          </w:p>
        </w:tc>
        <w:tc>
          <w:tcPr>
            <w:tcW w:type="dxa" w:w="5140"/>
            <w:tcMar>
              <w:top w:w="80" w:type="dxa"/>
              <w:start w:w="120" w:type="dxa"/>
              <w:bottom w:w="80" w:type="dxa"/>
              <w:end w:w="120" w:type="dxa"/>
            </w:tcMar>
            <w:vAlign w:val="center"/>
            <w:shd w:fill="F8FAFC"/>
          </w:tcPr>
          <w:p>
            <w:pPr>
              <w:spacing w:after="0" w:line="259" w:lineRule="auto"/>
            </w:pPr>
            <w:r/>
            <w:r>
              <w:rPr>
                <w:rFonts w:ascii="Calibri" w:hAnsi="Calibri"/>
                <w:color w:val="1E2D38"/>
                <w:sz w:val="16"/>
              </w:rPr>
              <w:t>Match care to acuity, response, preferences, competence, feasibility, and the least restrictive appropriate setting; set a review point.</w:t>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t>R9</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Cold referral, transfer, or abandonment risk</w:t>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t>13, 14, 17</w:t>
            </w:r>
          </w:p>
        </w:tc>
        <w:tc>
          <w:tcPr>
            <w:tcW w:type="dxa" w:w="5140"/>
            <w:tcMar>
              <w:top w:w="80" w:type="dxa"/>
              <w:start w:w="120" w:type="dxa"/>
              <w:bottom w:w="80" w:type="dxa"/>
              <w:end w:w="120" w:type="dxa"/>
            </w:tcMar>
            <w:vAlign w:val="center"/>
          </w:tcPr>
          <w:p>
            <w:pPr>
              <w:spacing w:after="0" w:line="259" w:lineRule="auto"/>
            </w:pPr>
            <w:r/>
            <w:r>
              <w:rPr>
                <w:rFonts w:ascii="Calibri" w:hAnsi="Calibri"/>
                <w:color w:val="1E2D38"/>
                <w:sz w:val="16"/>
              </w:rPr>
              <w:t>Obtain informed participation, clarify roles and information limits, arrange a warm handoff, maintain reasonable interim care, and confirm continuity.</w:t>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t>R10</w:t>
            </w:r>
          </w:p>
        </w:tc>
        <w:tc>
          <w:tcPr>
            <w:tcW w:type="dxa" w:w="2300"/>
            <w:tcMar>
              <w:top w:w="80" w:type="dxa"/>
              <w:start w:w="120" w:type="dxa"/>
              <w:bottom w:w="80" w:type="dxa"/>
              <w:end w:w="120" w:type="dxa"/>
            </w:tcMar>
            <w:vAlign w:val="center"/>
            <w:shd w:fill="F8FAFC"/>
          </w:tcPr>
          <w:p>
            <w:pPr>
              <w:spacing w:after="0" w:line="259" w:lineRule="auto"/>
            </w:pPr>
            <w:r/>
            <w:r>
              <w:rPr>
                <w:rFonts w:ascii="Calibri" w:hAnsi="Calibri"/>
                <w:color w:val="1E2D38"/>
                <w:sz w:val="16"/>
              </w:rPr>
              <w:t>Premature, vague, or unsupported ending</w:t>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t>15, 16</w:t>
            </w:r>
          </w:p>
        </w:tc>
        <w:tc>
          <w:tcPr>
            <w:tcW w:type="dxa" w:w="5140"/>
            <w:tcMar>
              <w:top w:w="80" w:type="dxa"/>
              <w:start w:w="120" w:type="dxa"/>
              <w:bottom w:w="80" w:type="dxa"/>
              <w:end w:w="120" w:type="dxa"/>
            </w:tcMar>
            <w:vAlign w:val="center"/>
            <w:shd w:fill="F8FAFC"/>
          </w:tcPr>
          <w:p>
            <w:pPr>
              <w:spacing w:after="0" w:line="259" w:lineRule="auto"/>
            </w:pPr>
            <w:r/>
            <w:r>
              <w:rPr>
                <w:rFonts w:ascii="Calibri" w:hAnsi="Calibri"/>
                <w:color w:val="1E2D38"/>
                <w:sz w:val="16"/>
              </w:rPr>
              <w:t>Apply collaborative criteria, review gains and remaining needs, plan maintenance and relapse response, offer follow-up or re-entry, and document.</w:t>
            </w:r>
          </w:p>
        </w:tc>
      </w:tr>
    </w:tbl>
    <w:p>
      <w:pPr>
        <w:spacing w:after="20"/>
      </w:pPr>
    </w:p>
    <w:p>
      <w:pPr>
        <w:pStyle w:val="Heading2"/>
        <w:pageBreakBefore/>
      </w:pPr>
      <w:r>
        <w:t>Domain and Confidence Review</w:t>
      </w:r>
    </w:p>
    <w:tbl>
      <w:tblPr>
        <w:tblW w:type="dxa" w:w="9360"/>
        <w:jc w:val="center"/>
        <w:tblLayout w:type="fixed"/>
        <w:tblLook w:firstColumn="1" w:firstRow="1" w:lastColumn="0" w:lastRow="0" w:noHBand="0" w:noVBand="1" w:val="04A0"/>
        <w:tblInd w:w="0" w:type="dxa"/>
      </w:tblPr>
      <w:tblGrid>
        <w:gridCol w:w="4200"/>
        <w:gridCol w:w="1420"/>
        <w:gridCol w:w="1440"/>
        <w:gridCol w:w="2300"/>
      </w:tblGrid>
      <w:tr>
        <w:trPr>
          <w:tblHeader w:val="true"/>
          <w:cantSplit/>
        </w:trPr>
        <w:tc>
          <w:tcPr>
            <w:tcW w:type="dxa" w:w="4200"/>
            <w:shd w:fill="12385B"/>
            <w:tcMar>
              <w:top w:w="80" w:type="dxa"/>
              <w:start w:w="120" w:type="dxa"/>
              <w:bottom w:w="80" w:type="dxa"/>
              <w:end w:w="120" w:type="dxa"/>
            </w:tcMar>
            <w:vAlign w:val="center"/>
          </w:tcPr>
          <w:p>
            <w:pPr>
              <w:spacing w:after="0"/>
              <w:jc w:val="center"/>
            </w:pPr>
            <w:r/>
            <w:r>
              <w:rPr>
                <w:rFonts w:ascii="Calibri" w:hAnsi="Calibri"/>
                <w:b/>
                <w:color w:val="FFFFFF"/>
                <w:sz w:val="18"/>
              </w:rPr>
              <w:t>Primary domain</w:t>
            </w:r>
          </w:p>
        </w:tc>
        <w:tc>
          <w:tcPr>
            <w:tcW w:type="dxa" w:w="1420"/>
            <w:shd w:fill="12385B"/>
            <w:tcMar>
              <w:top w:w="80" w:type="dxa"/>
              <w:start w:w="120" w:type="dxa"/>
              <w:bottom w:w="80" w:type="dxa"/>
              <w:end w:w="120" w:type="dxa"/>
            </w:tcMar>
            <w:vAlign w:val="center"/>
          </w:tcPr>
          <w:p>
            <w:pPr>
              <w:spacing w:after="0"/>
              <w:jc w:val="center"/>
            </w:pPr>
            <w:r/>
            <w:r>
              <w:rPr>
                <w:rFonts w:ascii="Calibri" w:hAnsi="Calibri"/>
                <w:b/>
                <w:color w:val="FFFFFF"/>
                <w:sz w:val="18"/>
              </w:rPr>
              <w:t>Items</w:t>
            </w:r>
          </w:p>
        </w:tc>
        <w:tc>
          <w:tcPr>
            <w:tcW w:type="dxa" w:w="1440"/>
            <w:shd w:fill="12385B"/>
            <w:tcMar>
              <w:top w:w="80" w:type="dxa"/>
              <w:start w:w="120" w:type="dxa"/>
              <w:bottom w:w="80" w:type="dxa"/>
              <w:end w:w="120" w:type="dxa"/>
            </w:tcMar>
            <w:vAlign w:val="center"/>
          </w:tcPr>
          <w:p>
            <w:pPr>
              <w:spacing w:after="0"/>
              <w:jc w:val="center"/>
            </w:pPr>
            <w:r/>
            <w:r>
              <w:rPr>
                <w:rFonts w:ascii="Calibri" w:hAnsi="Calibri"/>
                <w:b/>
                <w:color w:val="FFFFFF"/>
                <w:sz w:val="18"/>
              </w:rPr>
              <w:t>Correct</w:t>
            </w:r>
          </w:p>
        </w:tc>
        <w:tc>
          <w:tcPr>
            <w:tcW w:type="dxa" w:w="2300"/>
            <w:shd w:fill="12385B"/>
            <w:tcMar>
              <w:top w:w="80" w:type="dxa"/>
              <w:start w:w="120" w:type="dxa"/>
              <w:bottom w:w="80" w:type="dxa"/>
              <w:end w:w="120" w:type="dxa"/>
            </w:tcMar>
            <w:vAlign w:val="center"/>
          </w:tcPr>
          <w:p>
            <w:pPr>
              <w:spacing w:after="0"/>
              <w:jc w:val="left"/>
            </w:pPr>
            <w:r/>
            <w:r>
              <w:rPr>
                <w:rFonts w:ascii="Calibri" w:hAnsi="Calibri"/>
                <w:b/>
                <w:color w:val="FFFFFF"/>
                <w:sz w:val="18"/>
              </w:rPr>
              <w:t>Review priority</w:t>
            </w:r>
          </w:p>
        </w:tc>
      </w:tr>
      <w:tr>
        <w:trPr>
          <w:cantSplit/>
        </w:trPr>
        <w:tc>
          <w:tcPr>
            <w:tcW w:type="dxa" w:w="4200"/>
            <w:tcMar>
              <w:top w:w="80" w:type="dxa"/>
              <w:start w:w="120" w:type="dxa"/>
              <w:bottom w:w="80" w:type="dxa"/>
              <w:end w:w="120" w:type="dxa"/>
            </w:tcMar>
            <w:vAlign w:val="center"/>
          </w:tcPr>
          <w:p>
            <w:pPr>
              <w:spacing w:after="0" w:line="259" w:lineRule="auto"/>
            </w:pPr>
            <w:r/>
            <w:r>
              <w:rPr>
                <w:rFonts w:ascii="Calibri" w:hAnsi="Calibri"/>
                <w:color w:val="1E2D38"/>
                <w:sz w:val="16"/>
              </w:rPr>
              <w:t>D2 - Assessing, Hypothesizing, Diagnosing</w:t>
            </w:r>
          </w:p>
        </w:tc>
        <w:tc>
          <w:tcPr>
            <w:tcW w:type="dxa" w:w="1420"/>
            <w:tcMar>
              <w:top w:w="80" w:type="dxa"/>
              <w:start w:w="120" w:type="dxa"/>
              <w:bottom w:w="80" w:type="dxa"/>
              <w:end w:w="120" w:type="dxa"/>
            </w:tcMar>
            <w:vAlign w:val="center"/>
          </w:tcPr>
          <w:p>
            <w:pPr>
              <w:spacing w:after="0" w:line="259" w:lineRule="auto"/>
            </w:pPr>
            <w:r/>
            <w:r>
              <w:rPr>
                <w:rFonts w:ascii="Calibri" w:hAnsi="Calibri"/>
                <w:color w:val="1E2D38"/>
                <w:sz w:val="16"/>
              </w:rPr>
              <w:t>10</w:t>
            </w:r>
          </w:p>
        </w:tc>
        <w:tc>
          <w:tcPr>
            <w:tcW w:type="dxa" w:w="1440"/>
            <w:tcMar>
              <w:top w:w="80" w:type="dxa"/>
              <w:start w:w="120" w:type="dxa"/>
              <w:bottom w:w="80" w:type="dxa"/>
              <w:end w:w="120" w:type="dxa"/>
            </w:tcMar>
            <w:vAlign w:val="center"/>
          </w:tcPr>
          <w:p>
            <w:pPr>
              <w:spacing w:after="0" w:line="259" w:lineRule="auto"/>
            </w:pPr>
            <w:r/>
            <w:r>
              <w:rPr>
                <w:rFonts w:ascii="Calibri" w:hAnsi="Calibri"/>
                <w:color w:val="1E2D38"/>
                <w:sz w:val="16"/>
              </w:rPr>
              <w:t>____ / 1</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____________________________</w:t>
            </w:r>
          </w:p>
        </w:tc>
      </w:tr>
      <w:tr>
        <w:trPr>
          <w:cantSplit/>
        </w:trPr>
        <w:tc>
          <w:tcPr>
            <w:tcW w:type="dxa" w:w="4200"/>
            <w:tcMar>
              <w:top w:w="80" w:type="dxa"/>
              <w:start w:w="120" w:type="dxa"/>
              <w:bottom w:w="80" w:type="dxa"/>
              <w:end w:w="120" w:type="dxa"/>
            </w:tcMar>
            <w:vAlign w:val="center"/>
            <w:shd w:fill="F8FAFC"/>
          </w:tcPr>
          <w:p>
            <w:pPr>
              <w:spacing w:after="0" w:line="259" w:lineRule="auto"/>
            </w:pPr>
            <w:r/>
            <w:r>
              <w:rPr>
                <w:rFonts w:ascii="Calibri" w:hAnsi="Calibri"/>
                <w:color w:val="1E2D38"/>
                <w:sz w:val="16"/>
              </w:rPr>
              <w:t>D3 - Designing and Conducting Treatment</w:t>
            </w:r>
          </w:p>
        </w:tc>
        <w:tc>
          <w:tcPr>
            <w:tcW w:type="dxa" w:w="1420"/>
            <w:tcMar>
              <w:top w:w="80" w:type="dxa"/>
              <w:start w:w="120" w:type="dxa"/>
              <w:bottom w:w="80" w:type="dxa"/>
              <w:end w:w="120" w:type="dxa"/>
            </w:tcMar>
            <w:vAlign w:val="center"/>
            <w:shd w:fill="F8FAFC"/>
          </w:tcPr>
          <w:p>
            <w:pPr>
              <w:spacing w:after="0" w:line="259" w:lineRule="auto"/>
            </w:pPr>
            <w:r/>
            <w:r>
              <w:rPr>
                <w:rFonts w:ascii="Calibri" w:hAnsi="Calibri"/>
                <w:color w:val="1E2D38"/>
                <w:sz w:val="16"/>
              </w:rPr>
              <w:t>11, 12, 16</w:t>
            </w:r>
          </w:p>
        </w:tc>
        <w:tc>
          <w:tcPr>
            <w:tcW w:type="dxa" w:w="1440"/>
            <w:tcMar>
              <w:top w:w="80" w:type="dxa"/>
              <w:start w:w="120" w:type="dxa"/>
              <w:bottom w:w="80" w:type="dxa"/>
              <w:end w:w="120" w:type="dxa"/>
            </w:tcMar>
            <w:vAlign w:val="center"/>
            <w:shd w:fill="F8FAFC"/>
          </w:tcPr>
          <w:p>
            <w:pPr>
              <w:spacing w:after="0" w:line="259" w:lineRule="auto"/>
            </w:pPr>
            <w:r/>
            <w:r>
              <w:rPr>
                <w:rFonts w:ascii="Calibri" w:hAnsi="Calibri"/>
                <w:color w:val="1E2D38"/>
                <w:sz w:val="16"/>
              </w:rPr>
              <w:t>____ / 3</w:t>
            </w:r>
          </w:p>
        </w:tc>
        <w:tc>
          <w:tcPr>
            <w:tcW w:type="dxa" w:w="2300"/>
            <w:tcMar>
              <w:top w:w="80" w:type="dxa"/>
              <w:start w:w="120" w:type="dxa"/>
              <w:bottom w:w="80" w:type="dxa"/>
              <w:end w:w="120" w:type="dxa"/>
            </w:tcMar>
            <w:vAlign w:val="center"/>
            <w:shd w:fill="F8FAFC"/>
          </w:tcPr>
          <w:p>
            <w:pPr>
              <w:spacing w:after="0" w:line="259" w:lineRule="auto"/>
            </w:pPr>
            <w:r/>
            <w:r>
              <w:rPr>
                <w:rFonts w:ascii="Calibri" w:hAnsi="Calibri"/>
                <w:color w:val="1E2D38"/>
                <w:sz w:val="16"/>
              </w:rPr>
              <w:t>____________________________</w:t>
            </w:r>
          </w:p>
        </w:tc>
      </w:tr>
      <w:tr>
        <w:trPr>
          <w:cantSplit/>
        </w:trPr>
        <w:tc>
          <w:tcPr>
            <w:tcW w:type="dxa" w:w="4200"/>
            <w:tcMar>
              <w:top w:w="80" w:type="dxa"/>
              <w:start w:w="120" w:type="dxa"/>
              <w:bottom w:w="80" w:type="dxa"/>
              <w:end w:w="120" w:type="dxa"/>
            </w:tcMar>
            <w:vAlign w:val="center"/>
          </w:tcPr>
          <w:p>
            <w:pPr>
              <w:spacing w:after="0" w:line="259" w:lineRule="auto"/>
            </w:pPr>
            <w:r/>
            <w:r>
              <w:rPr>
                <w:rFonts w:ascii="Calibri" w:hAnsi="Calibri"/>
                <w:color w:val="1E2D38"/>
                <w:sz w:val="16"/>
              </w:rPr>
              <w:t>D4 - Evaluating Ongoing Process and Terminating</w:t>
            </w:r>
          </w:p>
        </w:tc>
        <w:tc>
          <w:tcPr>
            <w:tcW w:type="dxa" w:w="1420"/>
            <w:tcMar>
              <w:top w:w="80" w:type="dxa"/>
              <w:start w:w="120" w:type="dxa"/>
              <w:bottom w:w="80" w:type="dxa"/>
              <w:end w:w="120" w:type="dxa"/>
            </w:tcMar>
            <w:vAlign w:val="center"/>
          </w:tcPr>
          <w:p>
            <w:pPr>
              <w:spacing w:after="0" w:line="259" w:lineRule="auto"/>
            </w:pPr>
            <w:r/>
            <w:r>
              <w:rPr>
                <w:rFonts w:ascii="Calibri" w:hAnsi="Calibri"/>
                <w:color w:val="1E2D38"/>
                <w:sz w:val="16"/>
              </w:rPr>
              <w:t>1-7, 15, 17</w:t>
            </w:r>
          </w:p>
        </w:tc>
        <w:tc>
          <w:tcPr>
            <w:tcW w:type="dxa" w:w="1440"/>
            <w:tcMar>
              <w:top w:w="80" w:type="dxa"/>
              <w:start w:w="120" w:type="dxa"/>
              <w:bottom w:w="80" w:type="dxa"/>
              <w:end w:w="120" w:type="dxa"/>
            </w:tcMar>
            <w:vAlign w:val="center"/>
          </w:tcPr>
          <w:p>
            <w:pPr>
              <w:spacing w:after="0" w:line="259" w:lineRule="auto"/>
            </w:pPr>
            <w:r/>
            <w:r>
              <w:rPr>
                <w:rFonts w:ascii="Calibri" w:hAnsi="Calibri"/>
                <w:color w:val="1E2D38"/>
                <w:sz w:val="16"/>
              </w:rPr>
              <w:t>____ / 9</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____________________________</w:t>
            </w:r>
          </w:p>
        </w:tc>
      </w:tr>
      <w:tr>
        <w:trPr>
          <w:cantSplit/>
        </w:trPr>
        <w:tc>
          <w:tcPr>
            <w:tcW w:type="dxa" w:w="4200"/>
            <w:tcMar>
              <w:top w:w="80" w:type="dxa"/>
              <w:start w:w="120" w:type="dxa"/>
              <w:bottom w:w="80" w:type="dxa"/>
              <w:end w:w="120" w:type="dxa"/>
            </w:tcMar>
            <w:vAlign w:val="center"/>
            <w:shd w:fill="F8FAFC"/>
          </w:tcPr>
          <w:p>
            <w:pPr>
              <w:spacing w:after="0" w:line="259" w:lineRule="auto"/>
            </w:pPr>
            <w:r/>
            <w:r>
              <w:rPr>
                <w:rFonts w:ascii="Calibri" w:hAnsi="Calibri"/>
                <w:color w:val="1E2D38"/>
                <w:sz w:val="16"/>
              </w:rPr>
              <w:t>D5 - Managing Crisis Situations</w:t>
            </w:r>
          </w:p>
        </w:tc>
        <w:tc>
          <w:tcPr>
            <w:tcW w:type="dxa" w:w="1420"/>
            <w:tcMar>
              <w:top w:w="80" w:type="dxa"/>
              <w:start w:w="120" w:type="dxa"/>
              <w:bottom w:w="80" w:type="dxa"/>
              <w:end w:w="120" w:type="dxa"/>
            </w:tcMar>
            <w:vAlign w:val="center"/>
            <w:shd w:fill="F8FAFC"/>
          </w:tcPr>
          <w:p>
            <w:pPr>
              <w:spacing w:after="0" w:line="259" w:lineRule="auto"/>
            </w:pPr>
            <w:r/>
            <w:r>
              <w:rPr>
                <w:rFonts w:ascii="Calibri" w:hAnsi="Calibri"/>
                <w:color w:val="1E2D38"/>
                <w:sz w:val="16"/>
              </w:rPr>
              <w:t>9</w:t>
            </w:r>
          </w:p>
        </w:tc>
        <w:tc>
          <w:tcPr>
            <w:tcW w:type="dxa" w:w="1440"/>
            <w:tcMar>
              <w:top w:w="80" w:type="dxa"/>
              <w:start w:w="120" w:type="dxa"/>
              <w:bottom w:w="80" w:type="dxa"/>
              <w:end w:w="120" w:type="dxa"/>
            </w:tcMar>
            <w:vAlign w:val="center"/>
            <w:shd w:fill="F8FAFC"/>
          </w:tcPr>
          <w:p>
            <w:pPr>
              <w:spacing w:after="0" w:line="259" w:lineRule="auto"/>
            </w:pPr>
            <w:r/>
            <w:r>
              <w:rPr>
                <w:rFonts w:ascii="Calibri" w:hAnsi="Calibri"/>
                <w:color w:val="1E2D38"/>
                <w:sz w:val="16"/>
              </w:rPr>
              <w:t>____ / 1</w:t>
            </w:r>
          </w:p>
        </w:tc>
        <w:tc>
          <w:tcPr>
            <w:tcW w:type="dxa" w:w="2300"/>
            <w:tcMar>
              <w:top w:w="80" w:type="dxa"/>
              <w:start w:w="120" w:type="dxa"/>
              <w:bottom w:w="80" w:type="dxa"/>
              <w:end w:w="120" w:type="dxa"/>
            </w:tcMar>
            <w:vAlign w:val="center"/>
            <w:shd w:fill="F8FAFC"/>
          </w:tcPr>
          <w:p>
            <w:pPr>
              <w:spacing w:after="0" w:line="259" w:lineRule="auto"/>
            </w:pPr>
            <w:r/>
            <w:r>
              <w:rPr>
                <w:rFonts w:ascii="Calibri" w:hAnsi="Calibri"/>
                <w:color w:val="1E2D38"/>
                <w:sz w:val="16"/>
              </w:rPr>
              <w:t>____________________________</w:t>
            </w:r>
          </w:p>
        </w:tc>
      </w:tr>
      <w:tr>
        <w:trPr>
          <w:cantSplit/>
        </w:trPr>
        <w:tc>
          <w:tcPr>
            <w:tcW w:type="dxa" w:w="4200"/>
            <w:tcMar>
              <w:top w:w="80" w:type="dxa"/>
              <w:start w:w="120" w:type="dxa"/>
              <w:bottom w:w="80" w:type="dxa"/>
              <w:end w:w="120" w:type="dxa"/>
            </w:tcMar>
            <w:vAlign w:val="center"/>
          </w:tcPr>
          <w:p>
            <w:pPr>
              <w:spacing w:after="0" w:line="259" w:lineRule="auto"/>
            </w:pPr>
            <w:r/>
            <w:r>
              <w:rPr>
                <w:rFonts w:ascii="Calibri" w:hAnsi="Calibri"/>
                <w:color w:val="1E2D38"/>
                <w:sz w:val="16"/>
              </w:rPr>
              <w:t>D6 - Ethical, Legal, Professional Standards</w:t>
            </w:r>
          </w:p>
        </w:tc>
        <w:tc>
          <w:tcPr>
            <w:tcW w:type="dxa" w:w="1420"/>
            <w:tcMar>
              <w:top w:w="80" w:type="dxa"/>
              <w:start w:w="120" w:type="dxa"/>
              <w:bottom w:w="80" w:type="dxa"/>
              <w:end w:w="120" w:type="dxa"/>
            </w:tcMar>
            <w:vAlign w:val="center"/>
          </w:tcPr>
          <w:p>
            <w:pPr>
              <w:spacing w:after="0" w:line="259" w:lineRule="auto"/>
            </w:pPr>
            <w:r/>
            <w:r>
              <w:rPr>
                <w:rFonts w:ascii="Calibri" w:hAnsi="Calibri"/>
                <w:color w:val="1E2D38"/>
                <w:sz w:val="16"/>
              </w:rPr>
              <w:t>8, 13, 14</w:t>
            </w:r>
          </w:p>
        </w:tc>
        <w:tc>
          <w:tcPr>
            <w:tcW w:type="dxa" w:w="1440"/>
            <w:tcMar>
              <w:top w:w="80" w:type="dxa"/>
              <w:start w:w="120" w:type="dxa"/>
              <w:bottom w:w="80" w:type="dxa"/>
              <w:end w:w="120" w:type="dxa"/>
            </w:tcMar>
            <w:vAlign w:val="center"/>
          </w:tcPr>
          <w:p>
            <w:pPr>
              <w:spacing w:after="0" w:line="259" w:lineRule="auto"/>
            </w:pPr>
            <w:r/>
            <w:r>
              <w:rPr>
                <w:rFonts w:ascii="Calibri" w:hAnsi="Calibri"/>
                <w:color w:val="1E2D38"/>
                <w:sz w:val="16"/>
              </w:rPr>
              <w:t>____ / 3</w:t>
            </w:r>
          </w:p>
        </w:tc>
        <w:tc>
          <w:tcPr>
            <w:tcW w:type="dxa" w:w="2300"/>
            <w:tcMar>
              <w:top w:w="80" w:type="dxa"/>
              <w:start w:w="120" w:type="dxa"/>
              <w:bottom w:w="80" w:type="dxa"/>
              <w:end w:w="120" w:type="dxa"/>
            </w:tcMar>
            <w:vAlign w:val="center"/>
          </w:tcPr>
          <w:p>
            <w:pPr>
              <w:spacing w:after="0" w:line="259" w:lineRule="auto"/>
            </w:pPr>
            <w:r/>
            <w:r>
              <w:rPr>
                <w:rFonts w:ascii="Calibri" w:hAnsi="Calibri"/>
                <w:color w:val="1E2D38"/>
                <w:sz w:val="16"/>
              </w:rPr>
              <w:t>____________________________</w:t>
            </w:r>
          </w:p>
        </w:tc>
      </w:tr>
    </w:tbl>
    <w:p>
      <w:pPr>
        <w:spacing w:after="20"/>
      </w:pPr>
    </w:p>
    <w:p>
      <w:pPr>
        <w:pStyle w:val="Heading2"/>
        <w:pageBreakBefore/>
      </w:pPr>
      <w:r>
        <w:t>Low-Confidence and Missed-Item Review</w:t>
      </w:r>
    </w:p>
    <w:tbl>
      <w:tblPr>
        <w:tblW w:type="dxa" w:w="9360"/>
        <w:jc w:val="center"/>
        <w:tblLayout w:type="fixed"/>
        <w:tblLook w:firstColumn="1" w:firstRow="1" w:lastColumn="0" w:lastRow="0" w:noHBand="0" w:noVBand="1" w:val="04A0"/>
        <w:tblInd w:w="0" w:type="dxa"/>
      </w:tblPr>
      <w:tblGrid>
        <w:gridCol w:w="720"/>
        <w:gridCol w:w="1700"/>
        <w:gridCol w:w="1200"/>
        <w:gridCol w:w="2790"/>
        <w:gridCol w:w="2950"/>
      </w:tblGrid>
      <w:tr>
        <w:trPr>
          <w:tblHeader w:val="true"/>
          <w:cantSplit/>
        </w:trPr>
        <w:tc>
          <w:tcPr>
            <w:tcW w:type="dxa" w:w="720"/>
            <w:shd w:fill="12385B"/>
            <w:tcMar>
              <w:top w:w="80" w:type="dxa"/>
              <w:start w:w="120" w:type="dxa"/>
              <w:bottom w:w="80" w:type="dxa"/>
              <w:end w:w="120" w:type="dxa"/>
            </w:tcMar>
            <w:vAlign w:val="center"/>
          </w:tcPr>
          <w:p>
            <w:pPr>
              <w:spacing w:after="0"/>
              <w:jc w:val="center"/>
            </w:pPr>
            <w:r/>
            <w:r>
              <w:rPr>
                <w:rFonts w:ascii="Calibri" w:hAnsi="Calibri"/>
                <w:b/>
                <w:color w:val="FFFFFF"/>
                <w:sz w:val="18"/>
              </w:rPr>
              <w:t>Item</w:t>
            </w:r>
          </w:p>
        </w:tc>
        <w:tc>
          <w:tcPr>
            <w:tcW w:type="dxa" w:w="1700"/>
            <w:shd w:fill="12385B"/>
            <w:tcMar>
              <w:top w:w="80" w:type="dxa"/>
              <w:start w:w="120" w:type="dxa"/>
              <w:bottom w:w="80" w:type="dxa"/>
              <w:end w:w="120" w:type="dxa"/>
            </w:tcMar>
            <w:vAlign w:val="center"/>
          </w:tcPr>
          <w:p>
            <w:pPr>
              <w:spacing w:after="0"/>
              <w:jc w:val="left"/>
            </w:pPr>
            <w:r/>
            <w:r>
              <w:rPr>
                <w:rFonts w:ascii="Calibri" w:hAnsi="Calibri"/>
                <w:b/>
                <w:color w:val="FFFFFF"/>
                <w:sz w:val="18"/>
              </w:rPr>
              <w:t>Result / confidence</w:t>
            </w:r>
          </w:p>
        </w:tc>
        <w:tc>
          <w:tcPr>
            <w:tcW w:type="dxa" w:w="1200"/>
            <w:shd w:fill="12385B"/>
            <w:tcMar>
              <w:top w:w="80" w:type="dxa"/>
              <w:start w:w="120" w:type="dxa"/>
              <w:bottom w:w="80" w:type="dxa"/>
              <w:end w:w="120" w:type="dxa"/>
            </w:tcMar>
            <w:vAlign w:val="center"/>
          </w:tcPr>
          <w:p>
            <w:pPr>
              <w:spacing w:after="0"/>
              <w:jc w:val="center"/>
            </w:pPr>
            <w:r/>
            <w:r>
              <w:rPr>
                <w:rFonts w:ascii="Calibri" w:hAnsi="Calibri"/>
                <w:b/>
                <w:color w:val="FFFFFF"/>
                <w:sz w:val="18"/>
              </w:rPr>
              <w:t>Error code</w:t>
            </w:r>
          </w:p>
        </w:tc>
        <w:tc>
          <w:tcPr>
            <w:tcW w:type="dxa" w:w="2790"/>
            <w:shd w:fill="12385B"/>
            <w:tcMar>
              <w:top w:w="80" w:type="dxa"/>
              <w:start w:w="120" w:type="dxa"/>
              <w:bottom w:w="80" w:type="dxa"/>
              <w:end w:w="120" w:type="dxa"/>
            </w:tcMar>
            <w:vAlign w:val="center"/>
          </w:tcPr>
          <w:p>
            <w:pPr>
              <w:spacing w:after="0"/>
              <w:jc w:val="left"/>
            </w:pPr>
            <w:r/>
            <w:r>
              <w:rPr>
                <w:rFonts w:ascii="Calibri" w:hAnsi="Calibri"/>
                <w:b/>
                <w:color w:val="FFFFFF"/>
                <w:sz w:val="18"/>
              </w:rPr>
              <w:t>Why my option failed</w:t>
            </w:r>
          </w:p>
        </w:tc>
        <w:tc>
          <w:tcPr>
            <w:tcW w:type="dxa" w:w="2950"/>
            <w:shd w:fill="12385B"/>
            <w:tcMar>
              <w:top w:w="80" w:type="dxa"/>
              <w:start w:w="120" w:type="dxa"/>
              <w:bottom w:w="80" w:type="dxa"/>
              <w:end w:w="120" w:type="dxa"/>
            </w:tcMar>
            <w:vAlign w:val="center"/>
          </w:tcPr>
          <w:p>
            <w:pPr>
              <w:spacing w:after="0"/>
              <w:jc w:val="center"/>
            </w:pPr>
            <w:r/>
            <w:r>
              <w:rPr>
                <w:rFonts w:ascii="Calibri" w:hAnsi="Calibri"/>
                <w:b/>
                <w:color w:val="FFFFFF"/>
                <w:sz w:val="18"/>
              </w:rPr>
              <w:t>Transfer rule</w:t>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r>
          </w:p>
        </w:tc>
        <w:tc>
          <w:tcPr>
            <w:tcW w:type="dxa" w:w="17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79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950"/>
            <w:tcMar>
              <w:top w:w="80" w:type="dxa"/>
              <w:start w:w="120" w:type="dxa"/>
              <w:bottom w:w="80" w:type="dxa"/>
              <w:end w:w="120" w:type="dxa"/>
            </w:tcMar>
            <w:vAlign w:val="center"/>
          </w:tcPr>
          <w:p>
            <w:pPr>
              <w:spacing w:after="0" w:line="259" w:lineRule="auto"/>
            </w:pPr>
            <w:r/>
            <w:r>
              <w:rPr>
                <w:rFonts w:ascii="Calibri" w:hAnsi="Calibri"/>
                <w:color w:val="1E2D38"/>
                <w:sz w:val="16"/>
              </w:rPr>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r>
          </w:p>
        </w:tc>
        <w:tc>
          <w:tcPr>
            <w:tcW w:type="dxa" w:w="17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79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95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r>
          </w:p>
        </w:tc>
        <w:tc>
          <w:tcPr>
            <w:tcW w:type="dxa" w:w="17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79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950"/>
            <w:tcMar>
              <w:top w:w="80" w:type="dxa"/>
              <w:start w:w="120" w:type="dxa"/>
              <w:bottom w:w="80" w:type="dxa"/>
              <w:end w:w="120" w:type="dxa"/>
            </w:tcMar>
            <w:vAlign w:val="center"/>
          </w:tcPr>
          <w:p>
            <w:pPr>
              <w:spacing w:after="0" w:line="259" w:lineRule="auto"/>
            </w:pPr>
            <w:r/>
            <w:r>
              <w:rPr>
                <w:rFonts w:ascii="Calibri" w:hAnsi="Calibri"/>
                <w:color w:val="1E2D38"/>
                <w:sz w:val="16"/>
              </w:rPr>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r>
          </w:p>
        </w:tc>
        <w:tc>
          <w:tcPr>
            <w:tcW w:type="dxa" w:w="17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79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95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r>
          </w:p>
        </w:tc>
        <w:tc>
          <w:tcPr>
            <w:tcW w:type="dxa" w:w="17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79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950"/>
            <w:tcMar>
              <w:top w:w="80" w:type="dxa"/>
              <w:start w:w="120" w:type="dxa"/>
              <w:bottom w:w="80" w:type="dxa"/>
              <w:end w:w="120" w:type="dxa"/>
            </w:tcMar>
            <w:vAlign w:val="center"/>
          </w:tcPr>
          <w:p>
            <w:pPr>
              <w:spacing w:after="0" w:line="259" w:lineRule="auto"/>
            </w:pPr>
            <w:r/>
            <w:r>
              <w:rPr>
                <w:rFonts w:ascii="Calibri" w:hAnsi="Calibri"/>
                <w:color w:val="1E2D38"/>
                <w:sz w:val="16"/>
              </w:rPr>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r>
          </w:p>
        </w:tc>
        <w:tc>
          <w:tcPr>
            <w:tcW w:type="dxa" w:w="17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79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95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r>
      <w:tr>
        <w:trPr>
          <w:cantSplit/>
        </w:trPr>
        <w:tc>
          <w:tcPr>
            <w:tcW w:type="dxa" w:w="720"/>
            <w:tcMar>
              <w:top w:w="80" w:type="dxa"/>
              <w:start w:w="120" w:type="dxa"/>
              <w:bottom w:w="80" w:type="dxa"/>
              <w:end w:w="120" w:type="dxa"/>
            </w:tcMar>
            <w:vAlign w:val="center"/>
          </w:tcPr>
          <w:p>
            <w:pPr>
              <w:spacing w:after="0" w:line="259" w:lineRule="auto"/>
              <w:jc w:val="center"/>
            </w:pPr>
            <w:r/>
            <w:r>
              <w:rPr>
                <w:rFonts w:ascii="Calibri" w:hAnsi="Calibri"/>
                <w:color w:val="1E2D38"/>
                <w:sz w:val="16"/>
              </w:rPr>
            </w:r>
          </w:p>
        </w:tc>
        <w:tc>
          <w:tcPr>
            <w:tcW w:type="dxa" w:w="17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790"/>
            <w:tcMar>
              <w:top w:w="80" w:type="dxa"/>
              <w:start w:w="120" w:type="dxa"/>
              <w:bottom w:w="80" w:type="dxa"/>
              <w:end w:w="120" w:type="dxa"/>
            </w:tcMar>
            <w:vAlign w:val="center"/>
          </w:tcPr>
          <w:p>
            <w:pPr>
              <w:spacing w:after="0" w:line="259" w:lineRule="auto"/>
            </w:pPr>
            <w:r/>
            <w:r>
              <w:rPr>
                <w:rFonts w:ascii="Calibri" w:hAnsi="Calibri"/>
                <w:color w:val="1E2D38"/>
                <w:sz w:val="16"/>
              </w:rPr>
            </w:r>
          </w:p>
        </w:tc>
        <w:tc>
          <w:tcPr>
            <w:tcW w:type="dxa" w:w="2950"/>
            <w:tcMar>
              <w:top w:w="80" w:type="dxa"/>
              <w:start w:w="120" w:type="dxa"/>
              <w:bottom w:w="80" w:type="dxa"/>
              <w:end w:w="120" w:type="dxa"/>
            </w:tcMar>
            <w:vAlign w:val="center"/>
          </w:tcPr>
          <w:p>
            <w:pPr>
              <w:spacing w:after="0" w:line="259" w:lineRule="auto"/>
            </w:pPr>
            <w:r/>
            <w:r>
              <w:rPr>
                <w:rFonts w:ascii="Calibri" w:hAnsi="Calibri"/>
                <w:color w:val="1E2D38"/>
                <w:sz w:val="16"/>
              </w:rPr>
            </w:r>
          </w:p>
        </w:tc>
      </w:tr>
      <w:tr>
        <w:trPr>
          <w:cantSplit/>
        </w:trPr>
        <w:tc>
          <w:tcPr>
            <w:tcW w:type="dxa" w:w="720"/>
            <w:tcMar>
              <w:top w:w="80" w:type="dxa"/>
              <w:start w:w="120" w:type="dxa"/>
              <w:bottom w:w="80" w:type="dxa"/>
              <w:end w:w="120" w:type="dxa"/>
            </w:tcMar>
            <w:vAlign w:val="center"/>
            <w:shd w:fill="F8FAFC"/>
          </w:tcPr>
          <w:p>
            <w:pPr>
              <w:spacing w:after="0" w:line="259" w:lineRule="auto"/>
              <w:jc w:val="center"/>
            </w:pPr>
            <w:r/>
            <w:r>
              <w:rPr>
                <w:rFonts w:ascii="Calibri" w:hAnsi="Calibri"/>
                <w:color w:val="1E2D38"/>
                <w:sz w:val="16"/>
              </w:rPr>
            </w:r>
          </w:p>
        </w:tc>
        <w:tc>
          <w:tcPr>
            <w:tcW w:type="dxa" w:w="17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120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79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c>
          <w:tcPr>
            <w:tcW w:type="dxa" w:w="2950"/>
            <w:tcMar>
              <w:top w:w="80" w:type="dxa"/>
              <w:start w:w="120" w:type="dxa"/>
              <w:bottom w:w="80" w:type="dxa"/>
              <w:end w:w="120" w:type="dxa"/>
            </w:tcMar>
            <w:vAlign w:val="center"/>
            <w:shd w:fill="F8FAFC"/>
          </w:tcPr>
          <w:p>
            <w:pPr>
              <w:spacing w:after="0" w:line="259" w:lineRule="auto"/>
            </w:pPr>
            <w:r/>
            <w:r>
              <w:rPr>
                <w:rFonts w:ascii="Calibri" w:hAnsi="Calibri"/>
                <w:color w:val="1E2D38"/>
                <w:sz w:val="16"/>
              </w:rPr>
            </w:r>
          </w:p>
        </w:tc>
      </w:tr>
    </w:tbl>
    <w:p>
      <w:pPr>
        <w:spacing w:after="20"/>
      </w:pPr>
    </w:p>
    <w:p>
      <w:pPr>
        <w:pStyle w:val="Heading2"/>
      </w:pPr>
      <w:r>
        <w:t>Readiness and Retake Plan</w:t>
      </w:r>
    </w:p>
    <w:p>
      <w:pPr>
        <w:spacing w:after="40"/>
      </w:pPr>
      <w:r>
        <w:rPr>
          <w:rFonts w:ascii="Calibri" w:hAnsi="Calibri"/>
          <w:b/>
          <w:color w:val="12385B"/>
          <w:sz w:val="21"/>
        </w:rPr>
        <w:t>Items requiring review:</w:t>
      </w:r>
    </w:p>
    <w:p>
      <w:pPr>
        <w:spacing w:after="160"/>
      </w:pPr>
      <w:r>
        <w:rPr>
          <w:rFonts w:ascii="Calibri" w:hAnsi="Calibri"/>
          <w:color w:val="5A6872"/>
          <w:sz w:val="20"/>
        </w:rPr>
        <w:t>______________________________________________________________________________</w:t>
      </w:r>
    </w:p>
    <w:p>
      <w:pPr>
        <w:spacing w:after="40"/>
      </w:pPr>
      <w:r>
        <w:rPr>
          <w:rFonts w:ascii="Calibri" w:hAnsi="Calibri"/>
          <w:b/>
          <w:color w:val="12385B"/>
          <w:sz w:val="21"/>
        </w:rPr>
        <w:t>Most frequent reasoning pattern:</w:t>
      </w:r>
    </w:p>
    <w:p>
      <w:pPr>
        <w:spacing w:after="160"/>
      </w:pPr>
      <w:r>
        <w:rPr>
          <w:rFonts w:ascii="Calibri" w:hAnsi="Calibri"/>
          <w:color w:val="5A6872"/>
          <w:sz w:val="20"/>
        </w:rPr>
        <w:t>______________________________________________________________________________</w:t>
      </w:r>
    </w:p>
    <w:p>
      <w:pPr>
        <w:spacing w:after="40"/>
      </w:pPr>
      <w:r>
        <w:rPr>
          <w:rFonts w:ascii="Calibri" w:hAnsi="Calibri"/>
          <w:b/>
          <w:color w:val="12385B"/>
          <w:sz w:val="21"/>
        </w:rPr>
        <w:t>Workbook chapter and CTA tool to revisit:</w:t>
      </w:r>
    </w:p>
    <w:p>
      <w:pPr>
        <w:spacing w:after="160"/>
      </w:pPr>
      <w:r>
        <w:rPr>
          <w:rFonts w:ascii="Calibri" w:hAnsi="Calibri"/>
          <w:color w:val="5A6872"/>
          <w:sz w:val="20"/>
        </w:rPr>
        <w:t>______________________________________________________________________________</w:t>
      </w:r>
    </w:p>
    <w:p>
      <w:pPr>
        <w:spacing w:after="40"/>
      </w:pPr>
      <w:r>
        <w:rPr>
          <w:rFonts w:ascii="Calibri" w:hAnsi="Calibri"/>
          <w:b/>
          <w:color w:val="12385B"/>
          <w:sz w:val="21"/>
        </w:rPr>
        <w:t>One repair rule I can explain without notes:</w:t>
      </w:r>
    </w:p>
    <w:p>
      <w:pPr>
        <w:spacing w:after="160"/>
      </w:pPr>
      <w:r>
        <w:rPr>
          <w:rFonts w:ascii="Calibri" w:hAnsi="Calibri"/>
          <w:color w:val="5A6872"/>
          <w:sz w:val="20"/>
        </w:rPr>
        <w:t>______________________________________________________________________________</w:t>
      </w:r>
    </w:p>
    <w:p>
      <w:pPr>
        <w:spacing w:after="40"/>
      </w:pPr>
      <w:r>
        <w:rPr>
          <w:rFonts w:ascii="Calibri" w:hAnsi="Calibri"/>
          <w:b/>
          <w:color w:val="12385B"/>
          <w:sz w:val="21"/>
        </w:rPr>
        <w:t>Practice action before retake:</w:t>
      </w:r>
    </w:p>
    <w:p>
      <w:pPr>
        <w:spacing w:after="160"/>
      </w:pPr>
      <w:r>
        <w:rPr>
          <w:rFonts w:ascii="Calibri" w:hAnsi="Calibri"/>
          <w:color w:val="5A6872"/>
          <w:sz w:val="20"/>
        </w:rPr>
        <w:t>______________________________________________________________________________</w:t>
      </w:r>
    </w:p>
    <w:p>
      <w:pPr>
        <w:spacing w:after="40"/>
      </w:pPr>
      <w:r>
        <w:rPr>
          <w:rFonts w:ascii="Calibri" w:hAnsi="Calibri"/>
          <w:b/>
          <w:color w:val="12385B"/>
          <w:sz w:val="21"/>
        </w:rPr>
        <w:t>Evidence that I understand why each distractor fails:</w:t>
      </w:r>
    </w:p>
    <w:p>
      <w:pPr>
        <w:spacing w:after="160"/>
      </w:pPr>
      <w:r>
        <w:rPr>
          <w:rFonts w:ascii="Calibri" w:hAnsi="Calibri"/>
          <w:color w:val="5A6872"/>
          <w:sz w:val="20"/>
        </w:rPr>
        <w:t>______________________________________________________________________________</w:t>
      </w:r>
    </w:p>
    <w:p>
      <w:pPr>
        <w:spacing w:after="40"/>
      </w:pPr>
      <w:r>
        <w:rPr>
          <w:rFonts w:ascii="Calibri" w:hAnsi="Calibri"/>
          <w:b/>
          <w:color w:val="12385B"/>
          <w:sz w:val="21"/>
        </w:rPr>
        <w:t>Retake date and time limit:</w:t>
      </w:r>
    </w:p>
    <w:p>
      <w:pPr>
        <w:spacing w:after="160"/>
      </w:pPr>
      <w:r>
        <w:rPr>
          <w:rFonts w:ascii="Calibri" w:hAnsi="Calibri"/>
          <w:color w:val="5A6872"/>
          <w:sz w:val="20"/>
        </w:rPr>
        <w:t>______________________________________________________________________________</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7F4F4"/>
            <w:tcMar>
              <w:top w:w="120" w:type="dxa"/>
              <w:start w:w="120" w:type="dxa"/>
              <w:bottom w:w="120" w:type="dxa"/>
              <w:end w:w="120" w:type="dxa"/>
            </w:tcMar>
          </w:tcPr>
          <w:p>
            <w:pPr>
              <w:spacing w:after="0" w:line="269" w:lineRule="auto"/>
            </w:pPr>
            <w:r>
              <w:rPr>
                <w:rFonts w:ascii="Calibri" w:hAnsi="Calibri"/>
                <w:b/>
                <w:color w:val="12385B"/>
                <w:sz w:val="20"/>
              </w:rPr>
              <w:t xml:space="preserve">READINESS GATE:  </w:t>
            </w:r>
            <w:r>
              <w:rPr>
                <w:rFonts w:ascii="Calibri" w:hAnsi="Calibri"/>
                <w:color w:val="1E2D38"/>
                <w:sz w:val="20"/>
              </w:rPr>
              <w:t>Do not rely on score alone. Before retaking, the learner should identify the controlling decision point, explain why the keyed action comes first, distinguish statistical from clinical meaning when relevant, describe every distractor defect, and state a transferable repair rule for each missed or low-confidence item.</w:t>
            </w:r>
          </w:p>
        </w:tc>
      </w:tr>
    </w:tbl>
    <w:p>
      <w:pPr>
        <w:spacing w:after="20"/>
      </w:pPr>
    </w:p>
    <w:p>
      <w:pPr>
        <w:pStyle w:val="Heading1"/>
      </w:pPr>
      <w:r>
        <w:t>Current Official Sources and Control Notices</w:t>
      </w:r>
    </w:p>
    <w:p>
      <w:pPr>
        <w:keepLines w:val="0"/>
        <w:spacing w:after="100" w:line="283" w:lineRule="auto"/>
      </w:pPr>
      <w:r>
        <w:rPr>
          <w:rFonts w:ascii="Calibri" w:hAnsi="Calibri"/>
          <w:b/>
          <w:color w:val="12385B"/>
          <w:sz w:val="21"/>
        </w:rPr>
        <w:t xml:space="preserve">Source-control date: </w:t>
      </w:r>
      <w:r>
        <w:rPr>
          <w:rFonts w:ascii="Calibri" w:hAnsi="Calibri"/>
          <w:color w:val="1E2D38"/>
          <w:sz w:val="21"/>
        </w:rPr>
        <w:t>Verified August 2, 2026. Examination specifications, professional standards, evidence resources, and jurisdictional requirements can change.</w:t>
      </w:r>
    </w:p>
    <w:p>
      <w:pPr>
        <w:spacing w:after="160"/>
      </w:pPr>
      <w:hyperlink r:id="rId14">
        <w:r>
          <w:rPr>
            <w:color w:val="13A6A6"/>
            <w:u w:val="single"/>
          </w:rPr>
          <w:t>AMFTRB Exam Reference</w:t>
        </w:r>
      </w:hyperlink>
      <w:r>
        <w:rPr>
          <w:rFonts w:ascii="Calibri" w:hAnsi="Calibri"/>
          <w:color w:val="1E2D38"/>
          <w:sz w:val="21"/>
        </w:rPr>
        <w:t xml:space="preserve"> - Official examination purpose, structure, security, candidate guidance, and current content-reference routing.</w:t>
      </w:r>
    </w:p>
    <w:p>
      <w:pPr>
        <w:spacing w:after="160"/>
      </w:pPr>
      <w:hyperlink r:id="rId15">
        <w:r>
          <w:rPr>
            <w:color w:val="13A6A6"/>
            <w:u w:val="single"/>
          </w:rPr>
          <w:t>AMFTRB Your National Exam Roadmap</w:t>
        </w:r>
      </w:hyperlink>
      <w:r>
        <w:rPr>
          <w:rFonts w:ascii="Calibri" w:hAnsi="Calibri"/>
          <w:color w:val="1E2D38"/>
          <w:sz w:val="21"/>
        </w:rPr>
        <w:t xml:space="preserve"> - Current candidate handbook and examination-preparation routing.</w:t>
      </w:r>
    </w:p>
    <w:p>
      <w:pPr>
        <w:spacing w:after="160"/>
      </w:pPr>
      <w:hyperlink r:id="rId16">
        <w:r>
          <w:rPr>
            <w:color w:val="13A6A6"/>
            <w:u w:val="single"/>
          </w:rPr>
          <w:t>AAMFT Code of Ethics</w:t>
        </w:r>
      </w:hyperlink>
      <w:r>
        <w:rPr>
          <w:rFonts w:ascii="Calibri" w:hAnsi="Calibri"/>
          <w:color w:val="1E2D38"/>
          <w:sz w:val="21"/>
        </w:rPr>
        <w:t xml:space="preserve"> - Revised code effective January 1, 2026, including informed consent, client welfare, competence, confidentiality, records, referral, consultation, and continuity principles.</w:t>
      </w:r>
    </w:p>
    <w:p>
      <w:pPr>
        <w:spacing w:after="160"/>
      </w:pPr>
      <w:hyperlink r:id="rId17">
        <w:r>
          <w:rPr>
            <w:color w:val="13A6A6"/>
            <w:u w:val="single"/>
          </w:rPr>
          <w:t>APA Evidence-Based Practice in Psychology</w:t>
        </w:r>
      </w:hyperlink>
      <w:r>
        <w:rPr>
          <w:rFonts w:ascii="Calibri" w:hAnsi="Calibri"/>
          <w:color w:val="1E2D38"/>
          <w:sz w:val="21"/>
        </w:rPr>
        <w:t xml:space="preserve"> - Integration of best available research with clinical expertise and client characteristics, culture, and preferences.</w:t>
      </w:r>
    </w:p>
    <w:p>
      <w:pPr>
        <w:spacing w:after="160"/>
      </w:pPr>
      <w:hyperlink r:id="rId18">
        <w:r>
          <w:rPr>
            <w:color w:val="13A6A6"/>
            <w:u w:val="single"/>
          </w:rPr>
          <w:t>SAMHSA Measurement-Based Care Brief Report</w:t>
        </w:r>
      </w:hyperlink>
      <w:r>
        <w:rPr>
          <w:rFonts w:ascii="Calibri" w:hAnsi="Calibri"/>
          <w:color w:val="1E2D38"/>
          <w:sz w:val="21"/>
        </w:rPr>
        <w:t xml:space="preserve"> - Systematic use of repeated client data to inform behavioral-health clinical decision-making.</w:t>
      </w: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E8EEF5"/>
            <w:tcMar>
              <w:top w:w="120" w:type="dxa"/>
              <w:start w:w="120" w:type="dxa"/>
              <w:bottom w:w="120" w:type="dxa"/>
              <w:end w:w="120" w:type="dxa"/>
            </w:tcMar>
          </w:tcPr>
          <w:p>
            <w:pPr>
              <w:spacing w:after="0" w:line="269" w:lineRule="auto"/>
            </w:pPr>
            <w:r>
              <w:rPr>
                <w:rFonts w:ascii="Calibri" w:hAnsi="Calibri"/>
                <w:b/>
                <w:color w:val="12385B"/>
                <w:sz w:val="20"/>
              </w:rPr>
              <w:t xml:space="preserve">OFFICIAL-SOURCE DISCLAIMER:  </w:t>
            </w:r>
            <w:r>
              <w:rPr>
                <w:rFonts w:ascii="Calibri" w:hAnsi="Calibri"/>
                <w:color w:val="1E2D38"/>
                <w:sz w:val="20"/>
              </w:rPr>
              <w:t>CTA is an independent educational resource and is not affiliated with or endorsed by AMFTRB, PTC, Prometric, AAMFT, APA, SAMHSA, HHS, or any licensing board. These are original CTA practice items, not live, recalled, leaked, retired, proprietary, or memorized examination content.</w:t>
            </w:r>
          </w:p>
        </w:tc>
      </w:tr>
    </w:tbl>
    <w:p>
      <w:pPr>
        <w:spacing w:after="20"/>
      </w:pPr>
    </w:p>
    <w:tbl>
      <w:tblPr>
        <w:tblW w:type="dxa" w:w="9360"/>
        <w:jc w:val="center"/>
        <w:tblLayout w:type="fixed"/>
        <w:tblLook w:firstColumn="1" w:firstRow="1" w:lastColumn="0" w:lastRow="0" w:noHBand="0" w:noVBand="1" w:val="04A0"/>
        <w:tblInd w:w="0" w:type="dxa"/>
      </w:tblPr>
      <w:tblGrid>
        <w:gridCol w:w="9360"/>
      </w:tblGrid>
      <w:tr>
        <w:trPr>
          <w:tblHeader w:val="true"/>
          <w:cantSplit/>
        </w:trPr>
        <w:tc>
          <w:tcPr>
            <w:tcW w:type="dxa" w:w="9360"/>
            <w:shd w:fill="F2F4F7"/>
            <w:tcMar>
              <w:top w:w="120" w:type="dxa"/>
              <w:start w:w="120" w:type="dxa"/>
              <w:bottom w:w="120" w:type="dxa"/>
              <w:end w:w="120" w:type="dxa"/>
            </w:tcMar>
          </w:tcPr>
          <w:p>
            <w:pPr>
              <w:spacing w:after="0" w:line="269" w:lineRule="auto"/>
            </w:pPr>
            <w:r>
              <w:rPr>
                <w:rFonts w:ascii="Calibri" w:hAnsi="Calibri"/>
                <w:b/>
                <w:color w:val="12385B"/>
                <w:sz w:val="20"/>
              </w:rPr>
              <w:t xml:space="preserve">EDUCATIONAL USE AND OUTCOME NOTICE:  </w:t>
            </w:r>
            <w:r>
              <w:rPr>
                <w:rFonts w:ascii="Calibri" w:hAnsi="Calibri"/>
                <w:color w:val="1E2D38"/>
                <w:sz w:val="20"/>
              </w:rPr>
              <w:t>This file provides exam preparation only. It does not provide CE credit, legal advice, diagnosis, treatment, emergency services, supervision, or a substitute for current procedures and qualified consultation. Participation does not guarantee examination passage.</w:t>
            </w:r>
          </w:p>
        </w:tc>
      </w:tr>
    </w:tbl>
    <w:p>
      <w:pPr>
        <w:spacing w:after="20"/>
      </w:pPr>
    </w:p>
    <w:sectPr w:rsidR="00FC693F" w:rsidRPr="0006063C" w:rsidSect="00034616">
      <w:headerReference w:type="default" r:id="rId9"/>
      <w:footerReference w:type="default" r:id="rId10"/>
      <w:headerReference w:type="even" r:id="rId11"/>
      <w:footerReference w:type="even"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872"/>
        <w:sz w:val="16"/>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872"/>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tabs>
          <w:tab w:val="num" w:pos="270"/>
        </w:tabs>
        <w:ind w:left="540" w:hanging="27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2D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b/>
      <w:bCs/>
      <w:color w:val="12385B"/>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b/>
      <w:bCs/>
      <w:color w:val="13A6A6"/>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238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line="264" w:lineRule="auto"/>
    </w:pPr>
    <w:rPr>
      <w:rFonts w:asciiTheme="majorHAnsi" w:eastAsiaTheme="majorEastAsia" w:hAnsiTheme="majorHAnsi" w:cstheme="majorBidi" w:ascii="Calibri" w:hAnsi="Calibri"/>
      <w:b w:val="0"/>
      <w:i/>
      <w:iCs/>
      <w:color w:val="13A6A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amftrb.org/exam-info/" TargetMode="External"/><Relationship Id="rId15" Type="http://schemas.openxmlformats.org/officeDocument/2006/relationships/hyperlink" Target="https://amftrb.org/your-exam-roadmap/" TargetMode="External"/><Relationship Id="rId16" Type="http://schemas.openxmlformats.org/officeDocument/2006/relationships/hyperlink" Target="https://www.aamft.org/AAMFT/web/Action-Advocacy/Code-of-Ethics-New.aspx" TargetMode="External"/><Relationship Id="rId17" Type="http://schemas.openxmlformats.org/officeDocument/2006/relationships/hyperlink" Target="https://www.apa.org/practice/resources/evidence" TargetMode="External"/><Relationship Id="rId18" Type="http://schemas.openxmlformats.org/officeDocument/2006/relationships/hyperlink" Target="https://www.samhsa.gov/sites/default/files/ismicc-measurement-based-care-repor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10 Controlled Answer Key and Detailed Rationales</dc:title>
  <dc:subject>Controlled option-by-option rationales for original CTA Workbook 10 exam-preparation items; no CE credit</dc:subject>
  <dc:creator>Clinical Training &amp; Supervision Academy</dc:creator>
  <cp:keywords>LMFT, AMFTRB, exam preparation, progress evaluation, research literacy, measurement-based care, plan revision, termination, continuity, controlled answer key</cp:keywords>
  <dc:description>Release only after the learner completes and records the first timed attempt.</dc:description>
  <cp:lastModifiedBy/>
  <cp:revision>1</cp:revision>
  <dcterms:created xsi:type="dcterms:W3CDTF">2013-12-23T23:15:00Z</dcterms:created>
  <dcterms:modified xsi:type="dcterms:W3CDTF">2013-12-23T23:15:00Z</dcterms:modified>
  <cp:category/>
</cp:coreProperties>
</file>