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400"/>
        <w:jc w:val="center"/>
      </w:pPr>
      <w:r>
        <w:drawing>
          <wp:inline xmlns:a="http://schemas.openxmlformats.org/drawingml/2006/main" xmlns:pic="http://schemas.openxmlformats.org/drawingml/2006/picture">
            <wp:extent cx="4389120" cy="3018971"/>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3"/>
                    <a:stretch>
                      <a:fillRect/>
                    </a:stretch>
                  </pic:blipFill>
                  <pic:spPr>
                    <a:xfrm>
                      <a:off x="0" y="0"/>
                      <a:ext cx="4389120" cy="3018971"/>
                    </a:xfrm>
                    <a:prstGeom prst="rect"/>
                  </pic:spPr>
                </pic:pic>
              </a:graphicData>
            </a:graphic>
          </wp:inline>
        </w:drawing>
      </w:r>
    </w:p>
    <w:p>
      <w:pPr>
        <w:spacing w:after="60"/>
        <w:jc w:val="center"/>
      </w:pPr>
      <w:r>
        <w:rPr>
          <w:rFonts w:ascii="Calibri" w:hAnsi="Calibri"/>
          <w:b/>
          <w:color w:val="12385B"/>
          <w:sz w:val="34"/>
        </w:rPr>
        <w:t>CTA LMFT AMFTRB</w:t>
      </w:r>
    </w:p>
    <w:p>
      <w:pPr>
        <w:spacing w:after="280"/>
        <w:jc w:val="center"/>
      </w:pPr>
      <w:r>
        <w:rPr>
          <w:rFonts w:ascii="Calibri" w:hAnsi="Calibri"/>
          <w:b/>
          <w:color w:val="13A6A6"/>
          <w:sz w:val="21"/>
        </w:rPr>
        <w:t>NATIONAL EXAM PREPARATION PROGRAM</w:t>
      </w:r>
    </w:p>
    <w:p>
      <w:pPr>
        <w:spacing w:after="140"/>
        <w:jc w:val="center"/>
      </w:pPr>
      <w:r>
        <w:rPr>
          <w:rFonts w:ascii="Calibri" w:hAnsi="Calibri"/>
          <w:b/>
          <w:color w:val="9B1C1C"/>
          <w:sz w:val="20"/>
        </w:rPr>
        <w:t>CONTROLLED DOCUMENT</w:t>
      </w:r>
    </w:p>
    <w:p>
      <w:pPr>
        <w:pStyle w:val="Title"/>
        <w:jc w:val="center"/>
      </w:pPr>
      <w:r>
        <w:t>Answer Key and Detailed Rationales</w:t>
      </w:r>
    </w:p>
    <w:p>
      <w:pPr>
        <w:pStyle w:val="Subtitle"/>
        <w:jc w:val="center"/>
      </w:pPr>
      <w:r>
        <w:t>CTA LMFT AMFTRB Workbook 11</w:t>
      </w:r>
    </w:p>
    <w:p>
      <w:pPr>
        <w:spacing w:after="360"/>
        <w:jc w:val="center"/>
      </w:pPr>
      <w:r>
        <w:rPr>
          <w:rFonts w:ascii="Calibri" w:hAnsi="Calibri"/>
          <w:b/>
          <w:color w:val="12385B"/>
          <w:sz w:val="27"/>
        </w:rPr>
        <w:t>Diversity, Social Justice, Community Systems, Groups,</w:t>
        <w:br/>
        <w:t>Referral, Collaboration, and Supervision</w:t>
      </w:r>
    </w:p>
    <w:p>
      <w:pPr>
        <w:spacing w:after="100"/>
        <w:jc w:val="center"/>
      </w:pPr>
      <w:r>
        <w:rPr>
          <w:rFonts w:ascii="Calibri" w:hAnsi="Calibri"/>
          <w:color w:val="5A6872"/>
          <w:sz w:val="20"/>
        </w:rPr>
        <w:t>Version 1.0 - August 2026</w:t>
      </w:r>
    </w:p>
    <w:p>
      <w:pPr>
        <w:jc w:val="center"/>
      </w:pPr>
      <w:r>
        <w:rPr>
          <w:rFonts w:ascii="Calibri" w:hAnsi="Calibri"/>
          <w:b/>
          <w:color w:val="12385B"/>
          <w:sz w:val="21"/>
        </w:rPr>
        <w:t>Clinical Training &amp; Supervision Academy</w:t>
      </w:r>
    </w:p>
    <w:p>
      <w:pPr>
        <w:pStyle w:val="Heading1"/>
        <w:pageBreakBefore/>
      </w:pPr>
      <w:r>
        <w:t>Scoring and Use Instructions</w:t>
      </w:r>
    </w:p>
    <w:p>
      <w:pPr>
        <w:numPr>
          <w:ilvl w:val="0"/>
          <w:numId w:val="10"/>
        </w:numPr>
        <w:spacing w:after="80" w:line="300" w:lineRule="auto"/>
        <w:ind w:left="540" w:hanging="271"/>
      </w:pPr>
      <w:r>
        <w:rPr>
          <w:rFonts w:ascii="Calibri" w:hAnsi="Calibri"/>
          <w:color w:val="1E2D38"/>
          <w:sz w:val="22"/>
        </w:rPr>
        <w:t>Score the first attempt using the compact key. Preserve the learner's original answers, confidence ratings, and time used.</w:t>
      </w:r>
    </w:p>
    <w:p>
      <w:pPr>
        <w:numPr>
          <w:ilvl w:val="0"/>
          <w:numId w:val="10"/>
        </w:numPr>
        <w:spacing w:after="80" w:line="300" w:lineRule="auto"/>
        <w:ind w:left="540" w:hanging="271"/>
      </w:pPr>
      <w:r>
        <w:rPr>
          <w:rFonts w:ascii="Calibri" w:hAnsi="Calibri"/>
          <w:color w:val="1E2D38"/>
          <w:sz w:val="22"/>
        </w:rPr>
        <w:t>Review every incorrect answer and every correct answer marked confidence 1 or 2. Read all four option rationales before writing a transfer rule.</w:t>
      </w:r>
    </w:p>
    <w:p>
      <w:pPr>
        <w:numPr>
          <w:ilvl w:val="0"/>
          <w:numId w:val="10"/>
        </w:numPr>
        <w:spacing w:after="80" w:line="300" w:lineRule="auto"/>
        <w:ind w:left="540" w:hanging="271"/>
      </w:pPr>
      <w:r>
        <w:rPr>
          <w:rFonts w:ascii="Calibri" w:hAnsi="Calibri"/>
          <w:color w:val="1E2D38"/>
          <w:sz w:val="22"/>
        </w:rPr>
        <w:t>Assign the controlled remediation code and examine whether another recurring reasoning pattern also contributed.</w:t>
      </w:r>
    </w:p>
    <w:p>
      <w:pPr>
        <w:numPr>
          <w:ilvl w:val="0"/>
          <w:numId w:val="10"/>
        </w:numPr>
        <w:spacing w:after="80" w:line="300" w:lineRule="auto"/>
        <w:ind w:left="540" w:hanging="271"/>
      </w:pPr>
      <w:r>
        <w:rPr>
          <w:rFonts w:ascii="Calibri" w:hAnsi="Calibri"/>
          <w:color w:val="1E2D38"/>
          <w:sz w:val="22"/>
        </w:rPr>
        <w:t>Return to the named objective and chapter/tool, complete the remediation plan, and retake only after the learner can explain the decision point and competing-option defects.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CONTROLLED USE:  </w:t>
            </w:r>
            <w:r>
              <w:rPr>
                <w:rFonts w:ascii="Calibri" w:hAnsi="Calibri"/>
                <w:color w:val="1E2D38"/>
                <w:sz w:val="20"/>
              </w:rPr>
              <w:t>Release only after the candidate completes and records the first timed attempt. Keep this file separate from the learner-facing candidate bank.</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CURRENCY CONTROL:  </w:t>
            </w:r>
            <w:r>
              <w:rPr>
                <w:rFonts w:ascii="Calibri" w:hAnsi="Calibri"/>
                <w:color w:val="1E2D38"/>
                <w:sz w:val="20"/>
              </w:rPr>
              <w:t>Clinical reasoning in this file does not replace current law, regulation, ethics, board guidance, accessibility and language-access requirements, organizational policy, emergency procedures, supervision rules, or individualized consultation. Jurisdiction-dependent requirements must be verified before practice application.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12385B"/>
                <w:sz w:val="20"/>
              </w:rPr>
              <w:t xml:space="preserve">PROGRAM DESIGNATION:  </w:t>
            </w:r>
            <w:r>
              <w:rPr>
                <w:rFonts w:ascii="Calibri" w:hAnsi="Calibri"/>
                <w:color w:val="1E2D38"/>
                <w:sz w:val="20"/>
              </w:rPr>
              <w:t>Editable Word document | Original CTA exam preparation | No CE credit | Participation does not guarantee examination passage.</w:t>
            </w:r>
          </w:p>
        </w:tc>
      </w:tr>
    </w:tbl>
    <w:p>
      <w:pPr>
        <w:spacing w:after="20"/>
      </w:pPr>
    </w:p>
    <w:p>
      <w:pPr>
        <w:pStyle w:val="Heading2"/>
      </w:pPr>
      <w:r>
        <w:t>Compact Answer Key</w:t>
      </w:r>
    </w:p>
    <w:tbl>
      <w:tblPr>
        <w:tblW w:type="dxa" w:w="9360"/>
        <w:jc w:val="center"/>
        <w:tblLayout w:type="fixed"/>
        <w:tblLook w:firstColumn="1" w:firstRow="1" w:lastColumn="0" w:lastRow="0" w:noHBand="0" w:noVBand="1" w:val="04A0"/>
        <w:tblInd w:w="0" w:type="dxa"/>
      </w:tblPr>
      <w:tblGrid>
        <w:gridCol w:w="690"/>
        <w:gridCol w:w="510"/>
        <w:gridCol w:w="510"/>
        <w:gridCol w:w="510"/>
        <w:gridCol w:w="510"/>
        <w:gridCol w:w="510"/>
        <w:gridCol w:w="510"/>
        <w:gridCol w:w="510"/>
        <w:gridCol w:w="510"/>
        <w:gridCol w:w="510"/>
        <w:gridCol w:w="510"/>
        <w:gridCol w:w="510"/>
        <w:gridCol w:w="510"/>
        <w:gridCol w:w="510"/>
        <w:gridCol w:w="510"/>
        <w:gridCol w:w="510"/>
        <w:gridCol w:w="510"/>
        <w:gridCol w:w="510"/>
      </w:tblGrid>
      <w:tr>
        <w:trPr>
          <w:tblHeader w:val="true"/>
          <w:cantSplit/>
        </w:trPr>
        <w:tc>
          <w:tcPr>
            <w:tcW w:type="dxa" w:w="690"/>
            <w:shd w:fill="12385B"/>
            <w:tcMar>
              <w:top w:w="80" w:type="dxa"/>
              <w:start w:w="120" w:type="dxa"/>
              <w:bottom w:w="80" w:type="dxa"/>
              <w:end w:w="120" w:type="dxa"/>
            </w:tcMar>
            <w:vAlign w:val="center"/>
          </w:tcPr>
          <w:p>
            <w:pPr>
              <w:spacing w:after="0"/>
              <w:jc w:val="center"/>
            </w:pPr>
            <w:r/>
            <w:r>
              <w:rPr>
                <w:rFonts w:ascii="Calibri" w:hAnsi="Calibri"/>
                <w:b/>
                <w:color w:val="FFFFFF"/>
                <w:sz w:val="18"/>
              </w:rPr>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2</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3</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4</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5</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6</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7</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8</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9</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10</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11</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12</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13</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14</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15</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16</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17</w:t>
            </w:r>
          </w:p>
        </w:tc>
      </w:tr>
      <w:tr>
        <w:trPr>
          <w:cantSplit/>
        </w:trPr>
        <w:tc>
          <w:tcPr>
            <w:tcW w:type="dxa" w:w="690"/>
            <w:tcMar>
              <w:top w:w="80" w:type="dxa"/>
              <w:start w:w="120" w:type="dxa"/>
              <w:bottom w:w="80" w:type="dxa"/>
              <w:end w:w="120" w:type="dxa"/>
            </w:tcMar>
            <w:vAlign w:val="center"/>
          </w:tcPr>
          <w:p>
            <w:pPr>
              <w:spacing w:after="0" w:line="259" w:lineRule="auto"/>
              <w:jc w:val="center"/>
            </w:pPr>
            <w:r/>
            <w:r>
              <w:rPr>
                <w:rFonts w:ascii="Calibri" w:hAnsi="Calibri"/>
                <w:color w:val="1E2D38"/>
                <w:sz w:val="15"/>
              </w:rPr>
              <w:t>Key</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r>
      <w:tr>
        <w:trPr>
          <w:cantSplit/>
        </w:trPr>
        <w:tc>
          <w:tcPr>
            <w:tcW w:type="dxa" w:w="69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5"/>
              </w:rPr>
              <w:t>Code</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R2</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R3</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R4</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R5</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R5</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R8</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R6</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R6</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R7</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R7</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R8</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R9</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R9</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R10</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R10</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R10</w:t>
            </w:r>
          </w:p>
        </w:tc>
      </w:tr>
    </w:tbl>
    <w:p>
      <w:pPr>
        <w:spacing w:after="20"/>
      </w:pPr>
    </w:p>
    <w:p>
      <w:pPr>
        <w:pStyle w:val="Heading2"/>
        <w:pageBreakBefore/>
      </w:pPr>
      <w:r>
        <w:t>Blueprint Synchronization Audit</w:t>
      </w:r>
    </w:p>
    <w:tbl>
      <w:tblPr>
        <w:tblW w:type="dxa" w:w="9360"/>
        <w:jc w:val="center"/>
        <w:tblLayout w:type="fixed"/>
        <w:tblLook w:firstColumn="1" w:firstRow="1" w:lastColumn="0" w:lastRow="0" w:noHBand="0" w:noVBand="1" w:val="04A0"/>
        <w:tblInd w:w="0" w:type="dxa"/>
      </w:tblPr>
      <w:tblGrid>
        <w:gridCol w:w="1600"/>
        <w:gridCol w:w="2900"/>
        <w:gridCol w:w="3240"/>
        <w:gridCol w:w="1620"/>
      </w:tblGrid>
      <w:tr>
        <w:trPr>
          <w:tblHeader w:val="true"/>
          <w:cantSplit/>
        </w:trPr>
        <w:tc>
          <w:tcPr>
            <w:tcW w:type="dxa" w:w="1600"/>
            <w:shd w:fill="12385B"/>
            <w:tcMar>
              <w:top w:w="80" w:type="dxa"/>
              <w:start w:w="120" w:type="dxa"/>
              <w:bottom w:w="80" w:type="dxa"/>
              <w:end w:w="120" w:type="dxa"/>
            </w:tcMar>
            <w:vAlign w:val="center"/>
          </w:tcPr>
          <w:p>
            <w:pPr>
              <w:spacing w:after="0"/>
              <w:jc w:val="center"/>
            </w:pPr>
            <w:r/>
            <w:r>
              <w:rPr>
                <w:rFonts w:ascii="Calibri" w:hAnsi="Calibri"/>
                <w:b/>
                <w:color w:val="FFFFFF"/>
                <w:sz w:val="18"/>
              </w:rPr>
              <w:t>Dimension</w:t>
            </w:r>
          </w:p>
        </w:tc>
        <w:tc>
          <w:tcPr>
            <w:tcW w:type="dxa" w:w="2900"/>
            <w:shd w:fill="12385B"/>
            <w:tcMar>
              <w:top w:w="80" w:type="dxa"/>
              <w:start w:w="120" w:type="dxa"/>
              <w:bottom w:w="80" w:type="dxa"/>
              <w:end w:w="120" w:type="dxa"/>
            </w:tcMar>
            <w:vAlign w:val="center"/>
          </w:tcPr>
          <w:p>
            <w:pPr>
              <w:spacing w:after="0"/>
              <w:jc w:val="center"/>
            </w:pPr>
            <w:r/>
            <w:r>
              <w:rPr>
                <w:rFonts w:ascii="Calibri" w:hAnsi="Calibri"/>
                <w:b/>
                <w:color w:val="FFFFFF"/>
                <w:sz w:val="18"/>
              </w:rPr>
              <w:t>Required</w:t>
            </w:r>
          </w:p>
        </w:tc>
        <w:tc>
          <w:tcPr>
            <w:tcW w:type="dxa" w:w="3240"/>
            <w:shd w:fill="12385B"/>
            <w:tcMar>
              <w:top w:w="80" w:type="dxa"/>
              <w:start w:w="120" w:type="dxa"/>
              <w:bottom w:w="80" w:type="dxa"/>
              <w:end w:w="120" w:type="dxa"/>
            </w:tcMar>
            <w:vAlign w:val="center"/>
          </w:tcPr>
          <w:p>
            <w:pPr>
              <w:spacing w:after="0"/>
              <w:jc w:val="left"/>
            </w:pPr>
            <w:r/>
            <w:r>
              <w:rPr>
                <w:rFonts w:ascii="Calibri" w:hAnsi="Calibri"/>
                <w:b/>
                <w:color w:val="FFFFFF"/>
                <w:sz w:val="18"/>
              </w:rPr>
              <w:t>Controlled result</w:t>
            </w:r>
          </w:p>
        </w:tc>
        <w:tc>
          <w:tcPr>
            <w:tcW w:type="dxa" w:w="1620"/>
            <w:shd w:fill="12385B"/>
            <w:tcMar>
              <w:top w:w="80" w:type="dxa"/>
              <w:start w:w="120" w:type="dxa"/>
              <w:bottom w:w="80" w:type="dxa"/>
              <w:end w:w="120" w:type="dxa"/>
            </w:tcMar>
            <w:vAlign w:val="center"/>
          </w:tcPr>
          <w:p>
            <w:pPr>
              <w:spacing w:after="0"/>
              <w:jc w:val="center"/>
            </w:pPr>
            <w:r/>
            <w:r>
              <w:rPr>
                <w:rFonts w:ascii="Calibri" w:hAnsi="Calibri"/>
                <w:b/>
                <w:color w:val="FFFFFF"/>
                <w:sz w:val="18"/>
              </w:rPr>
              <w:t>Status</w:t>
            </w:r>
          </w:p>
        </w:tc>
      </w:tr>
      <w:tr>
        <w:trPr>
          <w:cantSplit/>
        </w:trPr>
        <w:tc>
          <w:tcPr>
            <w:tcW w:type="dxa" w:w="1600"/>
            <w:tcMar>
              <w:top w:w="80" w:type="dxa"/>
              <w:start w:w="120" w:type="dxa"/>
              <w:bottom w:w="80" w:type="dxa"/>
              <w:end w:w="120" w:type="dxa"/>
            </w:tcMar>
            <w:vAlign w:val="center"/>
          </w:tcPr>
          <w:p>
            <w:pPr>
              <w:spacing w:after="0" w:line="259" w:lineRule="auto"/>
              <w:jc w:val="center"/>
            </w:pPr>
            <w:r/>
            <w:r>
              <w:rPr>
                <w:rFonts w:ascii="Calibri" w:hAnsi="Calibri"/>
                <w:color w:val="1E2D38"/>
                <w:sz w:val="16"/>
              </w:rPr>
              <w:t>Total</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6"/>
              </w:rPr>
              <w:t>17</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6"/>
              </w:rPr>
              <w:t>17</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6"/>
              </w:rPr>
              <w:t>PASS</w:t>
            </w:r>
          </w:p>
        </w:tc>
      </w:tr>
      <w:tr>
        <w:trPr>
          <w:cantSplit/>
        </w:trPr>
        <w:tc>
          <w:tcPr>
            <w:tcW w:type="dxa" w:w="1600"/>
            <w:tcMar>
              <w:top w:w="80" w:type="dxa"/>
              <w:start w:w="120" w:type="dxa"/>
              <w:bottom w:w="80" w:type="dxa"/>
              <w:end w:w="120" w:type="dxa"/>
            </w:tcMar>
            <w:vAlign w:val="center"/>
            <w:shd w:fill="F8FAFC"/>
          </w:tcPr>
          <w:p>
            <w:pPr>
              <w:spacing w:after="0" w:line="259" w:lineRule="auto"/>
            </w:pPr>
            <w:r/>
            <w:r>
              <w:rPr>
                <w:rFonts w:ascii="Calibri" w:hAnsi="Calibri"/>
                <w:color w:val="1E2D38"/>
                <w:sz w:val="16"/>
              </w:rPr>
              <w:t>Difficulty</w:t>
            </w:r>
          </w:p>
        </w:tc>
        <w:tc>
          <w:tcPr>
            <w:tcW w:type="dxa" w:w="2900"/>
            <w:tcMar>
              <w:top w:w="80" w:type="dxa"/>
              <w:start w:w="120" w:type="dxa"/>
              <w:bottom w:w="80" w:type="dxa"/>
              <w:end w:w="120" w:type="dxa"/>
            </w:tcMar>
            <w:vAlign w:val="center"/>
            <w:shd w:fill="F8FAFC"/>
          </w:tcPr>
          <w:p>
            <w:pPr>
              <w:spacing w:after="0" w:line="259" w:lineRule="auto"/>
            </w:pPr>
            <w:r/>
            <w:r>
              <w:rPr>
                <w:rFonts w:ascii="Calibri" w:hAnsi="Calibri"/>
                <w:color w:val="1E2D38"/>
                <w:sz w:val="16"/>
              </w:rPr>
              <w:t>E=5; M=7; D=5</w:t>
            </w:r>
          </w:p>
        </w:tc>
        <w:tc>
          <w:tcPr>
            <w:tcW w:type="dxa" w:w="3240"/>
            <w:tcMar>
              <w:top w:w="80" w:type="dxa"/>
              <w:start w:w="120" w:type="dxa"/>
              <w:bottom w:w="80" w:type="dxa"/>
              <w:end w:w="120" w:type="dxa"/>
            </w:tcMar>
            <w:vAlign w:val="center"/>
            <w:shd w:fill="F8FAFC"/>
          </w:tcPr>
          <w:p>
            <w:pPr>
              <w:spacing w:after="0" w:line="259" w:lineRule="auto"/>
            </w:pPr>
            <w:r/>
            <w:r>
              <w:rPr>
                <w:rFonts w:ascii="Calibri" w:hAnsi="Calibri"/>
                <w:color w:val="1E2D38"/>
                <w:sz w:val="16"/>
              </w:rPr>
              <w:t>E=5; M=7; D=5</w:t>
            </w:r>
          </w:p>
        </w:tc>
        <w:tc>
          <w:tcPr>
            <w:tcW w:type="dxa" w:w="1620"/>
            <w:tcMar>
              <w:top w:w="80" w:type="dxa"/>
              <w:start w:w="120" w:type="dxa"/>
              <w:bottom w:w="80" w:type="dxa"/>
              <w:end w:w="120" w:type="dxa"/>
            </w:tcMar>
            <w:vAlign w:val="center"/>
            <w:shd w:fill="F8FAFC"/>
          </w:tcPr>
          <w:p>
            <w:pPr>
              <w:spacing w:after="0" w:line="259" w:lineRule="auto"/>
            </w:pPr>
            <w:r/>
            <w:r>
              <w:rPr>
                <w:rFonts w:ascii="Calibri" w:hAnsi="Calibri"/>
                <w:color w:val="1E2D38"/>
                <w:sz w:val="16"/>
              </w:rPr>
              <w:t>PASS</w:t>
            </w:r>
          </w:p>
        </w:tc>
      </w:tr>
      <w:tr>
        <w:trPr>
          <w:cantSplit/>
        </w:trPr>
        <w:tc>
          <w:tcPr>
            <w:tcW w:type="dxa" w:w="1600"/>
            <w:tcMar>
              <w:top w:w="80" w:type="dxa"/>
              <w:start w:w="120" w:type="dxa"/>
              <w:bottom w:w="80" w:type="dxa"/>
              <w:end w:w="120" w:type="dxa"/>
            </w:tcMar>
            <w:vAlign w:val="center"/>
          </w:tcPr>
          <w:p>
            <w:pPr>
              <w:spacing w:after="0" w:line="259" w:lineRule="auto"/>
              <w:jc w:val="center"/>
            </w:pPr>
            <w:r/>
            <w:r>
              <w:rPr>
                <w:rFonts w:ascii="Calibri" w:hAnsi="Calibri"/>
                <w:color w:val="1E2D38"/>
                <w:sz w:val="16"/>
              </w:rPr>
              <w:t>Type</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6"/>
              </w:rPr>
              <w:t>K=3; A=5; S=6; I=3</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6"/>
              </w:rPr>
              <w:t>K=3; A=5; S=6; I=3</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6"/>
              </w:rPr>
              <w:t>PASS</w:t>
            </w:r>
          </w:p>
        </w:tc>
      </w:tr>
      <w:tr>
        <w:trPr>
          <w:cantSplit/>
        </w:trPr>
        <w:tc>
          <w:tcPr>
            <w:tcW w:type="dxa" w:w="1600"/>
            <w:tcMar>
              <w:top w:w="80" w:type="dxa"/>
              <w:start w:w="120" w:type="dxa"/>
              <w:bottom w:w="80" w:type="dxa"/>
              <w:end w:w="120" w:type="dxa"/>
            </w:tcMar>
            <w:vAlign w:val="center"/>
            <w:shd w:fill="F8FAFC"/>
          </w:tcPr>
          <w:p>
            <w:pPr>
              <w:spacing w:after="0" w:line="259" w:lineRule="auto"/>
            </w:pPr>
            <w:r/>
            <w:r>
              <w:rPr>
                <w:rFonts w:ascii="Calibri" w:hAnsi="Calibri"/>
                <w:color w:val="1E2D38"/>
                <w:sz w:val="16"/>
              </w:rPr>
              <w:t>Primary domain</w:t>
            </w:r>
          </w:p>
        </w:tc>
        <w:tc>
          <w:tcPr>
            <w:tcW w:type="dxa" w:w="2900"/>
            <w:tcMar>
              <w:top w:w="80" w:type="dxa"/>
              <w:start w:w="120" w:type="dxa"/>
              <w:bottom w:w="80" w:type="dxa"/>
              <w:end w:w="120" w:type="dxa"/>
            </w:tcMar>
            <w:vAlign w:val="center"/>
            <w:shd w:fill="F8FAFC"/>
          </w:tcPr>
          <w:p>
            <w:pPr>
              <w:spacing w:after="0" w:line="259" w:lineRule="auto"/>
            </w:pPr>
            <w:r/>
            <w:r>
              <w:rPr>
                <w:rFonts w:ascii="Calibri" w:hAnsi="Calibri"/>
                <w:color w:val="1E2D38"/>
                <w:sz w:val="16"/>
              </w:rPr>
              <w:t>D1=6; D2=1; D3=4; D4=1; D5=1; D6=4</w:t>
            </w:r>
          </w:p>
        </w:tc>
        <w:tc>
          <w:tcPr>
            <w:tcW w:type="dxa" w:w="3240"/>
            <w:tcMar>
              <w:top w:w="80" w:type="dxa"/>
              <w:start w:w="120" w:type="dxa"/>
              <w:bottom w:w="80" w:type="dxa"/>
              <w:end w:w="120" w:type="dxa"/>
            </w:tcMar>
            <w:vAlign w:val="center"/>
            <w:shd w:fill="F8FAFC"/>
          </w:tcPr>
          <w:p>
            <w:pPr>
              <w:spacing w:after="0" w:line="259" w:lineRule="auto"/>
            </w:pPr>
            <w:r/>
            <w:r>
              <w:rPr>
                <w:rFonts w:ascii="Calibri" w:hAnsi="Calibri"/>
                <w:color w:val="1E2D38"/>
                <w:sz w:val="16"/>
              </w:rPr>
              <w:t>D1=6; D2=1; D3=4; D4=1; D5=1; D6=4</w:t>
            </w:r>
          </w:p>
        </w:tc>
        <w:tc>
          <w:tcPr>
            <w:tcW w:type="dxa" w:w="1620"/>
            <w:tcMar>
              <w:top w:w="80" w:type="dxa"/>
              <w:start w:w="120" w:type="dxa"/>
              <w:bottom w:w="80" w:type="dxa"/>
              <w:end w:w="120" w:type="dxa"/>
            </w:tcMar>
            <w:vAlign w:val="center"/>
            <w:shd w:fill="F8FAFC"/>
          </w:tcPr>
          <w:p>
            <w:pPr>
              <w:spacing w:after="0" w:line="259" w:lineRule="auto"/>
            </w:pPr>
            <w:r/>
            <w:r>
              <w:rPr>
                <w:rFonts w:ascii="Calibri" w:hAnsi="Calibri"/>
                <w:color w:val="1E2D38"/>
                <w:sz w:val="16"/>
              </w:rPr>
              <w:t>PASS</w:t>
            </w:r>
          </w:p>
        </w:tc>
      </w:tr>
      <w:tr>
        <w:trPr>
          <w:cantSplit/>
        </w:trPr>
        <w:tc>
          <w:tcPr>
            <w:tcW w:type="dxa" w:w="1600"/>
            <w:tcMar>
              <w:top w:w="80" w:type="dxa"/>
              <w:start w:w="120" w:type="dxa"/>
              <w:bottom w:w="80" w:type="dxa"/>
              <w:end w:w="120" w:type="dxa"/>
            </w:tcMar>
            <w:vAlign w:val="center"/>
          </w:tcPr>
          <w:p>
            <w:pPr>
              <w:spacing w:after="0" w:line="259" w:lineRule="auto"/>
            </w:pPr>
            <w:r/>
            <w:r>
              <w:rPr>
                <w:rFonts w:ascii="Calibri" w:hAnsi="Calibri"/>
                <w:color w:val="1E2D38"/>
                <w:sz w:val="16"/>
              </w:rPr>
              <w:t>Key position</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6"/>
              </w:rPr>
              <w:t>A=5; B=4; C=4; D=4</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6"/>
              </w:rPr>
              <w:t>A=5; B=4; C=4; D=4</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6"/>
              </w:rPr>
              <w:t>PASS</w:t>
            </w:r>
          </w:p>
        </w:tc>
      </w:tr>
    </w:tbl>
    <w:p>
      <w:pPr>
        <w:spacing w:after="20"/>
      </w:pPr>
    </w:p>
    <w:p>
      <w:pPr>
        <w:pStyle w:val="Heading1"/>
      </w:pPr>
      <w:r>
        <w:t>Item 1 -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Which practice BEST reflects cultural humility when identity or culture may shape a clinical decision?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Continually examine the therapist's assumptions and position, invite the client system's own meanings and strengths, test hypotheses collaboratively, and seek feedback about impact.</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Learn the most common beliefs associated with each cultural group and use them to predict treatment preferences efficiently.</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Avoid asking about identity unless clients introduce it, because uniform treatment is the most neutral approach.</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Assume that matching the therapist and client on one identity removes the need to examine power or individual meaning.</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describes cultural humility as an ongoing relational practice rather than mastery of facts about groups. It combines therapist self-location, respectful inquiry, client-defined meaning, collaborative hypothesis testing, and feedback about impact.</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keeps identity meaning individualized, examines therapist position and assumptions, and uses the client system's feedback to guide adaptation and repair.</w:t>
      </w:r>
    </w:p>
    <w:p>
      <w:pPr>
        <w:keepLines/>
        <w:spacing w:after="100" w:line="283" w:lineRule="auto"/>
      </w:pPr>
      <w:r>
        <w:rPr>
          <w:rFonts w:ascii="Calibri" w:hAnsi="Calibri"/>
          <w:b/>
          <w:color w:val="12385B"/>
          <w:sz w:val="21"/>
        </w:rPr>
        <w:t xml:space="preserve">B: </w:t>
      </w:r>
      <w:r>
        <w:rPr>
          <w:rFonts w:ascii="Calibri" w:hAnsi="Calibri"/>
          <w:color w:val="1E2D38"/>
          <w:sz w:val="21"/>
        </w:rPr>
        <w:t>Culture-as-checklist trap. Group-level knowledge may offer context, but using it to predict an individual's preferences invites stereotyping and essentialism.</w:t>
      </w:r>
    </w:p>
    <w:p>
      <w:pPr>
        <w:keepLines/>
        <w:spacing w:after="100" w:line="283" w:lineRule="auto"/>
      </w:pPr>
      <w:r>
        <w:rPr>
          <w:rFonts w:ascii="Calibri" w:hAnsi="Calibri"/>
          <w:b/>
          <w:color w:val="12385B"/>
          <w:sz w:val="21"/>
        </w:rPr>
        <w:t xml:space="preserve">C: </w:t>
      </w:r>
      <w:r>
        <w:rPr>
          <w:rFonts w:ascii="Calibri" w:hAnsi="Calibri"/>
          <w:color w:val="1E2D38"/>
          <w:sz w:val="21"/>
        </w:rPr>
        <w:t>False-neutrality trap. Avoiding identity unless the client raises it can leave clinically relevant power, oppression, strengths, and access needs unexamined.</w:t>
      </w:r>
    </w:p>
    <w:p>
      <w:pPr>
        <w:keepLines/>
        <w:spacing w:after="100" w:line="283" w:lineRule="auto"/>
      </w:pPr>
      <w:r>
        <w:rPr>
          <w:rFonts w:ascii="Calibri" w:hAnsi="Calibri"/>
          <w:b/>
          <w:color w:val="12385B"/>
          <w:sz w:val="21"/>
        </w:rPr>
        <w:t xml:space="preserve">D: </w:t>
      </w:r>
      <w:r>
        <w:rPr>
          <w:rFonts w:ascii="Calibri" w:hAnsi="Calibri"/>
          <w:color w:val="1E2D38"/>
          <w:sz w:val="21"/>
        </w:rPr>
        <w:t>Identity-match trap. Sharing one identity does not erase intersectional differences, therapist authority, power, bias, or the need to ask what the identity means to this client.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Cultural-humility items favor curiosity, self-location, client-defined meaning, collaborative testing, and feedback over presumed expertise about groups.</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HUMBLE: hold curiosity and locate self, understand context, map power and strengths, build client-defined meaning, link adaptations, and evaluate impact.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Use cultural humility before interpreting identity meaning</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HUMBLE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2 -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court-referred parent gives brief answers and agrees with every recommendation. The therapist interprets the parent's silence as cultural deference and documents strong treatment buy-in.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Continue the plan because agreement in a mandated setting establishes informed participation.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Examine the assumption and referral power, clarify consequences and choices, ask how the parent understands the situation, and invite disagreement and goals.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Ask a relative from the same cultural community to explain what the parent is probably thinking.</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Exclude cultural and power factors from the formulation until the parent openly objects to treatment.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B treats the parent's silence as ambiguous rather than as proof of cultural deference or informed agreement. It examines the coercive referral context, makes choices and consequences understandable, and restores the parent's voice before concluding that the plan has meaningful buy-in.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Mandate-means-consent trap. Attendance or agreement in a court-referred setting does not by itself establish understanding, voluntariness, or informed participation.</w:t>
      </w:r>
    </w:p>
    <w:p>
      <w:pPr>
        <w:keepLines/>
        <w:spacing w:after="100" w:line="283" w:lineRule="auto"/>
      </w:pPr>
      <w:r>
        <w:rPr>
          <w:rFonts w:ascii="Calibri" w:hAnsi="Calibri"/>
          <w:b/>
          <w:color w:val="1F3A5F"/>
          <w:sz w:val="21"/>
        </w:rPr>
        <w:t xml:space="preserve">B: </w:t>
      </w:r>
      <w:r>
        <w:rPr>
          <w:rFonts w:ascii="Calibri" w:hAnsi="Calibri"/>
          <w:color w:val="1E2D38"/>
          <w:sz w:val="21"/>
        </w:rPr>
        <w:t>Correct. It examines therapist and referral power, tests the cultural assumption, clarifies real choices, and invites the parent's own meaning, goals, and disagreement.</w:t>
      </w:r>
    </w:p>
    <w:p>
      <w:pPr>
        <w:keepLines/>
        <w:spacing w:after="100" w:line="283" w:lineRule="auto"/>
      </w:pPr>
      <w:r>
        <w:rPr>
          <w:rFonts w:ascii="Calibri" w:hAnsi="Calibri"/>
          <w:b/>
          <w:color w:val="12385B"/>
          <w:sz w:val="21"/>
        </w:rPr>
        <w:t xml:space="preserve">C: </w:t>
      </w:r>
      <w:r>
        <w:rPr>
          <w:rFonts w:ascii="Calibri" w:hAnsi="Calibri"/>
          <w:color w:val="1E2D38"/>
          <w:sz w:val="21"/>
        </w:rPr>
        <w:t>Proxy-assumption trap. A relative cannot be used to infer what the parent thinks; doing so may add stereotyping, privacy problems, and another power layer.</w:t>
      </w:r>
    </w:p>
    <w:p>
      <w:pPr>
        <w:keepLines/>
        <w:spacing w:after="100" w:line="283" w:lineRule="auto"/>
      </w:pPr>
      <w:r>
        <w:rPr>
          <w:rFonts w:ascii="Calibri" w:hAnsi="Calibri"/>
          <w:b/>
          <w:color w:val="12385B"/>
          <w:sz w:val="21"/>
        </w:rPr>
        <w:t xml:space="preserve">D: </w:t>
      </w:r>
      <w:r>
        <w:rPr>
          <w:rFonts w:ascii="Calibri" w:hAnsi="Calibri"/>
          <w:color w:val="1E2D38"/>
          <w:sz w:val="21"/>
        </w:rPr>
        <w:t>Power-avoidance trap. Waiting for overt objection privileges compliance as the default and ignores how authority, consequences, culture, and safety may shape speech.</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silence or agreement occurs under authority, do not infer culture or consent; clarify power, choices, consequences, understanding, and client-defined meaning.</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Name the referral context, explain actual choices and consequences, ask how the client understands the situation, invite disagreement, and revise the plan collaboratively.</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Examine therapist position, power, and client-defined meaning</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 and 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HUMBLE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Mandated-treatment consent, disclosures, documentation, court communication, and client-choice requirements must follow current law, ethics, court orders, informed-consent terms, and setting policy.</w:t>
            </w:r>
          </w:p>
        </w:tc>
      </w:tr>
    </w:tbl>
    <w:p>
      <w:pPr>
        <w:spacing w:after="20"/>
      </w:pPr>
    </w:p>
    <w:p>
      <w:pPr>
        <w:pStyle w:val="Heading1"/>
      </w:pPr>
      <w:r>
        <w:t>Item 3 -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During family therapy, a transgender adult says that repeated use of the wrong name by clinic staff has made the clinic feel unsafe. The therapist replies, “They did not mean anything by it.” What is the therapist's BEST next response?</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Explain the staff members' intentions more fully so the client can reinterpret the experience.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Move to the family's original communication goal because clinic procedures are outside the therapist's role.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Acknowledge the dismissive response and harm, assess safety and participation, invite the client's desired repair, and take accountable action within role.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Promise that no identity-related error will ever occur again before asking what response the client wants.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C repairs the therapist's own minimizing response before moving forward. It centers the client's reported harm and safety, restores choice, and converts acknowledgment into accountable clinical and organizational action within role.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Intent-over-impact trap. Explaining staff intentions continues the minimization and does not address the client's experience, participation, or needed repair.</w:t>
      </w:r>
    </w:p>
    <w:p>
      <w:pPr>
        <w:keepLines/>
        <w:spacing w:after="100" w:line="283" w:lineRule="auto"/>
      </w:pPr>
      <w:r>
        <w:rPr>
          <w:rFonts w:ascii="Calibri" w:hAnsi="Calibri"/>
          <w:b/>
          <w:color w:val="12385B"/>
          <w:sz w:val="21"/>
        </w:rPr>
        <w:t xml:space="preserve">B: </w:t>
      </w:r>
      <w:r>
        <w:rPr>
          <w:rFonts w:ascii="Calibri" w:hAnsi="Calibri"/>
          <w:color w:val="1E2D38"/>
          <w:sz w:val="21"/>
        </w:rPr>
        <w:t>Role-withdrawal trap. Clinic procedures affect the treatment environment and alliance; declaring them outside the therapist's role avoids accountability and leaves the access problem active.</w:t>
      </w:r>
    </w:p>
    <w:p>
      <w:pPr>
        <w:keepLines/>
        <w:spacing w:after="100" w:line="283" w:lineRule="auto"/>
      </w:pPr>
      <w:r>
        <w:rPr>
          <w:rFonts w:ascii="Calibri" w:hAnsi="Calibri"/>
          <w:b/>
          <w:color w:val="1F3A5F"/>
          <w:sz w:val="21"/>
        </w:rPr>
        <w:t xml:space="preserve">C: </w:t>
      </w:r>
      <w:r>
        <w:rPr>
          <w:rFonts w:ascii="Calibri" w:hAnsi="Calibri"/>
          <w:color w:val="1E2D38"/>
          <w:sz w:val="21"/>
        </w:rPr>
        <w:t>Correct. It acknowledges harm, assesses safety and participation, invites the client's preferred repair, and follows through with accountable action.</w:t>
      </w:r>
    </w:p>
    <w:p>
      <w:pPr>
        <w:keepLines/>
        <w:spacing w:after="100" w:line="283" w:lineRule="auto"/>
      </w:pPr>
      <w:r>
        <w:rPr>
          <w:rFonts w:ascii="Calibri" w:hAnsi="Calibri"/>
          <w:b/>
          <w:color w:val="12385B"/>
          <w:sz w:val="21"/>
        </w:rPr>
        <w:t xml:space="preserve">D: </w:t>
      </w:r>
      <w:r>
        <w:rPr>
          <w:rFonts w:ascii="Calibri" w:hAnsi="Calibri"/>
          <w:color w:val="1E2D38"/>
          <w:sz w:val="21"/>
        </w:rPr>
        <w:t>Impossible-guarantee trap. Promising that no error will recur is not credible and bypasses the client's preferences, practical safeguards, and a plan for repair if another error occurs.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After identity-related harm, choose impact acknowledgment, safety and participation assessment, client-defined repair, and accountable follow-through.</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Acknowledge the impact without defensiveness, assess what the client needs to participate safely, ask what repair would help, act within role, and recheck impact.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Respond to oppression-related harm and repair the alliance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 and 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HUMBLE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4 -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Deaf client and hearing partner request couple therapy. The partner offers to interpret, but the client reports that automated captions omit important content and wants direct access to the discussion. Which response is BEST?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Accept the partner as interpreter after obtaining a general confidentiality agreement because the partner already knows the relationship history.</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Use automated captions for routine content, ask the partner to interpret complex portions, and check meaning with the client afterward.</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Proceed using written summaries after each session because asynchronous access protects privacy and avoids a third person in treatment.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Ask the client about preferred access, arrange qualified support consistent with current requirements, explain roles and privacy, and verify equal participation.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D begins with the Deaf client's stated communication preference and aims for effective, direct, and equal participation. It uses qualified support, clarifies the interpreter or access role and privacy boundaries, and verifies that the chosen arrangement works in the actual couple-therapy exchange.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Companion-interpreter trap. A partner's familiarity does not establish interpreting competence, impartiality, confidentiality, or the Deaf client's independent participation.</w:t>
      </w:r>
    </w:p>
    <w:p>
      <w:pPr>
        <w:keepLines/>
        <w:spacing w:after="100" w:line="283" w:lineRule="auto"/>
      </w:pPr>
      <w:r>
        <w:rPr>
          <w:rFonts w:ascii="Calibri" w:hAnsi="Calibri"/>
          <w:b/>
          <w:color w:val="12385B"/>
          <w:sz w:val="21"/>
        </w:rPr>
        <w:t xml:space="preserve">B: </w:t>
      </w:r>
      <w:r>
        <w:rPr>
          <w:rFonts w:ascii="Calibri" w:hAnsi="Calibri"/>
          <w:color w:val="1E2D38"/>
          <w:sz w:val="21"/>
        </w:rPr>
        <w:t>Patchwork-access trap. Combining inadequate captions with an unqualified partner leaves accuracy, privacy, power, and real-time participation unresolved.</w:t>
      </w:r>
    </w:p>
    <w:p>
      <w:pPr>
        <w:keepLines/>
        <w:spacing w:after="100" w:line="283" w:lineRule="auto"/>
      </w:pPr>
      <w:r>
        <w:rPr>
          <w:rFonts w:ascii="Calibri" w:hAnsi="Calibri"/>
          <w:b/>
          <w:color w:val="12385B"/>
          <w:sz w:val="21"/>
        </w:rPr>
        <w:t xml:space="preserve">C: </w:t>
      </w:r>
      <w:r>
        <w:rPr>
          <w:rFonts w:ascii="Calibri" w:hAnsi="Calibri"/>
          <w:color w:val="1E2D38"/>
          <w:sz w:val="21"/>
        </w:rPr>
        <w:t>Delayed-access trap. Post-session summaries do not provide equivalent access to the live relational process, choices, nuance, or opportunity to respond.</w:t>
      </w:r>
    </w:p>
    <w:p>
      <w:pPr>
        <w:keepLines/>
        <w:spacing w:after="100" w:line="283" w:lineRule="auto"/>
      </w:pPr>
      <w:r>
        <w:rPr>
          <w:rFonts w:ascii="Calibri" w:hAnsi="Calibri"/>
          <w:b/>
          <w:color w:val="1F3A5F"/>
          <w:sz w:val="21"/>
        </w:rPr>
        <w:t xml:space="preserve">D: </w:t>
      </w:r>
      <w:r>
        <w:rPr>
          <w:rFonts w:ascii="Calibri" w:hAnsi="Calibri"/>
          <w:color w:val="1E2D38"/>
          <w:sz w:val="21"/>
        </w:rPr>
        <w:t>Correct. It asks the client, arranges qualified and legally appropriate access, explains roles and privacy, and confirms meaningful participation.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Access items favor asking the client, using qualified supports, protecting privacy and role clarity, and verifying effective participation—not shifting access work to family.</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ACCESS: ask communication needs, check barriers and preferences, coordinate qualified support, eliminate avoidable burdens, share roles, and set follow-through.</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Arrange qualified language and disability-access supports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3 and 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Ch2 / ACCESS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Disability access, effective communication, auxiliary aids, interpreter use, payment, confidentiality, informed consent, and documentation depend on current federal, state, and local law, payer rules, ethics, and setting policy.</w:t>
            </w:r>
          </w:p>
        </w:tc>
      </w:tr>
    </w:tbl>
    <w:p>
      <w:pPr>
        <w:spacing w:after="20"/>
      </w:pPr>
    </w:p>
    <w:p>
      <w:pPr>
        <w:pStyle w:val="Heading1"/>
      </w:pPr>
      <w:r>
        <w:t>Item 5 -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family repeatedly arrives late because a caregiver's shift ends when the last reliable bus leaves, and evening child care is unavailable. What should the therapist do FIRST?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Ask how scheduling, transportation, caregiving, cost, and format affect participation, then collaborate on feasible supports before interpreting low motivation.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Apply the attendance consequence now and offer accommodations only after the family demonstrates improved motivation.</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Focus treatment on the caregiver's time-management skills because external conditions cannot be changed in therapy.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Require another family member to provide transportation and child care as a condition of continued treatment.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assesses modifiable participation barriers before assigning an intrapersonal explanation. It treats transportation, work, caregiving, cost, and format as systemic clinical information and invites a feasible access plan with the family.</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investigates the conditions shaping attendance and collaborates on supports before interpreting the pattern as low motivation.</w:t>
      </w:r>
    </w:p>
    <w:p>
      <w:pPr>
        <w:keepLines/>
        <w:spacing w:after="100" w:line="283" w:lineRule="auto"/>
      </w:pPr>
      <w:r>
        <w:rPr>
          <w:rFonts w:ascii="Calibri" w:hAnsi="Calibri"/>
          <w:b/>
          <w:color w:val="12385B"/>
          <w:sz w:val="21"/>
        </w:rPr>
        <w:t xml:space="preserve">B: </w:t>
      </w:r>
      <w:r>
        <w:rPr>
          <w:rFonts w:ascii="Calibri" w:hAnsi="Calibri"/>
          <w:color w:val="1E2D38"/>
          <w:sz w:val="21"/>
        </w:rPr>
        <w:t>Punitive-sequence trap. Enforcing a consequence before assessing known barriers can worsen exclusion and converts access failure into presumed noncompliance.</w:t>
      </w:r>
    </w:p>
    <w:p>
      <w:pPr>
        <w:keepLines/>
        <w:spacing w:after="100" w:line="283" w:lineRule="auto"/>
      </w:pPr>
      <w:r>
        <w:rPr>
          <w:rFonts w:ascii="Calibri" w:hAnsi="Calibri"/>
          <w:b/>
          <w:color w:val="12385B"/>
          <w:sz w:val="21"/>
        </w:rPr>
        <w:t xml:space="preserve">C: </w:t>
      </w:r>
      <w:r>
        <w:rPr>
          <w:rFonts w:ascii="Calibri" w:hAnsi="Calibri"/>
          <w:color w:val="1E2D38"/>
          <w:sz w:val="21"/>
        </w:rPr>
        <w:t>Individualization trap. Time-management work does not resolve a bus schedule, shift constraint, or unavailable child care and obscures the structural mechanism.</w:t>
      </w:r>
    </w:p>
    <w:p>
      <w:pPr>
        <w:keepLines/>
        <w:spacing w:after="100" w:line="283" w:lineRule="auto"/>
      </w:pPr>
      <w:r>
        <w:rPr>
          <w:rFonts w:ascii="Calibri" w:hAnsi="Calibri"/>
          <w:b/>
          <w:color w:val="12385B"/>
          <w:sz w:val="21"/>
        </w:rPr>
        <w:t xml:space="preserve">D: </w:t>
      </w:r>
      <w:r>
        <w:rPr>
          <w:rFonts w:ascii="Calibri" w:hAnsi="Calibri"/>
          <w:color w:val="1E2D38"/>
          <w:sz w:val="21"/>
        </w:rPr>
        <w:t>Burden-shifting trap. Requiring another relative to solve transportation and child care is coercive, assumes resources, and bypasses collaborative assessment and alternatives.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concrete structural barriers are present, assess and modify the barrier before labeling resistance, poor motivation, or skill deficit.</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Map the access condition, its effect on treatment, existing strengths and resources, feasible adaptations, responsible roles, and a review point.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Assess social determinants and participation barriers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Ch2 / ACCESS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6 -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rural family's treatment progress is disrupted by seasonal work, long travel to medical care, and inconsistent internet. The family identifies a trusted community health worker and a school liaison as possible supports. Which plan BEST uses systemic reasoning?</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Ask the family to choose psychotherapy or community assistance because using both would blur treatment boundaries.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Map the interacting systems, barriers, strengths, and family priorities; clarify the therapist's role; coordinate selected supports with permission; and review benefit, burden, and unintended effects.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Contact every local organization so the therapist can create a comprehensive plan before involving the family.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Treat the travel and connectivity problems as background variables and continue the original office-based plan unchanged.</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B uses ecological reasoning without turning the therapist into the family's systems manager. It maps interacting barriers and assets, centers family priorities, defines the clinical role, obtains permission for selected coordination, and monitors burden and unintended effects.</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False-either/or trap. Psychotherapy and community supports can be coordinated when roles, consent, and goals are clear; using both does not automatically blur boundaries.</w:t>
      </w:r>
    </w:p>
    <w:p>
      <w:pPr>
        <w:keepLines/>
        <w:spacing w:after="100" w:line="283" w:lineRule="auto"/>
      </w:pPr>
      <w:r>
        <w:rPr>
          <w:rFonts w:ascii="Calibri" w:hAnsi="Calibri"/>
          <w:b/>
          <w:color w:val="1F3A5F"/>
          <w:sz w:val="21"/>
        </w:rPr>
        <w:t xml:space="preserve">B: </w:t>
      </w:r>
      <w:r>
        <w:rPr>
          <w:rFonts w:ascii="Calibri" w:hAnsi="Calibri"/>
          <w:color w:val="1E2D38"/>
          <w:sz w:val="21"/>
        </w:rPr>
        <w:t>Correct. It integrates family, community, institutional, and access layers while preserving client choice, role limits, permission, and outcome review.</w:t>
      </w:r>
    </w:p>
    <w:p>
      <w:pPr>
        <w:keepLines/>
        <w:spacing w:after="100" w:line="283" w:lineRule="auto"/>
      </w:pPr>
      <w:r>
        <w:rPr>
          <w:rFonts w:ascii="Calibri" w:hAnsi="Calibri"/>
          <w:b/>
          <w:color w:val="12385B"/>
          <w:sz w:val="21"/>
        </w:rPr>
        <w:t xml:space="preserve">C: </w:t>
      </w:r>
      <w:r>
        <w:rPr>
          <w:rFonts w:ascii="Calibri" w:hAnsi="Calibri"/>
          <w:color w:val="1E2D38"/>
          <w:sz w:val="21"/>
        </w:rPr>
        <w:t>Systems-takeover trap. Contacting every organization before involving the family exceeds role, ignores consent and priorities, and may create burden or unwanted disclosure.</w:t>
      </w:r>
    </w:p>
    <w:p>
      <w:pPr>
        <w:keepLines/>
        <w:spacing w:after="100" w:line="283" w:lineRule="auto"/>
      </w:pPr>
      <w:r>
        <w:rPr>
          <w:rFonts w:ascii="Calibri" w:hAnsi="Calibri"/>
          <w:b/>
          <w:color w:val="12385B"/>
          <w:sz w:val="21"/>
        </w:rPr>
        <w:t xml:space="preserve">D: </w:t>
      </w:r>
      <w:r>
        <w:rPr>
          <w:rFonts w:ascii="Calibri" w:hAnsi="Calibri"/>
          <w:color w:val="1E2D38"/>
          <w:sz w:val="21"/>
        </w:rPr>
        <w:t>Context-dismissal trap. Seasonal work, travel, and connectivity directly affect feasibility and continuity; leaving the office-based plan unchanged ignores the maintaining conditions.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Community-systems answers should center client priorities, map interacting layers, choose proportionate action, clarify role, obtain permission, and evaluate effects.</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ECOLOGY: examine system layers, center priorities, organize strengths and stressors, locate role limits, open selected partnerships, and gauge effects.</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Map community systems, strengths, and leverage points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Ch3 / ECOLOGY</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7 -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An adolescent receives family therapy, school supports, and specialty medical care. Each setting has begun changing goals independently, the caregivers are unsure who is responsible for urgent concerns, and no shared information plan exists. What should the family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Send each provider the complete record and ask the first responder to assume responsibility for urgent concerns.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Take responsibility for all services because the family therapist has the broadest view of the adolescent's relational context.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Recenter family goals and safety, obtain permission, clarify roles and urgent-response responsibility, limit information, and establish a documented feedback loop.</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Suspend family therapy and direct the caregivers to ask the other settings to create the shared plan first.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C restores a shared clinical and safety frame before further independent plan changes occur. It involves the family, obtains permission, defines professional roles and urgent-response responsibility, limits information to what is needed, and creates a documented feedback loop.</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Overdisclosure-and-ambiguity trap. A complete record does not define roles, consent, shared goals, or who responds urgently, and asking the first responder to take over leaves responsibility unclear.</w:t>
      </w:r>
    </w:p>
    <w:p>
      <w:pPr>
        <w:keepLines/>
        <w:spacing w:after="100" w:line="283" w:lineRule="auto"/>
      </w:pPr>
      <w:r>
        <w:rPr>
          <w:rFonts w:ascii="Calibri" w:hAnsi="Calibri"/>
          <w:b/>
          <w:color w:val="12385B"/>
          <w:sz w:val="21"/>
        </w:rPr>
        <w:t xml:space="preserve">B: </w:t>
      </w:r>
      <w:r>
        <w:rPr>
          <w:rFonts w:ascii="Calibri" w:hAnsi="Calibri"/>
          <w:color w:val="1E2D38"/>
          <w:sz w:val="21"/>
        </w:rPr>
        <w:t>Role-diffusion trap. A broad relational view does not authorize the family therapist to control school and medical services or assume every professional responsibility.</w:t>
      </w:r>
    </w:p>
    <w:p>
      <w:pPr>
        <w:keepLines/>
        <w:spacing w:after="100" w:line="283" w:lineRule="auto"/>
      </w:pPr>
      <w:r>
        <w:rPr>
          <w:rFonts w:ascii="Calibri" w:hAnsi="Calibri"/>
          <w:b/>
          <w:color w:val="1F3A5F"/>
          <w:sz w:val="21"/>
        </w:rPr>
        <w:t xml:space="preserve">C: </w:t>
      </w:r>
      <w:r>
        <w:rPr>
          <w:rFonts w:ascii="Calibri" w:hAnsi="Calibri"/>
          <w:color w:val="1E2D38"/>
          <w:sz w:val="21"/>
        </w:rPr>
        <w:t>Correct. It recenters family goals and safety, obtains permission, clarifies roles and escalation responsibility, limits information, and documents feedback.</w:t>
      </w:r>
    </w:p>
    <w:p>
      <w:pPr>
        <w:keepLines/>
        <w:spacing w:after="100" w:line="283" w:lineRule="auto"/>
      </w:pPr>
      <w:r>
        <w:rPr>
          <w:rFonts w:ascii="Calibri" w:hAnsi="Calibri"/>
          <w:b/>
          <w:color w:val="12385B"/>
          <w:sz w:val="21"/>
        </w:rPr>
        <w:t xml:space="preserve">D: </w:t>
      </w:r>
      <w:r>
        <w:rPr>
          <w:rFonts w:ascii="Calibri" w:hAnsi="Calibri"/>
          <w:color w:val="1E2D38"/>
          <w:sz w:val="21"/>
        </w:rPr>
        <w:t>Coordination-withdrawal trap. Suspending treatment shifts the unresolved burden to the caregivers and delays the role clarification and safety planning the therapist can help initiate.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fragmented cross-system care, choose client participation, shared goals, permission, explicit roles, urgent-response ownership, minimum-necessary information, and feedback.</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Clarify goals, consent, each role and limit, who acts for urgent concerns, what information is needed, how decisions return to the client system, and when the plan is reviewed.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Coordinate cross-system care with permission and role clarity</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6 and 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Ch3 / ECOLOGY</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Consent, minor and caregiver rights, education and health information, emergency responsibility, records, and interagency sharing vary by jurisdiction and setting; verify current requirements.</w:t>
            </w:r>
          </w:p>
        </w:tc>
      </w:tr>
    </w:tbl>
    <w:p>
      <w:pPr>
        <w:spacing w:after="20"/>
      </w:pPr>
    </w:p>
    <w:p>
      <w:pPr>
        <w:pStyle w:val="Heading1"/>
      </w:pPr>
      <w:r>
        <w:t>Item 8 -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Before enrolling a prospective member in a therapy group, which set of factors is MOST important to screen?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Whether the person shares the demographic characteristics of most current members and will agree with the group leader.</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Whether the referral source prefers group treatment and the person can attend the first meeting.</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Whether the person promises never to discuss any group content outside the sessions.</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The group's purpose; the person's goals, voluntariness, readiness, fit, access, and safety; consent and confidentiality limits; composition; and available alternatives.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D treats group enrollment as a clinical, ethical, access, and safety decision. It matches the person to the group's purpose and composition while examining goals, voluntariness, readiness, participation needs, informed consent, privacy limits, and alternatives.</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Conformity trap. Demographic similarity and agreement with the leader do not establish fit, safety, readiness, access, or therapeutic usefulness.</w:t>
      </w:r>
    </w:p>
    <w:p>
      <w:pPr>
        <w:keepLines/>
        <w:spacing w:after="100" w:line="283" w:lineRule="auto"/>
      </w:pPr>
      <w:r>
        <w:rPr>
          <w:rFonts w:ascii="Calibri" w:hAnsi="Calibri"/>
          <w:b/>
          <w:color w:val="12385B"/>
          <w:sz w:val="21"/>
        </w:rPr>
        <w:t xml:space="preserve">B: </w:t>
      </w:r>
      <w:r>
        <w:rPr>
          <w:rFonts w:ascii="Calibri" w:hAnsi="Calibri"/>
          <w:color w:val="1E2D38"/>
          <w:sz w:val="21"/>
        </w:rPr>
        <w:t>Referral-source trap. A source's preference and first-session attendance are not adequate screening for the member's goals, voluntariness, safety, fit, or alternatives.</w:t>
      </w:r>
    </w:p>
    <w:p>
      <w:pPr>
        <w:keepLines/>
        <w:spacing w:after="100" w:line="283" w:lineRule="auto"/>
      </w:pPr>
      <w:r>
        <w:rPr>
          <w:rFonts w:ascii="Calibri" w:hAnsi="Calibri"/>
          <w:b/>
          <w:color w:val="12385B"/>
          <w:sz w:val="21"/>
        </w:rPr>
        <w:t xml:space="preserve">C: </w:t>
      </w:r>
      <w:r>
        <w:rPr>
          <w:rFonts w:ascii="Calibri" w:hAnsi="Calibri"/>
          <w:color w:val="1E2D38"/>
          <w:sz w:val="21"/>
        </w:rPr>
        <w:t>Secrecy-promise trap. A prospective member cannot guarantee other members' behavior or erase the limits of confidentiality in a group setting.</w:t>
      </w:r>
    </w:p>
    <w:p>
      <w:pPr>
        <w:keepLines/>
        <w:spacing w:after="100" w:line="283" w:lineRule="auto"/>
      </w:pPr>
      <w:r>
        <w:rPr>
          <w:rFonts w:ascii="Calibri" w:hAnsi="Calibri"/>
          <w:b/>
          <w:color w:val="1F3A5F"/>
          <w:sz w:val="21"/>
        </w:rPr>
        <w:t xml:space="preserve">D: </w:t>
      </w:r>
      <w:r>
        <w:rPr>
          <w:rFonts w:ascii="Calibri" w:hAnsi="Calibri"/>
          <w:color w:val="1E2D38"/>
          <w:sz w:val="21"/>
        </w:rPr>
        <w:t>Correct. It screens the group, member, context, consent, access, safety, composition, and alternatives before enrollment.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Group-screening items reward purpose, fit, readiness, voluntariness, safety, access, composition, confidentiality limits, consent, and alternatives.</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GROUP: gate for fit and safety, review consent and access, organize composition and norms, understand process and power, protect members, and evaluate fit.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Screen group purpose, fit, readiness, safety, and alternatives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GROUP</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9 -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remote therapy group is required by a diversion program. Before the first meeting, participants are told only that attendance will be reported. The platform can record sessions, and several participants believe the leader can guarantee that members will keep all disclosures private. What should the leader do?</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Before proceeding, explain purpose, mandated status, choices and consequences, member-to-member privacy limits, technology and recording, records and permitted disclosures, safety procedures, and alternatives; verify current requirements and understanding.</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Begin the group after describing the attendance report, then explain other confidentiality and recording terms only if a participant asks.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Obtain a written group promise of secrecy and describe confidentiality as guaranteed unless a participant later withdraws that promise.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Report attendance and all clinically relevant session content because mandated participation gives the diversion program continuing access to treatment information.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provides the information needed for meaningful participation before the mandated remote group begins. It distinguishes attendance reporting from broader disclosures, corrects the false confidentiality guarantee, addresses recording and technology, explains choices and consequences, and verifies current rules and understanding.</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establishes informed group participation by addressing mandate, choices, consequences, privacy limits, technology, recording, records, disclosures, safety, and alternatives in advance.</w:t>
      </w:r>
    </w:p>
    <w:p>
      <w:pPr>
        <w:keepLines/>
        <w:spacing w:after="100" w:line="283" w:lineRule="auto"/>
      </w:pPr>
      <w:r>
        <w:rPr>
          <w:rFonts w:ascii="Calibri" w:hAnsi="Calibri"/>
          <w:b/>
          <w:color w:val="12385B"/>
          <w:sz w:val="21"/>
        </w:rPr>
        <w:t xml:space="preserve">B: </w:t>
      </w:r>
      <w:r>
        <w:rPr>
          <w:rFonts w:ascii="Calibri" w:hAnsi="Calibri"/>
          <w:color w:val="1E2D38"/>
          <w:sz w:val="21"/>
        </w:rPr>
        <w:t>Delayed-consent trap. Material terms must be explained before participation; waiting for questions places the burden on people who may not know what they need to ask.</w:t>
      </w:r>
    </w:p>
    <w:p>
      <w:pPr>
        <w:keepLines/>
        <w:spacing w:after="100" w:line="283" w:lineRule="auto"/>
      </w:pPr>
      <w:r>
        <w:rPr>
          <w:rFonts w:ascii="Calibri" w:hAnsi="Calibri"/>
          <w:b/>
          <w:color w:val="12385B"/>
          <w:sz w:val="21"/>
        </w:rPr>
        <w:t xml:space="preserve">C: </w:t>
      </w:r>
      <w:r>
        <w:rPr>
          <w:rFonts w:ascii="Calibri" w:hAnsi="Calibri"/>
          <w:color w:val="1E2D38"/>
          <w:sz w:val="21"/>
        </w:rPr>
        <w:t>Guarantee trap. A promise among members cannot make group confidentiality absolute or replace an accurate explanation of limits and foreseeable risks.</w:t>
      </w:r>
    </w:p>
    <w:p>
      <w:pPr>
        <w:keepLines/>
        <w:spacing w:after="100" w:line="283" w:lineRule="auto"/>
      </w:pPr>
      <w:r>
        <w:rPr>
          <w:rFonts w:ascii="Calibri" w:hAnsi="Calibri"/>
          <w:b/>
          <w:color w:val="12385B"/>
          <w:sz w:val="21"/>
        </w:rPr>
        <w:t xml:space="preserve">D: </w:t>
      </w:r>
      <w:r>
        <w:rPr>
          <w:rFonts w:ascii="Calibri" w:hAnsi="Calibri"/>
          <w:color w:val="1E2D38"/>
          <w:sz w:val="21"/>
        </w:rPr>
        <w:t>Mandate-means-access trap. Required attendance does not grant the referral program unrestricted access to clinically relevant group content.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mandated or remote groups, distinguish attendance from content disclosure and disclose all material participation, privacy, recording, technology, safety, and alternative terms before starting.</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Explain purpose and mandate, real choices and consequences, member privacy limits, technology and recording, records and disclosures, safety procedures, alternatives, and understanding.</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Apply group consent and confidentiality limits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 and 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GROUP</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Mandated-group consent, member confidentiality, third-party reporting, recording, telehealth, records, emergency response, and technology duties must follow current law, ethics, contracts, court or program terms, and setting policy.</w:t>
            </w:r>
          </w:p>
        </w:tc>
      </w:tr>
    </w:tbl>
    <w:p>
      <w:pPr>
        <w:spacing w:after="20"/>
      </w:pPr>
    </w:p>
    <w:p>
      <w:pPr>
        <w:pStyle w:val="Heading1"/>
      </w:pPr>
      <w:r>
        <w:t>Item 10 -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In a therapy group, one member repeatedly mocks another member's accent. Other members laugh, and the targeted member stops speaking. The leader worries that addressing the incident will interrupt cohesion. What should the leader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Wait, then assess privately next week so immediate discussion does not increase shame or reduce group cohesion.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Interrupt the harm, assess impact and safety, address power and group process, reinforce accountable norms, and monitor repair and fit.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Meet only with the targeted member afterward because discussing power in the group could embarrass the other members.</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Remove the targeted member temporarily to prevent further harm while the remaining group processes the incident without that member.</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B treats the mocking and group laughter as an active safety, power, and participation problem. Immediate interruption protects the targeted member, makes the process visible, reinforces accountable norms, and allows the leader to assess repair and continuing fit.</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Delay trap. Waiting allows the harmful norm and group reinforcement to continue and leaves the targeted member carrying the risk alone.</w:t>
      </w:r>
    </w:p>
    <w:p>
      <w:pPr>
        <w:keepLines/>
        <w:spacing w:after="100" w:line="283" w:lineRule="auto"/>
      </w:pPr>
      <w:r>
        <w:rPr>
          <w:rFonts w:ascii="Calibri" w:hAnsi="Calibri"/>
          <w:b/>
          <w:color w:val="1F3A5F"/>
          <w:sz w:val="21"/>
        </w:rPr>
        <w:t xml:space="preserve">B: </w:t>
      </w:r>
      <w:r>
        <w:rPr>
          <w:rFonts w:ascii="Calibri" w:hAnsi="Calibri"/>
          <w:color w:val="1E2D38"/>
          <w:sz w:val="21"/>
        </w:rPr>
        <w:t>Correct. It interrupts harm, assesses impact and safety, addresses the full group process and power dynamics, reinforces norms, and monitors repair.</w:t>
      </w:r>
    </w:p>
    <w:p>
      <w:pPr>
        <w:keepLines/>
        <w:spacing w:after="100" w:line="283" w:lineRule="auto"/>
      </w:pPr>
      <w:r>
        <w:rPr>
          <w:rFonts w:ascii="Calibri" w:hAnsi="Calibri"/>
          <w:b/>
          <w:color w:val="12385B"/>
          <w:sz w:val="21"/>
        </w:rPr>
        <w:t xml:space="preserve">C: </w:t>
      </w:r>
      <w:r>
        <w:rPr>
          <w:rFonts w:ascii="Calibri" w:hAnsi="Calibri"/>
          <w:color w:val="1E2D38"/>
          <w:sz w:val="21"/>
        </w:rPr>
        <w:t>Individualization trap. A private meeting may support the targeted member but does not address the public harm, bystander participation, group norm, or accountability.</w:t>
      </w:r>
    </w:p>
    <w:p>
      <w:pPr>
        <w:keepLines/>
        <w:spacing w:after="100" w:line="283" w:lineRule="auto"/>
      </w:pPr>
      <w:r>
        <w:rPr>
          <w:rFonts w:ascii="Calibri" w:hAnsi="Calibri"/>
          <w:b/>
          <w:color w:val="12385B"/>
          <w:sz w:val="21"/>
        </w:rPr>
        <w:t xml:space="preserve">D: </w:t>
      </w:r>
      <w:r>
        <w:rPr>
          <w:rFonts w:ascii="Calibri" w:hAnsi="Calibri"/>
          <w:color w:val="1E2D38"/>
          <w:sz w:val="21"/>
        </w:rPr>
        <w:t>Target-removal trap. Removing the harmed member protects those producing the unsafe process, compounds exclusion, and avoids direct group intervention.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group harm is occurring in real time, prioritize protection and direct process intervention over cohesion preservation, private-only repair, or removal of the target.</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Interrupt, name the behavior and impact, assess safety, address power and bystander participation, restore accountable norms, support repair, and reevaluate fit.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D5</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Address exclusion, power, and harm in group process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GROUP</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11 -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therapist is evaluating whether an ongoing group remains effective. Which information is MOST useful?</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Attendance and completion totals, because observable participation provides the most consistent indicator of benefit across members.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The leader's ratings of cohesion and conflict, because differing member perspectives would make the evaluation unreliable.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Member-defined outcomes, participation and access, alliance and cohesion, power and exclusion, safety, adverse effects, and continuing fit.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The average symptom score and referral-source satisfaction, because standardized results should outweigh process concerns.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C evaluates both outcome and the conditions under which group treatment is occurring. Member-defined change, access, participation, alliance, cohesion, power, exclusion, safety, adverse effects, and continuing fit together reveal who benefits, who is harmed, and what requires revision.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Attendance-only trap. Presence and completion do not establish benefit, safety, equitable participation, cohesion, or absence of harm.</w:t>
      </w:r>
    </w:p>
    <w:p>
      <w:pPr>
        <w:keepLines/>
        <w:spacing w:after="100" w:line="283" w:lineRule="auto"/>
      </w:pPr>
      <w:r>
        <w:rPr>
          <w:rFonts w:ascii="Calibri" w:hAnsi="Calibri"/>
          <w:b/>
          <w:color w:val="12385B"/>
          <w:sz w:val="21"/>
        </w:rPr>
        <w:t xml:space="preserve">B: </w:t>
      </w:r>
      <w:r>
        <w:rPr>
          <w:rFonts w:ascii="Calibri" w:hAnsi="Calibri"/>
          <w:color w:val="1E2D38"/>
          <w:sz w:val="21"/>
        </w:rPr>
        <w:t>Leader-only trap. The leader's perspective is useful but cannot replace member feedback or make differences in experience unreliable.</w:t>
      </w:r>
    </w:p>
    <w:p>
      <w:pPr>
        <w:keepLines/>
        <w:spacing w:after="100" w:line="283" w:lineRule="auto"/>
      </w:pPr>
      <w:r>
        <w:rPr>
          <w:rFonts w:ascii="Calibri" w:hAnsi="Calibri"/>
          <w:b/>
          <w:color w:val="1F3A5F"/>
          <w:sz w:val="21"/>
        </w:rPr>
        <w:t xml:space="preserve">C: </w:t>
      </w:r>
      <w:r>
        <w:rPr>
          <w:rFonts w:ascii="Calibri" w:hAnsi="Calibri"/>
          <w:color w:val="1E2D38"/>
          <w:sz w:val="21"/>
        </w:rPr>
        <w:t>Correct. It integrates member-defined outcomes with process, access, power, safety, adverse effects, and ongoing fit.</w:t>
      </w:r>
    </w:p>
    <w:p>
      <w:pPr>
        <w:keepLines/>
        <w:spacing w:after="100" w:line="283" w:lineRule="auto"/>
      </w:pPr>
      <w:r>
        <w:rPr>
          <w:rFonts w:ascii="Calibri" w:hAnsi="Calibri"/>
          <w:b/>
          <w:color w:val="12385B"/>
          <w:sz w:val="21"/>
        </w:rPr>
        <w:t xml:space="preserve">D: </w:t>
      </w:r>
      <w:r>
        <w:rPr>
          <w:rFonts w:ascii="Calibri" w:hAnsi="Calibri"/>
          <w:color w:val="1E2D38"/>
          <w:sz w:val="21"/>
        </w:rPr>
        <w:t>Average-over-process trap. Aggregate symptoms and referral-source satisfaction can conceal exclusion, poor alliance, adverse effects, and member-specific deterioration.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Group evaluation should be multi-source and participant-specific, combining outcomes with access, process, power, safety, adverse effects, and fit.</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Disaggregate who participates and benefits, examine alliance and cohesion, assess exclusion and harm, compare outcomes with goals, and revise group structure or fit.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Evaluate group participation, process, and outcomes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GROUP</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12 -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therapist identifies signs that a client may need specialized eating-disorder care beyond the therapist's competence. The preferred program has a three-week intake delay, and the client wants the therapist involved but limits what may be shared.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Continue treating the specialty condition independently until the preferred program is ready so the client experiences no change in care.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Send the complete record immediately because a specialty referral overrides the client's information limits.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Give the client the program's telephone number and close the case because identifying an appropriate resource completes the referral.</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Clarify need and urgency, review fitting alternatives, obtain permission for a defined exchange, coordinate interim responsibility, and confirm connection and acceptance.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D responds to the competence limit and the three-week gap as one continuity problem. It assesses urgency, offers fitting alternatives, defines the client-authorized information exchange, coordinates interim roles, and confirms that a receiving service has accepted the connection.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Competence-drift trap. Continuing specialty treatment independently does not become safe because the preferred program is delayed.</w:t>
      </w:r>
    </w:p>
    <w:p>
      <w:pPr>
        <w:keepLines/>
        <w:spacing w:after="100" w:line="283" w:lineRule="auto"/>
      </w:pPr>
      <w:r>
        <w:rPr>
          <w:rFonts w:ascii="Calibri" w:hAnsi="Calibri"/>
          <w:b/>
          <w:color w:val="12385B"/>
          <w:sz w:val="21"/>
        </w:rPr>
        <w:t xml:space="preserve">B: </w:t>
      </w:r>
      <w:r>
        <w:rPr>
          <w:rFonts w:ascii="Calibri" w:hAnsi="Calibri"/>
          <w:color w:val="1E2D38"/>
          <w:sz w:val="21"/>
        </w:rPr>
        <w:t>Overdisclosure trap. Referral need does not erase the client's information limits or automatically authorize release of the complete record.</w:t>
      </w:r>
    </w:p>
    <w:p>
      <w:pPr>
        <w:keepLines/>
        <w:spacing w:after="100" w:line="283" w:lineRule="auto"/>
      </w:pPr>
      <w:r>
        <w:rPr>
          <w:rFonts w:ascii="Calibri" w:hAnsi="Calibri"/>
          <w:b/>
          <w:color w:val="12385B"/>
          <w:sz w:val="21"/>
        </w:rPr>
        <w:t xml:space="preserve">C: </w:t>
      </w:r>
      <w:r>
        <w:rPr>
          <w:rFonts w:ascii="Calibri" w:hAnsi="Calibri"/>
          <w:color w:val="1E2D38"/>
          <w:sz w:val="21"/>
        </w:rPr>
        <w:t>Cold-referral trap. A telephone number and immediate closure do not address urgency, navigation, acceptance, interim responsibility, or continuity.</w:t>
      </w:r>
    </w:p>
    <w:p>
      <w:pPr>
        <w:keepLines/>
        <w:spacing w:after="100" w:line="283" w:lineRule="auto"/>
      </w:pPr>
      <w:r>
        <w:rPr>
          <w:rFonts w:ascii="Calibri" w:hAnsi="Calibri"/>
          <w:b/>
          <w:color w:val="1F3A5F"/>
          <w:sz w:val="21"/>
        </w:rPr>
        <w:t xml:space="preserve">D: </w:t>
      </w:r>
      <w:r>
        <w:rPr>
          <w:rFonts w:ascii="Calibri" w:hAnsi="Calibri"/>
          <w:color w:val="1E2D38"/>
          <w:sz w:val="21"/>
        </w:rPr>
        <w:t>Correct. It integrates urgency, fit, choice, permission, limited information, interim care, warm coordination, and confirmation.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A specialty referral is complete only when need, urgency, fit, permission, information limits, interim responsibility, acceptance, and feedback are addressed.</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LINK: locate need and urgency, identify fitting options, negotiate permission and roles, keep interim responsibility, and confirm connection and continuity.</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Arrange a client-centered specialty referral and handoff</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6 and 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LINK</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Competence, eating-disorder care, medical risk, emergency response, confidentiality, authorization, referral, records, and nonabandonment require current law, ethics, policy, and specialty consultation.</w:t>
            </w:r>
          </w:p>
        </w:tc>
      </w:tr>
    </w:tbl>
    <w:p>
      <w:pPr>
        <w:spacing w:after="20"/>
      </w:pPr>
    </w:p>
    <w:p>
      <w:pPr>
        <w:pStyle w:val="Heading1"/>
      </w:pPr>
      <w:r>
        <w:t>Item 13 -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hospital team plans discharge for an adult client. The physician prioritizes medication adherence, a social worker emphasizes housing, and the family therapist recommends relational support. Team members have begun making commitments to the family without clarifying who can deliver them. What is the BEST next step?</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Involve the client and authorized participants, clarify goals, safety, roles, authority, and feasible responsibilities, resolve conflicting commitments, limit information, and document the coordinated plan.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Defer to the physician and ask the other disciplines to adapt their discharge tasks to the medical plan and timetable.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Present the family therapist's formulation as the unifying plan, then assign each discipline a relationally consistent responsibility.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Withdraw from the team and provide the family a separate therapy plan so professional disagreement does not delay discharge.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makes the client and authorized participants part of the discharge decision while converting competing professional priorities into one feasible plan. It clarifies goals, safety, roles, authority, deliverable responsibilities, information limits, and documentation before promises are finalized.</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centers the client, clarifies authority and feasible roles, resolves conflicting commitments, limits information, and documents a coordinated plan.</w:t>
      </w:r>
    </w:p>
    <w:p>
      <w:pPr>
        <w:keepLines/>
        <w:spacing w:after="100" w:line="283" w:lineRule="auto"/>
      </w:pPr>
      <w:r>
        <w:rPr>
          <w:rFonts w:ascii="Calibri" w:hAnsi="Calibri"/>
          <w:b/>
          <w:color w:val="12385B"/>
          <w:sz w:val="21"/>
        </w:rPr>
        <w:t xml:space="preserve">B: </w:t>
      </w:r>
      <w:r>
        <w:rPr>
          <w:rFonts w:ascii="Calibri" w:hAnsi="Calibri"/>
          <w:color w:val="1E2D38"/>
          <w:sz w:val="21"/>
        </w:rPr>
        <w:t>Hierarchy trap. Medical authority does not make housing, relational support, client preferences, or the responsibilities of other disciplines irrelevant.</w:t>
      </w:r>
    </w:p>
    <w:p>
      <w:pPr>
        <w:keepLines/>
        <w:spacing w:after="100" w:line="283" w:lineRule="auto"/>
      </w:pPr>
      <w:r>
        <w:rPr>
          <w:rFonts w:ascii="Calibri" w:hAnsi="Calibri"/>
          <w:b/>
          <w:color w:val="12385B"/>
          <w:sz w:val="21"/>
        </w:rPr>
        <w:t xml:space="preserve">C: </w:t>
      </w:r>
      <w:r>
        <w:rPr>
          <w:rFonts w:ascii="Calibri" w:hAnsi="Calibri"/>
          <w:color w:val="1E2D38"/>
          <w:sz w:val="21"/>
        </w:rPr>
        <w:t>Discipline-takeover trap. The family therapist's formulation can contribute to the plan but does not authorize assigning work or subordinating other professional roles.</w:t>
      </w:r>
    </w:p>
    <w:p>
      <w:pPr>
        <w:keepLines/>
        <w:spacing w:after="100" w:line="283" w:lineRule="auto"/>
      </w:pPr>
      <w:r>
        <w:rPr>
          <w:rFonts w:ascii="Calibri" w:hAnsi="Calibri"/>
          <w:b/>
          <w:color w:val="12385B"/>
          <w:sz w:val="21"/>
        </w:rPr>
        <w:t xml:space="preserve">D: </w:t>
      </w:r>
      <w:r>
        <w:rPr>
          <w:rFonts w:ascii="Calibri" w:hAnsi="Calibri"/>
          <w:color w:val="1E2D38"/>
          <w:sz w:val="21"/>
        </w:rPr>
        <w:t>Withdrawal trap. Leaving the team fragments care and does not resolve conflicting promises, discharge safety, or continuity.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Interdisciplinary conflict items favor client-centered shared goals, role and authority clarity, feasible commitments, respectful conflict resolution, information limits, and documentation.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Bring the client into goal setting, name each role and authority, surface conflicting promises, assign feasible responsibility, limit sharing, confirm the plan, and document.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Resolve interdisciplinary role conflict and coordinate care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R9</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LINK</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Discharge, consent, authorized participants, team information sharing, documentation, emergency coverage, and continuity duties vary by setting and jurisdiction.</w:t>
            </w:r>
          </w:p>
        </w:tc>
      </w:tr>
    </w:tbl>
    <w:p>
      <w:pPr>
        <w:spacing w:after="20"/>
      </w:pPr>
    </w:p>
    <w:p>
      <w:pPr>
        <w:pStyle w:val="Heading1"/>
      </w:pPr>
      <w:r>
        <w:t>Item 14 -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Which consultation practice is MOST appropriate when an MFT needs expert input but remains responsible for the client's treatment?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Share the complete record whenever the consultant has more expertise, because consultation transfers responsibility for the decision.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Define the question and roles, use de-identified or minimum-necessary information as appropriate, obtain required permission, assess competence and conflicts, integrate the advice, and document the decision.</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Withhold every detail that could connect to the client, even when the consultant cannot understand the decision question without it.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Treat the consultant's recommendation as controlling even when it conflicts with the client's goals or the therapist's setting obligations.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B keeps consultation distinct from transfer of treatment responsibility. It defines the decision question and roles, protects confidentiality through de-identification or minimum-necessary disclosure as appropriate, addresses permission and conflicts, evaluates the advice, and documents the therapist's final decision.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Responsibility-transfer trap. Consultation does not automatically transfer clinical responsibility, and greater expertise does not justify routine release of the full record.</w:t>
      </w:r>
    </w:p>
    <w:p>
      <w:pPr>
        <w:keepLines/>
        <w:spacing w:after="100" w:line="283" w:lineRule="auto"/>
      </w:pPr>
      <w:r>
        <w:rPr>
          <w:rFonts w:ascii="Calibri" w:hAnsi="Calibri"/>
          <w:b/>
          <w:color w:val="1F3A5F"/>
          <w:sz w:val="21"/>
        </w:rPr>
        <w:t xml:space="preserve">B: </w:t>
      </w:r>
      <w:r>
        <w:rPr>
          <w:rFonts w:ascii="Calibri" w:hAnsi="Calibri"/>
          <w:color w:val="1E2D38"/>
          <w:sz w:val="21"/>
        </w:rPr>
        <w:t>Correct. It defines purpose and roles, protects information, checks competence and conflicts, integrates advice rather than surrendering judgment, and documents.</w:t>
      </w:r>
    </w:p>
    <w:p>
      <w:pPr>
        <w:keepLines/>
        <w:spacing w:after="100" w:line="283" w:lineRule="auto"/>
      </w:pPr>
      <w:r>
        <w:rPr>
          <w:rFonts w:ascii="Calibri" w:hAnsi="Calibri"/>
          <w:b/>
          <w:color w:val="12385B"/>
          <w:sz w:val="21"/>
        </w:rPr>
        <w:t xml:space="preserve">C: </w:t>
      </w:r>
      <w:r>
        <w:rPr>
          <w:rFonts w:ascii="Calibri" w:hAnsi="Calibri"/>
          <w:color w:val="1E2D38"/>
          <w:sz w:val="21"/>
        </w:rPr>
        <w:t>Context-starvation trap. De-identification should be used when feasible, but withholding essential context can make the consultation invalid or unsafe; permission and minimum-necessary disclosure may be required instead.</w:t>
      </w:r>
    </w:p>
    <w:p>
      <w:pPr>
        <w:keepLines/>
        <w:spacing w:after="100" w:line="283" w:lineRule="auto"/>
      </w:pPr>
      <w:r>
        <w:rPr>
          <w:rFonts w:ascii="Calibri" w:hAnsi="Calibri"/>
          <w:b/>
          <w:color w:val="12385B"/>
          <w:sz w:val="21"/>
        </w:rPr>
        <w:t xml:space="preserve">D: </w:t>
      </w:r>
      <w:r>
        <w:rPr>
          <w:rFonts w:ascii="Calibri" w:hAnsi="Calibri"/>
          <w:color w:val="1E2D38"/>
          <w:sz w:val="21"/>
        </w:rPr>
        <w:t>Consultant-control trap. Expert advice informs the treating therapist's decision but does not automatically override client goals, law, ethics, setting duties, or the therapist's accountability.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Consultation answers should define the question and role, protect information, evaluate competence and conflicts, preserve client participation, and retain treating responsibility.</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State the consultation question, roles, information basis and authority, consultant competence and conflicts, how advice was integrated, the decision, and documentation.</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Use consultation within competence and information limits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R9</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LINK</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Consultation, de-identification, authorization, privilege, records, conflicts, and responsibility must follow current law, ethics, contracts, and organizational policy.</w:t>
            </w:r>
          </w:p>
        </w:tc>
      </w:tr>
    </w:tbl>
    <w:p>
      <w:pPr>
        <w:spacing w:after="20"/>
      </w:pPr>
    </w:p>
    <w:p>
      <w:pPr>
        <w:pStyle w:val="Heading1"/>
      </w:pPr>
      <w:r>
        <w:t>Item 15 -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In supervision, an associate reports that a client made a specific threat toward a former partner and may have access to a weapon. The associate has not assessed intent, means, timing, or the former partner's current exposure. What should the supervisor do FIRST?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Schedule a role-play for the next supervision meeting so the associate can practice risk questions.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Ask the associate to document the report and continue treatment independently until more evidence appears.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Direct an immediate, behaviorally specific risk assessment and protective response under current law and policy, while increasing oversight and clarifying responsibility.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Transfer the case automatically and notify the receiving clinician that the current danger still requires assessment.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C recognizes the specific threat and possible weapon access as an immediate client-protection decision. The supervisor must ensure a prompt, behaviorally specific risk assessment and protective response under current requirements while increasing oversight and clarifying who is responsible for each action.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Delay trap. A role-play at the next meeting does not address the current threat, weapon access, former partner exposure, or time-sensitive duties.</w:t>
      </w:r>
    </w:p>
    <w:p>
      <w:pPr>
        <w:keepLines/>
        <w:spacing w:after="100" w:line="283" w:lineRule="auto"/>
      </w:pPr>
      <w:r>
        <w:rPr>
          <w:rFonts w:ascii="Calibri" w:hAnsi="Calibri"/>
          <w:b/>
          <w:color w:val="12385B"/>
          <w:sz w:val="21"/>
        </w:rPr>
        <w:t xml:space="preserve">B: </w:t>
      </w:r>
      <w:r>
        <w:rPr>
          <w:rFonts w:ascii="Calibri" w:hAnsi="Calibri"/>
          <w:color w:val="1E2D38"/>
          <w:sz w:val="21"/>
        </w:rPr>
        <w:t>Documentation-only trap. Recording the report without direct assessment or oversight leaves acute risk unexamined and improperly delegates the decision.</w:t>
      </w:r>
    </w:p>
    <w:p>
      <w:pPr>
        <w:keepLines/>
        <w:spacing w:after="100" w:line="283" w:lineRule="auto"/>
      </w:pPr>
      <w:r>
        <w:rPr>
          <w:rFonts w:ascii="Calibri" w:hAnsi="Calibri"/>
          <w:b/>
          <w:color w:val="1F3A5F"/>
          <w:sz w:val="21"/>
        </w:rPr>
        <w:t xml:space="preserve">C: </w:t>
      </w:r>
      <w:r>
        <w:rPr>
          <w:rFonts w:ascii="Calibri" w:hAnsi="Calibri"/>
          <w:color w:val="1E2D38"/>
          <w:sz w:val="21"/>
        </w:rPr>
        <w:t>Correct. It prioritizes immediate assessment and protection, applies current law and policy, increases supervision, and makes responsibility explicit.</w:t>
      </w:r>
    </w:p>
    <w:p>
      <w:pPr>
        <w:keepLines/>
        <w:spacing w:after="100" w:line="283" w:lineRule="auto"/>
      </w:pPr>
      <w:r>
        <w:rPr>
          <w:rFonts w:ascii="Calibri" w:hAnsi="Calibri"/>
          <w:b/>
          <w:color w:val="12385B"/>
          <w:sz w:val="21"/>
        </w:rPr>
        <w:t xml:space="preserve">D: </w:t>
      </w:r>
      <w:r>
        <w:rPr>
          <w:rFonts w:ascii="Calibri" w:hAnsi="Calibri"/>
          <w:color w:val="1E2D38"/>
          <w:sz w:val="21"/>
        </w:rPr>
        <w:t>Transfer-does-not-stabilize trap. A new clinician cannot safely inherit an unassessed current threat, and transfer does not discharge the supervisor's immediate responsibility.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In supervision, imminent or serious risk overrides routine teaching: assess now, protect, clarify responsibility, increase oversight, consult, and document.</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GUIDE: identify client risk, direct the immediate assessment, specify actions and escalation points, retain oversight, verify completion, and document.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D5</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Escalate client risk identified through supervision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R10</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GUIDE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Threat assessment, protection, warning or notification, firearm information, emergency response, documentation, supervision, and reporting duties vary by jurisdiction and setting and require current protocols and qualified consultation.</w:t>
            </w:r>
          </w:p>
        </w:tc>
      </w:tr>
    </w:tbl>
    <w:p>
      <w:pPr>
        <w:spacing w:after="20"/>
      </w:pPr>
    </w:p>
    <w:p>
      <w:pPr>
        <w:pStyle w:val="Heading1"/>
      </w:pPr>
      <w:r>
        <w:t>Item 16 -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newly hired associate is asked to conduct an unfamiliar high-complexity family assessment. Which delegation plan is BEST?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Assign the assessment independently because completing difficult cases is the fastest way to establish competence.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Delegate the assessment if the associate signs a statement accepting full responsibility for any errors.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Ask an experienced colleague to be available only after the assessment is finished so the associate's autonomy is preserved.</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Confirm authority and demonstrated competence, define the task and limits, provide instruction and consultation, set observation and escalation points, and retain supervisory responsibility.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D ties delegation to current authority, demonstrated competence, task clarity, instruction, observation, consultation, and escalation. It preserves the supervisor's responsibility for client welfare while using the assignment as supported learning rather than unsupported exposure.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Exposure-equals-competence trap. Difficulty alone does not make an assignment educationally or clinically appropriate without assessment and support.</w:t>
      </w:r>
    </w:p>
    <w:p>
      <w:pPr>
        <w:keepLines/>
        <w:spacing w:after="100" w:line="283" w:lineRule="auto"/>
      </w:pPr>
      <w:r>
        <w:rPr>
          <w:rFonts w:ascii="Calibri" w:hAnsi="Calibri"/>
          <w:b/>
          <w:color w:val="12385B"/>
          <w:sz w:val="21"/>
        </w:rPr>
        <w:t xml:space="preserve">B: </w:t>
      </w:r>
      <w:r>
        <w:rPr>
          <w:rFonts w:ascii="Calibri" w:hAnsi="Calibri"/>
          <w:color w:val="1E2D38"/>
          <w:sz w:val="21"/>
        </w:rPr>
        <w:t>Liability-shift trap. A supervisee's statement cannot transfer the supervisor's legal, ethical, or organizational accountability for delegated work.</w:t>
      </w:r>
    </w:p>
    <w:p>
      <w:pPr>
        <w:keepLines/>
        <w:spacing w:after="100" w:line="283" w:lineRule="auto"/>
      </w:pPr>
      <w:r>
        <w:rPr>
          <w:rFonts w:ascii="Calibri" w:hAnsi="Calibri"/>
          <w:b/>
          <w:color w:val="12385B"/>
          <w:sz w:val="21"/>
        </w:rPr>
        <w:t xml:space="preserve">C: </w:t>
      </w:r>
      <w:r>
        <w:rPr>
          <w:rFonts w:ascii="Calibri" w:hAnsi="Calibri"/>
          <w:color w:val="1E2D38"/>
          <w:sz w:val="21"/>
        </w:rPr>
        <w:t>After-the-fact trap. Availability only after completion cannot prevent errors, clarify limits, or support decision points during a high-complexity assessment.</w:t>
      </w:r>
    </w:p>
    <w:p>
      <w:pPr>
        <w:keepLines/>
        <w:spacing w:after="100" w:line="283" w:lineRule="auto"/>
      </w:pPr>
      <w:r>
        <w:rPr>
          <w:rFonts w:ascii="Calibri" w:hAnsi="Calibri"/>
          <w:b/>
          <w:color w:val="1F3A5F"/>
          <w:sz w:val="21"/>
        </w:rPr>
        <w:t xml:space="preserve">D: </w:t>
      </w:r>
      <w:r>
        <w:rPr>
          <w:rFonts w:ascii="Calibri" w:hAnsi="Calibri"/>
          <w:color w:val="1E2D38"/>
          <w:sz w:val="21"/>
        </w:rPr>
        <w:t>Correct. It verifies authority and competence, defines task boundaries, provides support, sets observation and escalation points, and retains supervisory responsibility.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Delegation items reward authority, demonstrated competence, explicit task limits, instruction, observation, escalation, and retained supervisory accountability.</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Define who is authorized, what competence is established, the exact task and limits, required support and observation, escalation triggers, and how completion is verified.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D5</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Delegate only within competence, authority, and oversight</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R10</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GUIDE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Supervision authority, title, scope, delegation, documentation, direct observation, emergency availability, and retained responsibility vary by jurisdiction, discipline, contract, and setting.</w:t>
            </w:r>
          </w:p>
        </w:tc>
      </w:tr>
    </w:tbl>
    <w:p>
      <w:pPr>
        <w:spacing w:after="20"/>
      </w:pPr>
    </w:p>
    <w:p>
      <w:pPr>
        <w:pStyle w:val="Heading1"/>
      </w:pPr>
      <w:r>
        <w:t>Item 17 -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supervisee repeatedly describes an Indigenous family as “unmotivated” despite evidence that clinic policies conflict with the family's transportation, caregiving, and community obligations. After prior feedback, the supervisee continues the same documentation and discharge recommendations. What should the supervisor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Protect clients, review observable work and context, give behaviorally specific feedback, set documented remediation and monitoring criteria, provide supports, and escalate gatekeeping if needed.</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Avoid further discussion of bias and focus on general documentation style because evaluative power may make the supervisee defensive.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Rewrite the notes privately and advise the supervisee to use neutral wording while continuing the same cases without added oversight.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End supervision and report incompetence immediately without following current authority, due process, remediation, documentation, or client-continuity responsibilities.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protects the family while addressing the supervisee's repeated biased formulation as an observable performance problem. It combines contextual review, behaviorally specific feedback, documented remediation and monitoring, resources and supports, and proportionate gatekeeping escalation if competence does not improve.</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protects clients, anchors evaluation in observed work and context, specifies required change and evidence, provides support, and escalates gatekeeping when needed.</w:t>
      </w:r>
    </w:p>
    <w:p>
      <w:pPr>
        <w:keepLines/>
        <w:spacing w:after="100" w:line="283" w:lineRule="auto"/>
      </w:pPr>
      <w:r>
        <w:rPr>
          <w:rFonts w:ascii="Calibri" w:hAnsi="Calibri"/>
          <w:b/>
          <w:color w:val="12385B"/>
          <w:sz w:val="21"/>
        </w:rPr>
        <w:t xml:space="preserve">B: </w:t>
      </w:r>
      <w:r>
        <w:rPr>
          <w:rFonts w:ascii="Calibri" w:hAnsi="Calibri"/>
          <w:color w:val="1E2D38"/>
          <w:sz w:val="21"/>
        </w:rPr>
        <w:t>Avoidance trap. Concern about defensiveness does not justify leaving bias, structural misformulation, client harm, and discharge recommendations unaddressed.</w:t>
      </w:r>
    </w:p>
    <w:p>
      <w:pPr>
        <w:keepLines/>
        <w:spacing w:after="100" w:line="283" w:lineRule="auto"/>
      </w:pPr>
      <w:r>
        <w:rPr>
          <w:rFonts w:ascii="Calibri" w:hAnsi="Calibri"/>
          <w:b/>
          <w:color w:val="12385B"/>
          <w:sz w:val="21"/>
        </w:rPr>
        <w:t xml:space="preserve">C: </w:t>
      </w:r>
      <w:r>
        <w:rPr>
          <w:rFonts w:ascii="Calibri" w:hAnsi="Calibri"/>
          <w:color w:val="1E2D38"/>
          <w:sz w:val="21"/>
        </w:rPr>
        <w:t>Cosmetic-rewrite trap. Neutral wording without changed assessment, treatment decisions, competence, or oversight conceals rather than repairs the problem.</w:t>
      </w:r>
    </w:p>
    <w:p>
      <w:pPr>
        <w:keepLines/>
        <w:spacing w:after="100" w:line="283" w:lineRule="auto"/>
      </w:pPr>
      <w:r>
        <w:rPr>
          <w:rFonts w:ascii="Calibri" w:hAnsi="Calibri"/>
          <w:b/>
          <w:color w:val="12385B"/>
          <w:sz w:val="21"/>
        </w:rPr>
        <w:t xml:space="preserve">D: </w:t>
      </w:r>
      <w:r>
        <w:rPr>
          <w:rFonts w:ascii="Calibri" w:hAnsi="Calibri"/>
          <w:color w:val="1E2D38"/>
          <w:sz w:val="21"/>
        </w:rPr>
        <w:t>Automatic-termination trap. Immediate protective limits may be necessary, but reporting or ending supervision without checking authority, due process, remediation, documentation, and continuity is not the complete next response.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repeated supervisee problems, choose client protection plus specific feedback, documented remediation, monitoring, support, and authority-consistent gatekeeping—not avoidance or cosmetic correction.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Identify the observable concern and client impact, restrict work if needed, specify the competence standard and remediation actions, monitor evidence, document, and escalate proportionately.</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Use feedback, remediation, and gatekeeping to protect clients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 2, and 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R10</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GUIDE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Supervision evaluation, remediation, due process, impairment or incompetence reporting, gatekeeping, records, discrimination, client transfer, and continuity depend on current law, ethics, contract, program rules, and setting policy.</w:t>
            </w:r>
          </w:p>
        </w:tc>
      </w:tr>
    </w:tbl>
    <w:p>
      <w:pPr>
        <w:spacing w:after="20"/>
      </w:pPr>
    </w:p>
    <w:p>
      <w:pPr>
        <w:pStyle w:val="Heading1"/>
      </w:pPr>
      <w:r>
        <w:t>Controlled Remediation Supports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REVIEW SEQUENCE:  </w:t>
            </w:r>
            <w:r>
              <w:rPr>
                <w:rFonts w:ascii="Calibri" w:hAnsi="Calibri"/>
                <w:color w:val="1E2D38"/>
                <w:sz w:val="20"/>
              </w:rPr>
              <w:t>Use the reasoning-error profile, domain review, and low-confidence worksheet together. Remediate the decision rule—not only the item—and document the evidence that supports a retake.</w:t>
            </w:r>
          </w:p>
        </w:tc>
      </w:tr>
    </w:tbl>
    <w:p>
      <w:pPr>
        <w:spacing w:after="20"/>
      </w:pPr>
    </w:p>
    <w:p>
      <w:pPr>
        <w:pStyle w:val="Heading2"/>
        <w:pageBreakBefore/>
      </w:pPr>
      <w:r>
        <w:t>Reasoning-Error Code Profile</w:t>
      </w:r>
    </w:p>
    <w:tbl>
      <w:tblPr>
        <w:tblW w:type="dxa" w:w="9360"/>
        <w:jc w:val="center"/>
        <w:tblLayout w:type="fixed"/>
        <w:tblLook w:firstColumn="1" w:firstRow="1" w:lastColumn="0" w:lastRow="0" w:noHBand="0" w:noVBand="1" w:val="04A0"/>
        <w:tblInd w:w="0" w:type="dxa"/>
      </w:tblPr>
      <w:tblGrid>
        <w:gridCol w:w="720"/>
        <w:gridCol w:w="2300"/>
        <w:gridCol w:w="1200"/>
        <w:gridCol w:w="5140"/>
      </w:tblGrid>
      <w:tr>
        <w:trPr>
          <w:tblHeader w:val="true"/>
          <w:cantSplit/>
        </w:trPr>
        <w:tc>
          <w:tcPr>
            <w:tcW w:type="dxa" w:w="720"/>
            <w:shd w:fill="12385B"/>
            <w:tcMar>
              <w:top w:w="80" w:type="dxa"/>
              <w:start w:w="120" w:type="dxa"/>
              <w:bottom w:w="80" w:type="dxa"/>
              <w:end w:w="120" w:type="dxa"/>
            </w:tcMar>
            <w:vAlign w:val="center"/>
          </w:tcPr>
          <w:p>
            <w:pPr>
              <w:spacing w:after="0"/>
              <w:jc w:val="center"/>
            </w:pPr>
            <w:r/>
            <w:r>
              <w:rPr>
                <w:rFonts w:ascii="Calibri" w:hAnsi="Calibri"/>
                <w:b/>
                <w:color w:val="FFFFFF"/>
                <w:sz w:val="18"/>
              </w:rPr>
              <w:t>Code</w:t>
            </w:r>
          </w:p>
        </w:tc>
        <w:tc>
          <w:tcPr>
            <w:tcW w:type="dxa" w:w="2300"/>
            <w:shd w:fill="12385B"/>
            <w:tcMar>
              <w:top w:w="80" w:type="dxa"/>
              <w:start w:w="120" w:type="dxa"/>
              <w:bottom w:w="80" w:type="dxa"/>
              <w:end w:w="120" w:type="dxa"/>
            </w:tcMar>
            <w:vAlign w:val="center"/>
          </w:tcPr>
          <w:p>
            <w:pPr>
              <w:spacing w:after="0"/>
              <w:jc w:val="left"/>
            </w:pPr>
            <w:r/>
            <w:r>
              <w:rPr>
                <w:rFonts w:ascii="Calibri" w:hAnsi="Calibri"/>
                <w:b/>
                <w:color w:val="FFFFFF"/>
                <w:sz w:val="18"/>
              </w:rPr>
              <w:t>Reasoning pattern</w:t>
            </w:r>
          </w:p>
        </w:tc>
        <w:tc>
          <w:tcPr>
            <w:tcW w:type="dxa" w:w="1200"/>
            <w:shd w:fill="12385B"/>
            <w:tcMar>
              <w:top w:w="80" w:type="dxa"/>
              <w:start w:w="120" w:type="dxa"/>
              <w:bottom w:w="80" w:type="dxa"/>
              <w:end w:w="120" w:type="dxa"/>
            </w:tcMar>
            <w:vAlign w:val="center"/>
          </w:tcPr>
          <w:p>
            <w:pPr>
              <w:spacing w:after="0"/>
              <w:jc w:val="center"/>
            </w:pPr>
            <w:r/>
            <w:r>
              <w:rPr>
                <w:rFonts w:ascii="Calibri" w:hAnsi="Calibri"/>
                <w:b/>
                <w:color w:val="FFFFFF"/>
                <w:sz w:val="18"/>
              </w:rPr>
              <w:t>Bank items</w:t>
            </w:r>
          </w:p>
        </w:tc>
        <w:tc>
          <w:tcPr>
            <w:tcW w:type="dxa" w:w="5140"/>
            <w:shd w:fill="12385B"/>
            <w:tcMar>
              <w:top w:w="80" w:type="dxa"/>
              <w:start w:w="120" w:type="dxa"/>
              <w:bottom w:w="80" w:type="dxa"/>
              <w:end w:w="120" w:type="dxa"/>
            </w:tcMar>
            <w:vAlign w:val="center"/>
          </w:tcPr>
          <w:p>
            <w:pPr>
              <w:spacing w:after="0"/>
              <w:jc w:val="center"/>
            </w:pPr>
            <w:r/>
            <w:r>
              <w:rPr>
                <w:rFonts w:ascii="Calibri" w:hAnsi="Calibri"/>
                <w:b/>
                <w:color w:val="FFFFFF"/>
                <w:sz w:val="18"/>
              </w:rPr>
              <w:t>Repair action</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R1</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Culture-as-checklist / identity assumption</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1</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Shift from presumed group knowledge to self-location, respectful inquiry, client-defined meaning, intersectionality, strengths, and ongoing feedback.</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R2</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Power, privilege, or therapist position ignored</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2</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Name relevant power and role differences, examine therapist and system effects, restore client voice, and take accountable repair action.</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R3</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Oppression minimized or individualized</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3</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Validate impact, assess safety and context, avoid pathologizing a structural response, and collaborate on clinical and systems-level options within role.</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R4</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Language, disability, or access burden shifted</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4</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Ask the client, arrange qualified supports and individualized accommodations, explain options understandably, and confirm actual participation.</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R5</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Community or structural barrier treated as client resistance</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5, 6</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Map system layers, barriers, strengths, resources, and leverage points; clarify role and address the modifiable barrier with the client.</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R6</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Group fit, consent, or confidentiality error</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8, 9</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Screen purpose, readiness, voluntariness, safety, composition, access, privacy limits, alternatives, and consent before or during participation.</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R7</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Group process, exclusion, or safety signal missed</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10, 11</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Assess impact and risk, address power and norms directly, protect members, repair accountability, and reevaluate group fit and goals.</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R8</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Cold referral, role confusion, or continuity break</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7, 12</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Match need and preferences, clarify roles and permission, use a warm handoff, maintain interim responsibility, and confirm connection.</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R9</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Consultation or team-information boundary error</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13, 14</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Define the question and roles, involve the client, share only necessary authorized information, communicate respectfully, and document decisions.</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R10</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Supervision, delegation, or gatekeeping failure</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15, 16, 17</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Assess client risk and supervisee competence, limit work to authorized scope, increase oversight, give specific feedback, remediate or escalate, and document.</w:t>
            </w:r>
          </w:p>
        </w:tc>
      </w:tr>
    </w:tbl>
    <w:p>
      <w:pPr>
        <w:spacing w:after="20"/>
      </w:pPr>
    </w:p>
    <w:p>
      <w:pPr>
        <w:pStyle w:val="Heading2"/>
        <w:pageBreakBefore/>
      </w:pPr>
      <w:r>
        <w:t>Domain and Confidence Review</w:t>
      </w:r>
    </w:p>
    <w:tbl>
      <w:tblPr>
        <w:tblW w:type="dxa" w:w="9360"/>
        <w:jc w:val="center"/>
        <w:tblLayout w:type="fixed"/>
        <w:tblLook w:firstColumn="1" w:firstRow="1" w:lastColumn="0" w:lastRow="0" w:noHBand="0" w:noVBand="1" w:val="04A0"/>
        <w:tblInd w:w="0" w:type="dxa"/>
      </w:tblPr>
      <w:tblGrid>
        <w:gridCol w:w="4200"/>
        <w:gridCol w:w="1420"/>
        <w:gridCol w:w="1440"/>
        <w:gridCol w:w="2300"/>
      </w:tblGrid>
      <w:tr>
        <w:trPr>
          <w:tblHeader w:val="true"/>
          <w:cantSplit/>
        </w:trPr>
        <w:tc>
          <w:tcPr>
            <w:tcW w:type="dxa" w:w="4200"/>
            <w:shd w:fill="12385B"/>
            <w:tcMar>
              <w:top w:w="80" w:type="dxa"/>
              <w:start w:w="120" w:type="dxa"/>
              <w:bottom w:w="80" w:type="dxa"/>
              <w:end w:w="120" w:type="dxa"/>
            </w:tcMar>
            <w:vAlign w:val="center"/>
          </w:tcPr>
          <w:p>
            <w:pPr>
              <w:spacing w:after="0"/>
              <w:jc w:val="center"/>
            </w:pPr>
            <w:r/>
            <w:r>
              <w:rPr>
                <w:rFonts w:ascii="Calibri" w:hAnsi="Calibri"/>
                <w:b/>
                <w:color w:val="FFFFFF"/>
                <w:sz w:val="18"/>
              </w:rPr>
              <w:t>Primary domain</w:t>
            </w:r>
          </w:p>
        </w:tc>
        <w:tc>
          <w:tcPr>
            <w:tcW w:type="dxa" w:w="1420"/>
            <w:shd w:fill="12385B"/>
            <w:tcMar>
              <w:top w:w="80" w:type="dxa"/>
              <w:start w:w="120" w:type="dxa"/>
              <w:bottom w:w="80" w:type="dxa"/>
              <w:end w:w="120" w:type="dxa"/>
            </w:tcMar>
            <w:vAlign w:val="center"/>
          </w:tcPr>
          <w:p>
            <w:pPr>
              <w:spacing w:after="0"/>
              <w:jc w:val="center"/>
            </w:pPr>
            <w:r/>
            <w:r>
              <w:rPr>
                <w:rFonts w:ascii="Calibri" w:hAnsi="Calibri"/>
                <w:b/>
                <w:color w:val="FFFFFF"/>
                <w:sz w:val="18"/>
              </w:rPr>
              <w:t>Items</w:t>
            </w:r>
          </w:p>
        </w:tc>
        <w:tc>
          <w:tcPr>
            <w:tcW w:type="dxa" w:w="1440"/>
            <w:shd w:fill="12385B"/>
            <w:tcMar>
              <w:top w:w="80" w:type="dxa"/>
              <w:start w:w="120" w:type="dxa"/>
              <w:bottom w:w="80" w:type="dxa"/>
              <w:end w:w="120" w:type="dxa"/>
            </w:tcMar>
            <w:vAlign w:val="center"/>
          </w:tcPr>
          <w:p>
            <w:pPr>
              <w:spacing w:after="0"/>
              <w:jc w:val="center"/>
            </w:pPr>
            <w:r/>
            <w:r>
              <w:rPr>
                <w:rFonts w:ascii="Calibri" w:hAnsi="Calibri"/>
                <w:b/>
                <w:color w:val="FFFFFF"/>
                <w:sz w:val="18"/>
              </w:rPr>
              <w:t>Correct</w:t>
            </w:r>
          </w:p>
        </w:tc>
        <w:tc>
          <w:tcPr>
            <w:tcW w:type="dxa" w:w="2300"/>
            <w:shd w:fill="12385B"/>
            <w:tcMar>
              <w:top w:w="80" w:type="dxa"/>
              <w:start w:w="120" w:type="dxa"/>
              <w:bottom w:w="80" w:type="dxa"/>
              <w:end w:w="120" w:type="dxa"/>
            </w:tcMar>
            <w:vAlign w:val="center"/>
          </w:tcPr>
          <w:p>
            <w:pPr>
              <w:spacing w:after="0"/>
              <w:jc w:val="left"/>
            </w:pPr>
            <w:r/>
            <w:r>
              <w:rPr>
                <w:rFonts w:ascii="Calibri" w:hAnsi="Calibri"/>
                <w:b/>
                <w:color w:val="FFFFFF"/>
                <w:sz w:val="18"/>
              </w:rPr>
              <w:t>Review priority</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D1 - Practice of Systemic Therapy</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1-3, 6, 10, 17</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6</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w:t>
            </w:r>
          </w:p>
        </w:tc>
      </w:tr>
      <w:tr>
        <w:trPr>
          <w:cantSplit/>
        </w:trPr>
        <w:tc>
          <w:tcPr>
            <w:tcW w:type="dxa" w:w="4200"/>
            <w:tcMar>
              <w:top w:w="80" w:type="dxa"/>
              <w:start w:w="120" w:type="dxa"/>
              <w:bottom w:w="80" w:type="dxa"/>
              <w:end w:w="120" w:type="dxa"/>
            </w:tcMar>
            <w:vAlign w:val="center"/>
            <w:shd w:fill="F8FAFC"/>
          </w:tcPr>
          <w:p>
            <w:pPr>
              <w:spacing w:after="0" w:line="259" w:lineRule="auto"/>
            </w:pPr>
            <w:r/>
            <w:r>
              <w:rPr>
                <w:rFonts w:ascii="Calibri" w:hAnsi="Calibri"/>
                <w:color w:val="1E2D38"/>
                <w:sz w:val="16"/>
              </w:rPr>
              <w:t>D2 - Assessing, Hypothesizing, Diagnosing</w:t>
            </w:r>
          </w:p>
        </w:tc>
        <w:tc>
          <w:tcPr>
            <w:tcW w:type="dxa" w:w="1420"/>
            <w:tcMar>
              <w:top w:w="80" w:type="dxa"/>
              <w:start w:w="120" w:type="dxa"/>
              <w:bottom w:w="80" w:type="dxa"/>
              <w:end w:w="120" w:type="dxa"/>
            </w:tcMar>
            <w:vAlign w:val="center"/>
            <w:shd w:fill="F8FAFC"/>
          </w:tcPr>
          <w:p>
            <w:pPr>
              <w:spacing w:after="0" w:line="259" w:lineRule="auto"/>
            </w:pPr>
            <w:r/>
            <w:r>
              <w:rPr>
                <w:rFonts w:ascii="Calibri" w:hAnsi="Calibri"/>
                <w:color w:val="1E2D38"/>
                <w:sz w:val="16"/>
              </w:rPr>
              <w:t>5</w:t>
            </w:r>
          </w:p>
        </w:tc>
        <w:tc>
          <w:tcPr>
            <w:tcW w:type="dxa" w:w="144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____________________</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D3 - Designing and Conducting Treatment</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7, 8, 12, 13</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4</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w:t>
            </w:r>
          </w:p>
        </w:tc>
      </w:tr>
      <w:tr>
        <w:trPr>
          <w:cantSplit/>
        </w:trPr>
        <w:tc>
          <w:tcPr>
            <w:tcW w:type="dxa" w:w="4200"/>
            <w:tcMar>
              <w:top w:w="80" w:type="dxa"/>
              <w:start w:w="120" w:type="dxa"/>
              <w:bottom w:w="80" w:type="dxa"/>
              <w:end w:w="120" w:type="dxa"/>
            </w:tcMar>
            <w:vAlign w:val="center"/>
            <w:shd w:fill="F8FAFC"/>
          </w:tcPr>
          <w:p>
            <w:pPr>
              <w:spacing w:after="0" w:line="259" w:lineRule="auto"/>
            </w:pPr>
            <w:r/>
            <w:r>
              <w:rPr>
                <w:rFonts w:ascii="Calibri" w:hAnsi="Calibri"/>
                <w:color w:val="1E2D38"/>
                <w:sz w:val="16"/>
              </w:rPr>
              <w:t>D4 - Evaluating Ongoing Process and Terminating</w:t>
            </w:r>
          </w:p>
        </w:tc>
        <w:tc>
          <w:tcPr>
            <w:tcW w:type="dxa" w:w="1420"/>
            <w:tcMar>
              <w:top w:w="80" w:type="dxa"/>
              <w:start w:w="120" w:type="dxa"/>
              <w:bottom w:w="80" w:type="dxa"/>
              <w:end w:w="120" w:type="dxa"/>
            </w:tcMar>
            <w:vAlign w:val="center"/>
            <w:shd w:fill="F8FAFC"/>
          </w:tcPr>
          <w:p>
            <w:pPr>
              <w:spacing w:after="0" w:line="259" w:lineRule="auto"/>
            </w:pPr>
            <w:r/>
            <w:r>
              <w:rPr>
                <w:rFonts w:ascii="Calibri" w:hAnsi="Calibri"/>
                <w:color w:val="1E2D38"/>
                <w:sz w:val="16"/>
              </w:rPr>
              <w:t>11</w:t>
            </w:r>
          </w:p>
        </w:tc>
        <w:tc>
          <w:tcPr>
            <w:tcW w:type="dxa" w:w="144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____________________</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D5 - Managing Crisis Situations</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15</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w:t>
            </w:r>
          </w:p>
        </w:tc>
      </w:tr>
      <w:tr>
        <w:trPr>
          <w:cantSplit/>
        </w:trPr>
        <w:tc>
          <w:tcPr>
            <w:tcW w:type="dxa" w:w="4200"/>
            <w:tcMar>
              <w:top w:w="80" w:type="dxa"/>
              <w:start w:w="120" w:type="dxa"/>
              <w:bottom w:w="80" w:type="dxa"/>
              <w:end w:w="120" w:type="dxa"/>
            </w:tcMar>
            <w:vAlign w:val="center"/>
            <w:shd w:fill="F8FAFC"/>
          </w:tcPr>
          <w:p>
            <w:pPr>
              <w:spacing w:after="0" w:line="259" w:lineRule="auto"/>
            </w:pPr>
            <w:r/>
            <w:r>
              <w:rPr>
                <w:rFonts w:ascii="Calibri" w:hAnsi="Calibri"/>
                <w:color w:val="1E2D38"/>
                <w:sz w:val="16"/>
              </w:rPr>
              <w:t>D6 - Ethical, Legal, Professional Standards</w:t>
            </w:r>
          </w:p>
        </w:tc>
        <w:tc>
          <w:tcPr>
            <w:tcW w:type="dxa" w:w="1420"/>
            <w:tcMar>
              <w:top w:w="80" w:type="dxa"/>
              <w:start w:w="120" w:type="dxa"/>
              <w:bottom w:w="80" w:type="dxa"/>
              <w:end w:w="120" w:type="dxa"/>
            </w:tcMar>
            <w:vAlign w:val="center"/>
            <w:shd w:fill="F8FAFC"/>
          </w:tcPr>
          <w:p>
            <w:pPr>
              <w:spacing w:after="0" w:line="259" w:lineRule="auto"/>
            </w:pPr>
            <w:r/>
            <w:r>
              <w:rPr>
                <w:rFonts w:ascii="Calibri" w:hAnsi="Calibri"/>
                <w:color w:val="1E2D38"/>
                <w:sz w:val="16"/>
              </w:rPr>
              <w:t>4, 9, 14, 16</w:t>
            </w:r>
          </w:p>
        </w:tc>
        <w:tc>
          <w:tcPr>
            <w:tcW w:type="dxa" w:w="144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 / 4</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____________________</w:t>
            </w:r>
          </w:p>
        </w:tc>
      </w:tr>
    </w:tbl>
    <w:p>
      <w:pPr>
        <w:spacing w:after="20"/>
      </w:pPr>
    </w:p>
    <w:p>
      <w:pPr>
        <w:pStyle w:val="Heading2"/>
        <w:pageBreakBefore/>
      </w:pPr>
      <w:r>
        <w:t>Low-Confidence and Missed-Item Review</w:t>
      </w:r>
    </w:p>
    <w:tbl>
      <w:tblPr>
        <w:tblW w:type="dxa" w:w="9360"/>
        <w:jc w:val="center"/>
        <w:tblLayout w:type="fixed"/>
        <w:tblLook w:firstColumn="1" w:firstRow="1" w:lastColumn="0" w:lastRow="0" w:noHBand="0" w:noVBand="1" w:val="04A0"/>
        <w:tblInd w:w="0" w:type="dxa"/>
      </w:tblPr>
      <w:tblGrid>
        <w:gridCol w:w="850"/>
        <w:gridCol w:w="1850"/>
        <w:gridCol w:w="1200"/>
        <w:gridCol w:w="2690"/>
        <w:gridCol w:w="2770"/>
      </w:tblGrid>
      <w:tr>
        <w:trPr>
          <w:tblHeader w:val="true"/>
          <w:cantSplit/>
        </w:trPr>
        <w:tc>
          <w:tcPr>
            <w:tcW w:type="dxa" w:w="850"/>
            <w:shd w:fill="12385B"/>
            <w:tcMar>
              <w:top w:w="80" w:type="dxa"/>
              <w:start w:w="120" w:type="dxa"/>
              <w:bottom w:w="80" w:type="dxa"/>
              <w:end w:w="120" w:type="dxa"/>
            </w:tcMar>
            <w:vAlign w:val="center"/>
          </w:tcPr>
          <w:p>
            <w:pPr>
              <w:spacing w:after="0"/>
              <w:jc w:val="center"/>
            </w:pPr>
            <w:r/>
            <w:r>
              <w:rPr>
                <w:rFonts w:ascii="Calibri" w:hAnsi="Calibri"/>
                <w:b/>
                <w:color w:val="FFFFFF"/>
                <w:sz w:val="18"/>
              </w:rPr>
              <w:t>Item</w:t>
            </w:r>
          </w:p>
        </w:tc>
        <w:tc>
          <w:tcPr>
            <w:tcW w:type="dxa" w:w="1850"/>
            <w:shd w:fill="12385B"/>
            <w:tcMar>
              <w:top w:w="80" w:type="dxa"/>
              <w:start w:w="120" w:type="dxa"/>
              <w:bottom w:w="80" w:type="dxa"/>
              <w:end w:w="120" w:type="dxa"/>
            </w:tcMar>
            <w:vAlign w:val="center"/>
          </w:tcPr>
          <w:p>
            <w:pPr>
              <w:spacing w:after="0"/>
              <w:jc w:val="left"/>
            </w:pPr>
            <w:r/>
            <w:r>
              <w:rPr>
                <w:rFonts w:ascii="Calibri" w:hAnsi="Calibri"/>
                <w:b/>
                <w:color w:val="FFFFFF"/>
                <w:sz w:val="18"/>
              </w:rPr>
              <w:t>Result / confidence</w:t>
            </w:r>
          </w:p>
        </w:tc>
        <w:tc>
          <w:tcPr>
            <w:tcW w:type="dxa" w:w="1200"/>
            <w:shd w:fill="12385B"/>
            <w:tcMar>
              <w:top w:w="80" w:type="dxa"/>
              <w:start w:w="120" w:type="dxa"/>
              <w:bottom w:w="80" w:type="dxa"/>
              <w:end w:w="120" w:type="dxa"/>
            </w:tcMar>
            <w:vAlign w:val="center"/>
          </w:tcPr>
          <w:p>
            <w:pPr>
              <w:spacing w:after="0"/>
              <w:jc w:val="center"/>
            </w:pPr>
            <w:r/>
            <w:r>
              <w:rPr>
                <w:rFonts w:ascii="Calibri" w:hAnsi="Calibri"/>
                <w:b/>
                <w:color w:val="FFFFFF"/>
                <w:sz w:val="18"/>
              </w:rPr>
              <w:t>Error code</w:t>
            </w:r>
          </w:p>
        </w:tc>
        <w:tc>
          <w:tcPr>
            <w:tcW w:type="dxa" w:w="2690"/>
            <w:shd w:fill="12385B"/>
            <w:tcMar>
              <w:top w:w="80" w:type="dxa"/>
              <w:start w:w="120" w:type="dxa"/>
              <w:bottom w:w="80" w:type="dxa"/>
              <w:end w:w="120" w:type="dxa"/>
            </w:tcMar>
            <w:vAlign w:val="center"/>
          </w:tcPr>
          <w:p>
            <w:pPr>
              <w:spacing w:after="0"/>
              <w:jc w:val="left"/>
            </w:pPr>
            <w:r/>
            <w:r>
              <w:rPr>
                <w:rFonts w:ascii="Calibri" w:hAnsi="Calibri"/>
                <w:b/>
                <w:color w:val="FFFFFF"/>
                <w:sz w:val="18"/>
              </w:rPr>
              <w:t>Why my option failed</w:t>
            </w:r>
          </w:p>
        </w:tc>
        <w:tc>
          <w:tcPr>
            <w:tcW w:type="dxa" w:w="2770"/>
            <w:shd w:fill="12385B"/>
            <w:tcMar>
              <w:top w:w="80" w:type="dxa"/>
              <w:start w:w="120" w:type="dxa"/>
              <w:bottom w:w="80" w:type="dxa"/>
              <w:end w:w="120" w:type="dxa"/>
            </w:tcMar>
            <w:vAlign w:val="center"/>
          </w:tcPr>
          <w:p>
            <w:pPr>
              <w:spacing w:after="0"/>
              <w:jc w:val="center"/>
            </w:pPr>
            <w:r/>
            <w:r>
              <w:rPr>
                <w:rFonts w:ascii="Calibri" w:hAnsi="Calibri"/>
                <w:b/>
                <w:color w:val="FFFFFF"/>
                <w:sz w:val="18"/>
              </w:rPr>
              <w:t>Transfer rule</w:t>
            </w:r>
          </w:p>
        </w:tc>
      </w:tr>
      <w:tr>
        <w:trPr>
          <w:cantSplit/>
        </w:trPr>
        <w:tc>
          <w:tcPr>
            <w:tcW w:type="dxa" w:w="85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85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6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7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85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8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6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7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85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85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6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7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85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8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6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7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85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85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6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7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85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8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6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7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85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85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6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7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85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8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6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7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bl>
    <w:p>
      <w:pPr>
        <w:spacing w:after="20"/>
      </w:pPr>
    </w:p>
    <w:p>
      <w:pPr>
        <w:pStyle w:val="Heading2"/>
      </w:pPr>
      <w:r>
        <w:t>Readiness and Retake Plan</w:t>
      </w:r>
    </w:p>
    <w:p>
      <w:pPr>
        <w:spacing w:after="40"/>
      </w:pPr>
      <w:r>
        <w:rPr>
          <w:rFonts w:ascii="Calibri" w:hAnsi="Calibri"/>
          <w:b/>
          <w:color w:val="12385B"/>
          <w:sz w:val="21"/>
        </w:rPr>
        <w:t>Items requiring review:</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Most frequent reasoning pattern:</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Workbook chapter and CTA tool to revisit:</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One repair rule I can explain without notes:</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Practice action before retake:</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Evidence that I understand why each distractor fails:</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Retake date and time limit:</w:t>
      </w:r>
    </w:p>
    <w:p>
      <w:pPr>
        <w:spacing w:after="160"/>
      </w:pPr>
      <w:r>
        <w:rPr>
          <w:rFonts w:ascii="Calibri" w:hAnsi="Calibri"/>
          <w:color w:val="5A6872"/>
          <w:sz w:val="20"/>
        </w:rPr>
        <w:t>______________________________________________________________________________</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READINESS GATE:  </w:t>
            </w:r>
            <w:r>
              <w:rPr>
                <w:rFonts w:ascii="Calibri" w:hAnsi="Calibri"/>
                <w:color w:val="1E2D38"/>
                <w:sz w:val="20"/>
              </w:rPr>
              <w:t>Do not rely on score alone. Before retaking, the learner should identify the controlling decision point; apply HUMBLE, ACCESS, ECOLOGY, GROUP, LINK, or GUIDE as appropriate; explain why the keyed action comes first; describe every distractor defect; and state a transferable repair rule for each missed or low-confidence item.</w:t>
            </w:r>
          </w:p>
        </w:tc>
      </w:tr>
    </w:tbl>
    <w:p>
      <w:pPr>
        <w:spacing w:after="20"/>
      </w:pPr>
    </w:p>
    <w:p>
      <w:pPr>
        <w:pStyle w:val="Heading1"/>
      </w:pPr>
      <w:r>
        <w:t>Current Official Sources and Control Notices</w:t>
      </w:r>
    </w:p>
    <w:p>
      <w:pPr>
        <w:keepLines w:val="0"/>
        <w:spacing w:after="100" w:line="283" w:lineRule="auto"/>
      </w:pPr>
      <w:r>
        <w:rPr>
          <w:rFonts w:ascii="Calibri" w:hAnsi="Calibri"/>
          <w:b/>
          <w:color w:val="12385B"/>
          <w:sz w:val="21"/>
        </w:rPr>
        <w:t xml:space="preserve">Source-control date: </w:t>
      </w:r>
      <w:r>
        <w:rPr>
          <w:rFonts w:ascii="Calibri" w:hAnsi="Calibri"/>
          <w:color w:val="1E2D38"/>
          <w:sz w:val="21"/>
        </w:rPr>
        <w:t>Verified August 2, 2026. Examination specifications, professional standards, access guidance, and jurisdictional requirements can change.</w:t>
      </w:r>
    </w:p>
    <w:p>
      <w:pPr>
        <w:spacing w:after="160"/>
      </w:pPr>
      <w:hyperlink r:id="rId14">
        <w:r>
          <w:rPr>
            <w:color w:val="13A6A6"/>
            <w:u w:val="single"/>
          </w:rPr>
          <w:t>AMFTRB Exam Reference</w:t>
        </w:r>
      </w:hyperlink>
      <w:r>
        <w:rPr>
          <w:rFonts w:ascii="Calibri" w:hAnsi="Calibri"/>
          <w:color w:val="1E2D38"/>
          <w:sz w:val="21"/>
        </w:rPr>
        <w:t xml:space="preserve"> - Current examination purpose, test specifications, single-best-answer format, security, candidate guidance, and content-reference routing.</w:t>
      </w:r>
    </w:p>
    <w:p>
      <w:pPr>
        <w:spacing w:after="160"/>
      </w:pPr>
      <w:hyperlink r:id="rId15">
        <w:r>
          <w:rPr>
            <w:color w:val="13A6A6"/>
            <w:u w:val="single"/>
          </w:rPr>
          <w:t>AMFTRB Handbook for Candidates</w:t>
        </w:r>
      </w:hyperlink>
      <w:r>
        <w:rPr>
          <w:rFonts w:ascii="Calibri" w:hAnsi="Calibri"/>
          <w:color w:val="1E2D38"/>
          <w:sz w:val="21"/>
        </w:rPr>
        <w:t xml:space="preserve"> - Current candidate-handbook access and official examination-preparation routing.</w:t>
      </w:r>
    </w:p>
    <w:p>
      <w:pPr>
        <w:spacing w:after="160"/>
      </w:pPr>
      <w:hyperlink r:id="rId16">
        <w:r>
          <w:rPr>
            <w:color w:val="13A6A6"/>
            <w:u w:val="single"/>
          </w:rPr>
          <w:t>AAMFT Code of Ethics</w:t>
        </w:r>
      </w:hyperlink>
      <w:r>
        <w:rPr>
          <w:rFonts w:ascii="Calibri" w:hAnsi="Calibri"/>
          <w:color w:val="1E2D38"/>
          <w:sz w:val="21"/>
        </w:rPr>
        <w:t xml:space="preserve"> - Revised code effective January 1, 2026, including client welfare, equity, competence, consent, confidentiality, consultation, supervision, and professional accountability.</w:t>
      </w:r>
    </w:p>
    <w:p>
      <w:pPr>
        <w:spacing w:after="160"/>
      </w:pPr>
      <w:hyperlink r:id="rId17">
        <w:r>
          <w:rPr>
            <w:color w:val="13A6A6"/>
            <w:u w:val="single"/>
          </w:rPr>
          <w:t>HHS National CLAS Standards</w:t>
        </w:r>
      </w:hyperlink>
      <w:r>
        <w:rPr>
          <w:rFonts w:ascii="Calibri" w:hAnsi="Calibri"/>
          <w:color w:val="1E2D38"/>
          <w:sz w:val="21"/>
        </w:rPr>
        <w:t xml:space="preserve"> - Culturally and linguistically responsive services, qualified language assistance, communication access, community partnership, and accountability.</w:t>
      </w:r>
    </w:p>
    <w:p>
      <w:pPr>
        <w:spacing w:after="160"/>
      </w:pPr>
      <w:hyperlink r:id="rId18">
        <w:r>
          <w:rPr>
            <w:color w:val="13A6A6"/>
            <w:u w:val="single"/>
          </w:rPr>
          <w:t>U.S. Department of Justice ADA Effective Communication</w:t>
        </w:r>
      </w:hyperlink>
      <w:r>
        <w:rPr>
          <w:rFonts w:ascii="Calibri" w:hAnsi="Calibri"/>
          <w:color w:val="1E2D38"/>
          <w:sz w:val="21"/>
        </w:rPr>
        <w:t xml:space="preserve"> - Current federal guidance on effective communication, auxiliary aids and services, qualified interpreters, and individualized communication assessment.</w:t>
      </w:r>
    </w:p>
    <w:p>
      <w:pPr>
        <w:spacing w:after="160"/>
      </w:pPr>
      <w:hyperlink r:id="rId19">
        <w:r>
          <w:rPr>
            <w:color w:val="13A6A6"/>
            <w:u w:val="single"/>
          </w:rPr>
          <w:t>IPEC Core Competencies, Version 3</w:t>
        </w:r>
      </w:hyperlink>
      <w:r>
        <w:rPr>
          <w:rFonts w:ascii="Calibri" w:hAnsi="Calibri"/>
          <w:color w:val="1E2D38"/>
          <w:sz w:val="21"/>
        </w:rPr>
        <w:t xml:space="preserve"> - Current interprofessional values and ethics, roles and responsibilities, communication, and teams and teamwork framework.</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OFFICIAL-SOURCE DISCLAIMER:  </w:t>
            </w:r>
            <w:r>
              <w:rPr>
                <w:rFonts w:ascii="Calibri" w:hAnsi="Calibri"/>
                <w:color w:val="1E2D38"/>
                <w:sz w:val="20"/>
              </w:rPr>
              <w:t>CTA is an independent educational resource and is not affiliated with or endorsed by AMFTRB, PTC, Prometric, AAMFT, HHS, DOJ, IPEC, any accessibility or group-practice authority, or any licensing board. These are original CTA practice items, not live, recalled, leaked, retired, proprietary, or memorized examination content.</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12385B"/>
                <w:sz w:val="20"/>
              </w:rPr>
              <w:t xml:space="preserve">EDUCATIONAL USE AND OUTCOME NOTICE:  </w:t>
            </w:r>
            <w:r>
              <w:rPr>
                <w:rFonts w:ascii="Calibri" w:hAnsi="Calibri"/>
                <w:color w:val="1E2D38"/>
                <w:sz w:val="20"/>
              </w:rPr>
              <w:t>This file provides exam preparation only. It does not provide CE credit, legal advice, diagnosis, treatment, emergency services, supervision, or a substitute for current procedures and qualified consultation. Participation does not guarantee examination passage.</w:t>
            </w:r>
          </w:p>
        </w:tc>
      </w:tr>
    </w:tbl>
    <w:p>
      <w:pPr>
        <w:spacing w:after="20"/>
      </w:pP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872"/>
        <w:sz w:val="16"/>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872"/>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27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D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13A6A6"/>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238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264" w:lineRule="auto"/>
    </w:pPr>
    <w:rPr>
      <w:rFonts w:asciiTheme="majorHAnsi" w:eastAsiaTheme="majorEastAsia" w:hAnsiTheme="majorHAnsi" w:cstheme="majorBidi" w:ascii="Calibri" w:hAnsi="Calibri"/>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amftrb.org/exam-info/" TargetMode="External"/><Relationship Id="rId15" Type="http://schemas.openxmlformats.org/officeDocument/2006/relationships/hyperlink" Target="https://amftrb.org/handbook-for-candidates/" TargetMode="External"/><Relationship Id="rId16" Type="http://schemas.openxmlformats.org/officeDocument/2006/relationships/hyperlink" Target="https://www.aamft.org/web/web/Action-Advocacy/Code-of-Ethics-New.aspx" TargetMode="External"/><Relationship Id="rId17" Type="http://schemas.openxmlformats.org/officeDocument/2006/relationships/hyperlink" Target="https://thinkculturalhealth.hhs.gov/clas/standards" TargetMode="External"/><Relationship Id="rId18" Type="http://schemas.openxmlformats.org/officeDocument/2006/relationships/hyperlink" Target="https://www.ada.gov/resources/effective-communication/" TargetMode="External"/><Relationship Id="rId19" Type="http://schemas.openxmlformats.org/officeDocument/2006/relationships/hyperlink" Target="https://www.ipecollaborative.org/ipec-core-competen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11 Controlled Answer Key and Detailed Rationales</dc:title>
  <dc:subject>Controlled option-by-option rationales for original CTA Workbook 11 exam-preparation items; no CE credit</dc:subject>
  <dc:creator>Clinical Training &amp; Supervision Academy</dc:creator>
  <cp:keywords>LMFT, AMFTRB, exam preparation, cultural humility, social justice, access, community systems, groups, referral, collaboration, supervision, controlled answer key</cp:keywords>
  <dc:description>Release only after the learner completes and records the first timed attempt.</dc:description>
  <cp:lastModifiedBy/>
  <cp:revision>1</cp:revision>
  <dcterms:created xsi:type="dcterms:W3CDTF">2013-12-23T23:15:00Z</dcterms:created>
  <dcterms:modified xsi:type="dcterms:W3CDTF">2013-12-23T23:15:00Z</dcterms:modified>
  <cp:category/>
</cp:coreProperties>
</file>