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4297680" cy="2956076"/>
            <wp:docPr id="1" name="Picture 1" descr="Clinical Training and Supervision Academy horizontal logo"/>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297680" cy="2956076"/>
                    </a:xfrm>
                    <a:prstGeom prst="rect"/>
                  </pic:spPr>
                </pic:pic>
              </a:graphicData>
            </a:graphic>
          </wp:inline>
        </w:drawing>
      </w:r>
    </w:p>
    <w:p>
      <w:pPr>
        <w:keepNext w:val="0"/>
        <w:spacing w:before="280" w:after="40" w:line="252" w:lineRule="auto"/>
        <w:jc w:val="center"/>
      </w:pPr>
      <w:r>
        <w:rPr>
          <w:rFonts w:ascii="Liberation Sans" w:hAnsi="Liberation Sans"/>
          <w:b/>
          <w:i w:val="0"/>
          <w:color w:val="12385B"/>
          <w:sz w:val="36"/>
        </w:rPr>
        <w:t>CTA LMFT AMFTRB</w:t>
      </w:r>
    </w:p>
    <w:p>
      <w:pPr>
        <w:keepNext w:val="0"/>
        <w:spacing w:before="0" w:after="80" w:line="252" w:lineRule="auto"/>
        <w:jc w:val="center"/>
      </w:pPr>
      <w:r>
        <w:rPr>
          <w:rFonts w:ascii="Liberation Sans" w:hAnsi="Liberation Sans"/>
          <w:b/>
          <w:i w:val="0"/>
          <w:color w:val="13A6A6"/>
          <w:sz w:val="22"/>
        </w:rPr>
        <w:t>NATIONAL EXAM PREPARATION PROGRAM</w:t>
      </w:r>
    </w:p>
    <w:p>
      <w:pPr>
        <w:keepNext w:val="0"/>
        <w:spacing w:before="0" w:after="200" w:line="252" w:lineRule="auto"/>
        <w:jc w:val="center"/>
      </w:pPr>
      <w:r>
        <w:rPr>
          <w:rFonts w:ascii="Liberation Sans" w:hAnsi="Liberation Sans"/>
          <w:b/>
          <w:i w:val="0"/>
          <w:color w:val="5A6872"/>
          <w:sz w:val="19"/>
        </w:rPr>
        <w:t>CONTROLLED DOCUMENT</w:t>
      </w:r>
    </w:p>
    <w:p>
      <w:pPr>
        <w:pStyle w:val="Title"/>
        <w:jc w:val="center"/>
      </w:pPr>
      <w:r>
        <w:t>Answer Key and Detailed Rationales</w:t>
      </w:r>
    </w:p>
    <w:p>
      <w:pPr>
        <w:pStyle w:val="Subtitle"/>
        <w:jc w:val="center"/>
      </w:pPr>
      <w:r>
        <w:t>CTA LMFT AMFTRB Workbook 12</w:t>
      </w:r>
    </w:p>
    <w:p>
      <w:pPr>
        <w:keepNext w:val="0"/>
        <w:spacing w:before="0" w:after="160" w:line="252" w:lineRule="auto"/>
        <w:jc w:val="center"/>
      </w:pPr>
      <w:r>
        <w:rPr>
          <w:rFonts w:ascii="Liberation Sans" w:hAnsi="Liberation Sans"/>
          <w:b/>
          <w:i w:val="0"/>
          <w:color w:val="12385B"/>
          <w:sz w:val="27"/>
        </w:rPr>
        <w:t>Ethics, Law, Business Practice, Documentation, Technology,</w:t>
        <w:br/>
        <w:t>Teletherapy, and AI</w:t>
      </w:r>
    </w:p>
    <w:p>
      <w:pPr>
        <w:keepNext w:val="0"/>
        <w:spacing w:before="0" w:after="40" w:line="252" w:lineRule="auto"/>
        <w:jc w:val="center"/>
      </w:pPr>
      <w:r>
        <w:rPr>
          <w:rFonts w:ascii="Liberation Sans" w:hAnsi="Liberation Sans"/>
          <w:b w:val="0"/>
          <w:i w:val="0"/>
          <w:color w:val="5A6872"/>
          <w:sz w:val="19"/>
        </w:rPr>
        <w:t>Version 1.0 - August 2026</w:t>
      </w:r>
    </w:p>
    <w:p>
      <w:pPr>
        <w:keepNext w:val="0"/>
        <w:spacing w:before="0" w:after="80" w:line="252" w:lineRule="auto"/>
        <w:jc w:val="center"/>
      </w:pPr>
      <w:r>
        <w:rPr>
          <w:rFonts w:ascii="Liberation Sans" w:hAnsi="Liberation Sans"/>
          <w:b/>
          <w:i w:val="0"/>
          <w:color w:val="12385B"/>
          <w:sz w:val="20"/>
        </w:rPr>
        <w:t>Clinical Training &amp; Supervision Academy</w:t>
      </w:r>
    </w:p>
    <w:p>
      <w:pPr>
        <w:pStyle w:val="Heading1"/>
        <w:keepNext/>
      </w:pPr>
      <w:r>
        <w:t>Scoring and Use Instructions</w:t>
      </w:r>
    </w:p>
    <w:p>
      <w:pPr>
        <w:pStyle w:val="ListNumber"/>
        <w:spacing w:after="60" w:line="252" w:lineRule="auto"/>
      </w:pPr>
      <w:r>
        <w:rPr>
          <w:rFonts w:ascii="Liberation Sans" w:hAnsi="Liberation Sans"/>
          <w:b w:val="0"/>
          <w:i w:val="0"/>
          <w:color w:val="1E2D38"/>
          <w:sz w:val="19"/>
        </w:rPr>
        <w:t>Score the first attempt using the compact key. Preserve the learner's original answers, confidence ratings, and time used.</w:t>
      </w:r>
    </w:p>
    <w:p>
      <w:pPr>
        <w:pStyle w:val="ListNumber"/>
        <w:spacing w:after="60" w:line="252" w:lineRule="auto"/>
      </w:pPr>
      <w:r>
        <w:rPr>
          <w:rFonts w:ascii="Liberation Sans" w:hAnsi="Liberation Sans"/>
          <w:b w:val="0"/>
          <w:i w:val="0"/>
          <w:color w:val="1E2D38"/>
          <w:sz w:val="19"/>
        </w:rPr>
        <w:t>Review every incorrect answer and every correct answer marked confidence 1 or 2. Read all four option rationales before writing a transfer rule.</w:t>
      </w:r>
    </w:p>
    <w:p>
      <w:pPr>
        <w:pStyle w:val="ListNumber"/>
        <w:spacing w:after="60" w:line="252" w:lineRule="auto"/>
      </w:pPr>
      <w:r>
        <w:rPr>
          <w:rFonts w:ascii="Liberation Sans" w:hAnsi="Liberation Sans"/>
          <w:b w:val="0"/>
          <w:i w:val="0"/>
          <w:color w:val="1E2D38"/>
          <w:sz w:val="19"/>
        </w:rPr>
        <w:t>Assign the controlled remediation code and examine whether another recurring reasoning pattern also contributed.</w:t>
      </w:r>
    </w:p>
    <w:p>
      <w:pPr>
        <w:pStyle w:val="ListNumber"/>
        <w:spacing w:after="60" w:line="252" w:lineRule="auto"/>
      </w:pPr>
      <w:r>
        <w:rPr>
          <w:rFonts w:ascii="Liberation Sans" w:hAnsi="Liberation Sans"/>
          <w:b w:val="0"/>
          <w:i w:val="0"/>
          <w:color w:val="1E2D38"/>
          <w:sz w:val="19"/>
        </w:rPr>
        <w:t>Return to the named objective and chapter/tool, complete the remediation plan, and retake only after the learner can explain the decision point and competing-option defects.</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AF1F7"/>
          </w:tcPr>
          <w:p>
            <w:pPr>
              <w:spacing w:after="0" w:line="252" w:lineRule="auto"/>
            </w:pPr>
            <w:r/>
            <w:r>
              <w:rPr>
                <w:rFonts w:ascii="Liberation Sans" w:hAnsi="Liberation Sans"/>
                <w:b/>
                <w:i w:val="0"/>
                <w:color w:val="12385B"/>
                <w:sz w:val="18"/>
              </w:rPr>
              <w:t xml:space="preserve">CONTROLLED USE:  </w:t>
            </w:r>
            <w:r>
              <w:rPr>
                <w:rFonts w:ascii="Liberation Sans" w:hAnsi="Liberation Sans"/>
                <w:b w:val="0"/>
                <w:i w:val="0"/>
                <w:color w:val="1E2D38"/>
                <w:sz w:val="18"/>
              </w:rPr>
              <w:t>Release only after the candidate completes and records the first timed attempt. Keep this file separate from the learner-facing candidate bank.</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CURRENCY CONTROL:  </w:t>
            </w:r>
            <w:r>
              <w:rPr>
                <w:rFonts w:ascii="Liberation Sans" w:hAnsi="Liberation Sans"/>
                <w:b w:val="0"/>
                <w:i w:val="0"/>
                <w:color w:val="1E2D38"/>
                <w:sz w:val="18"/>
              </w:rPr>
              <w:t>Clinical reasoning in this file does not replace current law, regulation, ethics, board guidance, payer rules, privacy and security duties, organizational policy, emergency procedures, or individualized consultation. Jurisdiction-dependent requirements must be verified before practice application.</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F2F4F7"/>
          </w:tcPr>
          <w:p>
            <w:pPr>
              <w:spacing w:after="0" w:line="252" w:lineRule="auto"/>
            </w:pPr>
            <w:r/>
            <w:r>
              <w:rPr>
                <w:rFonts w:ascii="Liberation Sans" w:hAnsi="Liberation Sans"/>
                <w:b/>
                <w:i w:val="0"/>
                <w:color w:val="12385B"/>
                <w:sz w:val="18"/>
              </w:rPr>
              <w:t xml:space="preserve">PROGRAM DESIGNATION:  </w:t>
            </w:r>
            <w:r>
              <w:rPr>
                <w:rFonts w:ascii="Liberation Sans" w:hAnsi="Liberation Sans"/>
                <w:b w:val="0"/>
                <w:i w:val="0"/>
                <w:color w:val="1E2D38"/>
                <w:sz w:val="18"/>
              </w:rPr>
              <w:t>Editable Word document | Original CTA exam preparation | No CE credit | Participation does not guarantee examination passage.</w:t>
            </w:r>
          </w:p>
        </w:tc>
      </w:tr>
    </w:tbl>
    <w:p>
      <w:pPr>
        <w:spacing w:after="40"/>
      </w:pPr>
    </w:p>
    <w:p>
      <w:pPr>
        <w:pStyle w:val="Heading2"/>
        <w:keepNext/>
      </w:pPr>
      <w:r>
        <w:t>Compact Answer Key</w:t>
      </w:r>
    </w:p>
    <w:tbl>
      <w:tblPr>
        <w:tblW w:type="dxa" w:w="93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690"/>
        <w:gridCol w:w="510"/>
        <w:gridCol w:w="510"/>
        <w:gridCol w:w="510"/>
        <w:gridCol w:w="510"/>
        <w:gridCol w:w="510"/>
        <w:gridCol w:w="510"/>
        <w:gridCol w:w="510"/>
        <w:gridCol w:w="510"/>
        <w:gridCol w:w="510"/>
        <w:gridCol w:w="510"/>
        <w:gridCol w:w="510"/>
        <w:gridCol w:w="510"/>
        <w:gridCol w:w="510"/>
        <w:gridCol w:w="510"/>
        <w:gridCol w:w="510"/>
        <w:gridCol w:w="510"/>
        <w:gridCol w:w="510"/>
      </w:tblGrid>
      <w:tr>
        <w:trPr>
          <w:cantSplit/>
          <w:tblHeader w:val="true"/>
        </w:trPr>
        <w:tc>
          <w:tcPr>
            <w:tcW w:type="dxa" w:w="690"/>
            <w:tcMar>
              <w:top w:w="90" w:type="dxa"/>
              <w:start w:w="120" w:type="dxa"/>
              <w:bottom w:w="90" w:type="dxa"/>
              <w:end w:w="120" w:type="dxa"/>
            </w:tcMar>
            <w:vAlign w:val="center"/>
            <w:shd w:fill="12385B"/>
          </w:tcPr>
          <w:p>
            <w:pPr>
              <w:spacing w:before="0" w:after="0" w:line="240" w:lineRule="auto"/>
              <w:jc w:val="center"/>
            </w:pPr>
            <w:r/>
            <w:r>
              <w:rPr>
                <w:rFonts w:ascii="Liberation Sans" w:hAnsi="Liberation Sans"/>
                <w:b/>
                <w:i w:val="0"/>
                <w:color w:val="FFFFFF"/>
                <w:sz w:val="16"/>
              </w:rPr>
            </w:r>
          </w:p>
        </w:tc>
        <w:tc>
          <w:tcPr>
            <w:tcW w:type="dxa" w:w="510"/>
            <w:tcMar>
              <w:top w:w="90" w:type="dxa"/>
              <w:start w:w="120" w:type="dxa"/>
              <w:bottom w:w="90" w:type="dxa"/>
              <w:end w:w="120" w:type="dxa"/>
            </w:tcMar>
            <w:vAlign w:val="center"/>
            <w:shd w:fill="12385B"/>
          </w:tcPr>
          <w:p>
            <w:pPr>
              <w:spacing w:before="0" w:after="0" w:line="240" w:lineRule="auto"/>
              <w:jc w:val="center"/>
            </w:pPr>
            <w:r/>
            <w:r>
              <w:rPr>
                <w:rFonts w:ascii="Liberation Sans" w:hAnsi="Liberation Sans"/>
                <w:b/>
                <w:i w:val="0"/>
                <w:color w:val="FFFFFF"/>
                <w:sz w:val="16"/>
              </w:rPr>
              <w:t>1</w:t>
            </w:r>
          </w:p>
        </w:tc>
        <w:tc>
          <w:tcPr>
            <w:tcW w:type="dxa" w:w="510"/>
            <w:tcMar>
              <w:top w:w="90" w:type="dxa"/>
              <w:start w:w="120" w:type="dxa"/>
              <w:bottom w:w="90" w:type="dxa"/>
              <w:end w:w="120" w:type="dxa"/>
            </w:tcMar>
            <w:vAlign w:val="center"/>
            <w:shd w:fill="12385B"/>
          </w:tcPr>
          <w:p>
            <w:pPr>
              <w:spacing w:before="0" w:after="0" w:line="240" w:lineRule="auto"/>
              <w:jc w:val="center"/>
            </w:pPr>
            <w:r/>
            <w:r>
              <w:rPr>
                <w:rFonts w:ascii="Liberation Sans" w:hAnsi="Liberation Sans"/>
                <w:b/>
                <w:i w:val="0"/>
                <w:color w:val="FFFFFF"/>
                <w:sz w:val="16"/>
              </w:rPr>
              <w:t>2</w:t>
            </w:r>
          </w:p>
        </w:tc>
        <w:tc>
          <w:tcPr>
            <w:tcW w:type="dxa" w:w="510"/>
            <w:tcMar>
              <w:top w:w="90" w:type="dxa"/>
              <w:start w:w="120" w:type="dxa"/>
              <w:bottom w:w="90" w:type="dxa"/>
              <w:end w:w="120" w:type="dxa"/>
            </w:tcMar>
            <w:vAlign w:val="center"/>
            <w:shd w:fill="12385B"/>
          </w:tcPr>
          <w:p>
            <w:pPr>
              <w:spacing w:before="0" w:after="0" w:line="240" w:lineRule="auto"/>
              <w:jc w:val="center"/>
            </w:pPr>
            <w:r/>
            <w:r>
              <w:rPr>
                <w:rFonts w:ascii="Liberation Sans" w:hAnsi="Liberation Sans"/>
                <w:b/>
                <w:i w:val="0"/>
                <w:color w:val="FFFFFF"/>
                <w:sz w:val="16"/>
              </w:rPr>
              <w:t>3</w:t>
            </w:r>
          </w:p>
        </w:tc>
        <w:tc>
          <w:tcPr>
            <w:tcW w:type="dxa" w:w="510"/>
            <w:tcMar>
              <w:top w:w="90" w:type="dxa"/>
              <w:start w:w="120" w:type="dxa"/>
              <w:bottom w:w="90" w:type="dxa"/>
              <w:end w:w="120" w:type="dxa"/>
            </w:tcMar>
            <w:vAlign w:val="center"/>
            <w:shd w:fill="12385B"/>
          </w:tcPr>
          <w:p>
            <w:pPr>
              <w:spacing w:before="0" w:after="0" w:line="240" w:lineRule="auto"/>
              <w:jc w:val="center"/>
            </w:pPr>
            <w:r/>
            <w:r>
              <w:rPr>
                <w:rFonts w:ascii="Liberation Sans" w:hAnsi="Liberation Sans"/>
                <w:b/>
                <w:i w:val="0"/>
                <w:color w:val="FFFFFF"/>
                <w:sz w:val="16"/>
              </w:rPr>
              <w:t>4</w:t>
            </w:r>
          </w:p>
        </w:tc>
        <w:tc>
          <w:tcPr>
            <w:tcW w:type="dxa" w:w="510"/>
            <w:tcMar>
              <w:top w:w="90" w:type="dxa"/>
              <w:start w:w="120" w:type="dxa"/>
              <w:bottom w:w="90" w:type="dxa"/>
              <w:end w:w="120" w:type="dxa"/>
            </w:tcMar>
            <w:vAlign w:val="center"/>
            <w:shd w:fill="12385B"/>
          </w:tcPr>
          <w:p>
            <w:pPr>
              <w:spacing w:before="0" w:after="0" w:line="240" w:lineRule="auto"/>
              <w:jc w:val="center"/>
            </w:pPr>
            <w:r/>
            <w:r>
              <w:rPr>
                <w:rFonts w:ascii="Liberation Sans" w:hAnsi="Liberation Sans"/>
                <w:b/>
                <w:i w:val="0"/>
                <w:color w:val="FFFFFF"/>
                <w:sz w:val="16"/>
              </w:rPr>
              <w:t>5</w:t>
            </w:r>
          </w:p>
        </w:tc>
        <w:tc>
          <w:tcPr>
            <w:tcW w:type="dxa" w:w="510"/>
            <w:tcMar>
              <w:top w:w="90" w:type="dxa"/>
              <w:start w:w="120" w:type="dxa"/>
              <w:bottom w:w="90" w:type="dxa"/>
              <w:end w:w="120" w:type="dxa"/>
            </w:tcMar>
            <w:vAlign w:val="center"/>
            <w:shd w:fill="12385B"/>
          </w:tcPr>
          <w:p>
            <w:pPr>
              <w:spacing w:before="0" w:after="0" w:line="240" w:lineRule="auto"/>
              <w:jc w:val="center"/>
            </w:pPr>
            <w:r/>
            <w:r>
              <w:rPr>
                <w:rFonts w:ascii="Liberation Sans" w:hAnsi="Liberation Sans"/>
                <w:b/>
                <w:i w:val="0"/>
                <w:color w:val="FFFFFF"/>
                <w:sz w:val="16"/>
              </w:rPr>
              <w:t>6</w:t>
            </w:r>
          </w:p>
        </w:tc>
        <w:tc>
          <w:tcPr>
            <w:tcW w:type="dxa" w:w="510"/>
            <w:tcMar>
              <w:top w:w="90" w:type="dxa"/>
              <w:start w:w="120" w:type="dxa"/>
              <w:bottom w:w="90" w:type="dxa"/>
              <w:end w:w="120" w:type="dxa"/>
            </w:tcMar>
            <w:vAlign w:val="center"/>
            <w:shd w:fill="12385B"/>
          </w:tcPr>
          <w:p>
            <w:pPr>
              <w:spacing w:before="0" w:after="0" w:line="240" w:lineRule="auto"/>
              <w:jc w:val="center"/>
            </w:pPr>
            <w:r/>
            <w:r>
              <w:rPr>
                <w:rFonts w:ascii="Liberation Sans" w:hAnsi="Liberation Sans"/>
                <w:b/>
                <w:i w:val="0"/>
                <w:color w:val="FFFFFF"/>
                <w:sz w:val="16"/>
              </w:rPr>
              <w:t>7</w:t>
            </w:r>
          </w:p>
        </w:tc>
        <w:tc>
          <w:tcPr>
            <w:tcW w:type="dxa" w:w="510"/>
            <w:tcMar>
              <w:top w:w="90" w:type="dxa"/>
              <w:start w:w="120" w:type="dxa"/>
              <w:bottom w:w="90" w:type="dxa"/>
              <w:end w:w="120" w:type="dxa"/>
            </w:tcMar>
            <w:vAlign w:val="center"/>
            <w:shd w:fill="12385B"/>
          </w:tcPr>
          <w:p>
            <w:pPr>
              <w:spacing w:before="0" w:after="0" w:line="240" w:lineRule="auto"/>
              <w:jc w:val="center"/>
            </w:pPr>
            <w:r/>
            <w:r>
              <w:rPr>
                <w:rFonts w:ascii="Liberation Sans" w:hAnsi="Liberation Sans"/>
                <w:b/>
                <w:i w:val="0"/>
                <w:color w:val="FFFFFF"/>
                <w:sz w:val="16"/>
              </w:rPr>
              <w:t>8</w:t>
            </w:r>
          </w:p>
        </w:tc>
        <w:tc>
          <w:tcPr>
            <w:tcW w:type="dxa" w:w="510"/>
            <w:tcMar>
              <w:top w:w="90" w:type="dxa"/>
              <w:start w:w="120" w:type="dxa"/>
              <w:bottom w:w="90" w:type="dxa"/>
              <w:end w:w="120" w:type="dxa"/>
            </w:tcMar>
            <w:vAlign w:val="center"/>
            <w:shd w:fill="12385B"/>
          </w:tcPr>
          <w:p>
            <w:pPr>
              <w:spacing w:before="0" w:after="0" w:line="240" w:lineRule="auto"/>
              <w:jc w:val="center"/>
            </w:pPr>
            <w:r/>
            <w:r>
              <w:rPr>
                <w:rFonts w:ascii="Liberation Sans" w:hAnsi="Liberation Sans"/>
                <w:b/>
                <w:i w:val="0"/>
                <w:color w:val="FFFFFF"/>
                <w:sz w:val="16"/>
              </w:rPr>
              <w:t>9</w:t>
            </w:r>
          </w:p>
        </w:tc>
        <w:tc>
          <w:tcPr>
            <w:tcW w:type="dxa" w:w="510"/>
            <w:tcMar>
              <w:top w:w="90" w:type="dxa"/>
              <w:start w:w="120" w:type="dxa"/>
              <w:bottom w:w="90" w:type="dxa"/>
              <w:end w:w="120" w:type="dxa"/>
            </w:tcMar>
            <w:vAlign w:val="center"/>
            <w:shd w:fill="12385B"/>
          </w:tcPr>
          <w:p>
            <w:pPr>
              <w:spacing w:before="0" w:after="0" w:line="240" w:lineRule="auto"/>
              <w:jc w:val="center"/>
            </w:pPr>
            <w:r/>
            <w:r>
              <w:rPr>
                <w:rFonts w:ascii="Liberation Sans" w:hAnsi="Liberation Sans"/>
                <w:b/>
                <w:i w:val="0"/>
                <w:color w:val="FFFFFF"/>
                <w:sz w:val="16"/>
              </w:rPr>
              <w:t>10</w:t>
            </w:r>
          </w:p>
        </w:tc>
        <w:tc>
          <w:tcPr>
            <w:tcW w:type="dxa" w:w="510"/>
            <w:tcMar>
              <w:top w:w="90" w:type="dxa"/>
              <w:start w:w="120" w:type="dxa"/>
              <w:bottom w:w="90" w:type="dxa"/>
              <w:end w:w="120" w:type="dxa"/>
            </w:tcMar>
            <w:vAlign w:val="center"/>
            <w:shd w:fill="12385B"/>
          </w:tcPr>
          <w:p>
            <w:pPr>
              <w:spacing w:before="0" w:after="0" w:line="240" w:lineRule="auto"/>
              <w:jc w:val="center"/>
            </w:pPr>
            <w:r/>
            <w:r>
              <w:rPr>
                <w:rFonts w:ascii="Liberation Sans" w:hAnsi="Liberation Sans"/>
                <w:b/>
                <w:i w:val="0"/>
                <w:color w:val="FFFFFF"/>
                <w:sz w:val="16"/>
              </w:rPr>
              <w:t>11</w:t>
            </w:r>
          </w:p>
        </w:tc>
        <w:tc>
          <w:tcPr>
            <w:tcW w:type="dxa" w:w="510"/>
            <w:tcMar>
              <w:top w:w="90" w:type="dxa"/>
              <w:start w:w="120" w:type="dxa"/>
              <w:bottom w:w="90" w:type="dxa"/>
              <w:end w:w="120" w:type="dxa"/>
            </w:tcMar>
            <w:vAlign w:val="center"/>
            <w:shd w:fill="12385B"/>
          </w:tcPr>
          <w:p>
            <w:pPr>
              <w:spacing w:before="0" w:after="0" w:line="240" w:lineRule="auto"/>
              <w:jc w:val="center"/>
            </w:pPr>
            <w:r/>
            <w:r>
              <w:rPr>
                <w:rFonts w:ascii="Liberation Sans" w:hAnsi="Liberation Sans"/>
                <w:b/>
                <w:i w:val="0"/>
                <w:color w:val="FFFFFF"/>
                <w:sz w:val="16"/>
              </w:rPr>
              <w:t>12</w:t>
            </w:r>
          </w:p>
        </w:tc>
        <w:tc>
          <w:tcPr>
            <w:tcW w:type="dxa" w:w="510"/>
            <w:tcMar>
              <w:top w:w="90" w:type="dxa"/>
              <w:start w:w="120" w:type="dxa"/>
              <w:bottom w:w="90" w:type="dxa"/>
              <w:end w:w="120" w:type="dxa"/>
            </w:tcMar>
            <w:vAlign w:val="center"/>
            <w:shd w:fill="12385B"/>
          </w:tcPr>
          <w:p>
            <w:pPr>
              <w:spacing w:before="0" w:after="0" w:line="240" w:lineRule="auto"/>
              <w:jc w:val="center"/>
            </w:pPr>
            <w:r/>
            <w:r>
              <w:rPr>
                <w:rFonts w:ascii="Liberation Sans" w:hAnsi="Liberation Sans"/>
                <w:b/>
                <w:i w:val="0"/>
                <w:color w:val="FFFFFF"/>
                <w:sz w:val="16"/>
              </w:rPr>
              <w:t>13</w:t>
            </w:r>
          </w:p>
        </w:tc>
        <w:tc>
          <w:tcPr>
            <w:tcW w:type="dxa" w:w="510"/>
            <w:tcMar>
              <w:top w:w="90" w:type="dxa"/>
              <w:start w:w="120" w:type="dxa"/>
              <w:bottom w:w="90" w:type="dxa"/>
              <w:end w:w="120" w:type="dxa"/>
            </w:tcMar>
            <w:vAlign w:val="center"/>
            <w:shd w:fill="12385B"/>
          </w:tcPr>
          <w:p>
            <w:pPr>
              <w:spacing w:before="0" w:after="0" w:line="240" w:lineRule="auto"/>
              <w:jc w:val="center"/>
            </w:pPr>
            <w:r/>
            <w:r>
              <w:rPr>
                <w:rFonts w:ascii="Liberation Sans" w:hAnsi="Liberation Sans"/>
                <w:b/>
                <w:i w:val="0"/>
                <w:color w:val="FFFFFF"/>
                <w:sz w:val="16"/>
              </w:rPr>
              <w:t>14</w:t>
            </w:r>
          </w:p>
        </w:tc>
        <w:tc>
          <w:tcPr>
            <w:tcW w:type="dxa" w:w="510"/>
            <w:tcMar>
              <w:top w:w="90" w:type="dxa"/>
              <w:start w:w="120" w:type="dxa"/>
              <w:bottom w:w="90" w:type="dxa"/>
              <w:end w:w="120" w:type="dxa"/>
            </w:tcMar>
            <w:vAlign w:val="center"/>
            <w:shd w:fill="12385B"/>
          </w:tcPr>
          <w:p>
            <w:pPr>
              <w:spacing w:before="0" w:after="0" w:line="240" w:lineRule="auto"/>
              <w:jc w:val="center"/>
            </w:pPr>
            <w:r/>
            <w:r>
              <w:rPr>
                <w:rFonts w:ascii="Liberation Sans" w:hAnsi="Liberation Sans"/>
                <w:b/>
                <w:i w:val="0"/>
                <w:color w:val="FFFFFF"/>
                <w:sz w:val="16"/>
              </w:rPr>
              <w:t>15</w:t>
            </w:r>
          </w:p>
        </w:tc>
        <w:tc>
          <w:tcPr>
            <w:tcW w:type="dxa" w:w="510"/>
            <w:tcMar>
              <w:top w:w="90" w:type="dxa"/>
              <w:start w:w="120" w:type="dxa"/>
              <w:bottom w:w="90" w:type="dxa"/>
              <w:end w:w="120" w:type="dxa"/>
            </w:tcMar>
            <w:vAlign w:val="center"/>
            <w:shd w:fill="12385B"/>
          </w:tcPr>
          <w:p>
            <w:pPr>
              <w:spacing w:before="0" w:after="0" w:line="240" w:lineRule="auto"/>
              <w:jc w:val="center"/>
            </w:pPr>
            <w:r/>
            <w:r>
              <w:rPr>
                <w:rFonts w:ascii="Liberation Sans" w:hAnsi="Liberation Sans"/>
                <w:b/>
                <w:i w:val="0"/>
                <w:color w:val="FFFFFF"/>
                <w:sz w:val="16"/>
              </w:rPr>
              <w:t>16</w:t>
            </w:r>
          </w:p>
        </w:tc>
        <w:tc>
          <w:tcPr>
            <w:tcW w:type="dxa" w:w="510"/>
            <w:tcMar>
              <w:top w:w="90" w:type="dxa"/>
              <w:start w:w="120" w:type="dxa"/>
              <w:bottom w:w="90" w:type="dxa"/>
              <w:end w:w="120" w:type="dxa"/>
            </w:tcMar>
            <w:vAlign w:val="center"/>
            <w:shd w:fill="12385B"/>
          </w:tcPr>
          <w:p>
            <w:pPr>
              <w:spacing w:before="0" w:after="0" w:line="240" w:lineRule="auto"/>
              <w:jc w:val="center"/>
            </w:pPr>
            <w:r/>
            <w:r>
              <w:rPr>
                <w:rFonts w:ascii="Liberation Sans" w:hAnsi="Liberation Sans"/>
                <w:b/>
                <w:i w:val="0"/>
                <w:color w:val="FFFFFF"/>
                <w:sz w:val="16"/>
              </w:rPr>
              <w:t>17</w:t>
            </w:r>
          </w:p>
        </w:tc>
      </w:tr>
      <w:tr>
        <w:trPr>
          <w:cantSplit/>
        </w:trPr>
        <w:tc>
          <w:tcPr>
            <w:tcW w:type="dxa" w:w="690"/>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Key</w:t>
            </w:r>
          </w:p>
        </w:tc>
        <w:tc>
          <w:tcPr>
            <w:tcW w:type="dxa" w:w="510"/>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A</w:t>
            </w:r>
          </w:p>
        </w:tc>
        <w:tc>
          <w:tcPr>
            <w:tcW w:type="dxa" w:w="510"/>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B</w:t>
            </w:r>
          </w:p>
        </w:tc>
        <w:tc>
          <w:tcPr>
            <w:tcW w:type="dxa" w:w="510"/>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C</w:t>
            </w:r>
          </w:p>
        </w:tc>
        <w:tc>
          <w:tcPr>
            <w:tcW w:type="dxa" w:w="510"/>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D</w:t>
            </w:r>
          </w:p>
        </w:tc>
        <w:tc>
          <w:tcPr>
            <w:tcW w:type="dxa" w:w="510"/>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A</w:t>
            </w:r>
          </w:p>
        </w:tc>
        <w:tc>
          <w:tcPr>
            <w:tcW w:type="dxa" w:w="510"/>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B</w:t>
            </w:r>
          </w:p>
        </w:tc>
        <w:tc>
          <w:tcPr>
            <w:tcW w:type="dxa" w:w="510"/>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C</w:t>
            </w:r>
          </w:p>
        </w:tc>
        <w:tc>
          <w:tcPr>
            <w:tcW w:type="dxa" w:w="510"/>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D</w:t>
            </w:r>
          </w:p>
        </w:tc>
        <w:tc>
          <w:tcPr>
            <w:tcW w:type="dxa" w:w="510"/>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A</w:t>
            </w:r>
          </w:p>
        </w:tc>
        <w:tc>
          <w:tcPr>
            <w:tcW w:type="dxa" w:w="510"/>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B</w:t>
            </w:r>
          </w:p>
        </w:tc>
        <w:tc>
          <w:tcPr>
            <w:tcW w:type="dxa" w:w="510"/>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C</w:t>
            </w:r>
          </w:p>
        </w:tc>
        <w:tc>
          <w:tcPr>
            <w:tcW w:type="dxa" w:w="510"/>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D</w:t>
            </w:r>
          </w:p>
        </w:tc>
        <w:tc>
          <w:tcPr>
            <w:tcW w:type="dxa" w:w="510"/>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A</w:t>
            </w:r>
          </w:p>
        </w:tc>
        <w:tc>
          <w:tcPr>
            <w:tcW w:type="dxa" w:w="510"/>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B</w:t>
            </w:r>
          </w:p>
        </w:tc>
        <w:tc>
          <w:tcPr>
            <w:tcW w:type="dxa" w:w="510"/>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C</w:t>
            </w:r>
          </w:p>
        </w:tc>
        <w:tc>
          <w:tcPr>
            <w:tcW w:type="dxa" w:w="510"/>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D</w:t>
            </w:r>
          </w:p>
        </w:tc>
        <w:tc>
          <w:tcPr>
            <w:tcW w:type="dxa" w:w="510"/>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A</w:t>
            </w:r>
          </w:p>
        </w:tc>
      </w:tr>
      <w:tr>
        <w:trPr>
          <w:cantSplit/>
        </w:trPr>
        <w:tc>
          <w:tcPr>
            <w:tcW w:type="dxa" w:w="690"/>
            <w:shd w:fill="F8FAFC"/>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Code</w:t>
            </w:r>
          </w:p>
        </w:tc>
        <w:tc>
          <w:tcPr>
            <w:tcW w:type="dxa" w:w="510"/>
            <w:shd w:fill="F8FAFC"/>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R1</w:t>
            </w:r>
          </w:p>
        </w:tc>
        <w:tc>
          <w:tcPr>
            <w:tcW w:type="dxa" w:w="510"/>
            <w:shd w:fill="F8FAFC"/>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R1</w:t>
            </w:r>
          </w:p>
        </w:tc>
        <w:tc>
          <w:tcPr>
            <w:tcW w:type="dxa" w:w="510"/>
            <w:shd w:fill="F8FAFC"/>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R2</w:t>
            </w:r>
          </w:p>
        </w:tc>
        <w:tc>
          <w:tcPr>
            <w:tcW w:type="dxa" w:w="510"/>
            <w:shd w:fill="F8FAFC"/>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R3</w:t>
            </w:r>
          </w:p>
        </w:tc>
        <w:tc>
          <w:tcPr>
            <w:tcW w:type="dxa" w:w="510"/>
            <w:shd w:fill="F8FAFC"/>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R3</w:t>
            </w:r>
          </w:p>
        </w:tc>
        <w:tc>
          <w:tcPr>
            <w:tcW w:type="dxa" w:w="510"/>
            <w:shd w:fill="F8FAFC"/>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R4</w:t>
            </w:r>
          </w:p>
        </w:tc>
        <w:tc>
          <w:tcPr>
            <w:tcW w:type="dxa" w:w="510"/>
            <w:shd w:fill="F8FAFC"/>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R4</w:t>
            </w:r>
          </w:p>
        </w:tc>
        <w:tc>
          <w:tcPr>
            <w:tcW w:type="dxa" w:w="510"/>
            <w:shd w:fill="F8FAFC"/>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R5</w:t>
            </w:r>
          </w:p>
        </w:tc>
        <w:tc>
          <w:tcPr>
            <w:tcW w:type="dxa" w:w="510"/>
            <w:shd w:fill="F8FAFC"/>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R6</w:t>
            </w:r>
          </w:p>
        </w:tc>
        <w:tc>
          <w:tcPr>
            <w:tcW w:type="dxa" w:w="510"/>
            <w:shd w:fill="F8FAFC"/>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R7</w:t>
            </w:r>
          </w:p>
        </w:tc>
        <w:tc>
          <w:tcPr>
            <w:tcW w:type="dxa" w:w="510"/>
            <w:shd w:fill="F8FAFC"/>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R8</w:t>
            </w:r>
          </w:p>
        </w:tc>
        <w:tc>
          <w:tcPr>
            <w:tcW w:type="dxa" w:w="510"/>
            <w:shd w:fill="F8FAFC"/>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R8</w:t>
            </w:r>
          </w:p>
        </w:tc>
        <w:tc>
          <w:tcPr>
            <w:tcW w:type="dxa" w:w="510"/>
            <w:shd w:fill="F8FAFC"/>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R9</w:t>
            </w:r>
          </w:p>
        </w:tc>
        <w:tc>
          <w:tcPr>
            <w:tcW w:type="dxa" w:w="510"/>
            <w:shd w:fill="F8FAFC"/>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R9</w:t>
            </w:r>
          </w:p>
        </w:tc>
        <w:tc>
          <w:tcPr>
            <w:tcW w:type="dxa" w:w="510"/>
            <w:shd w:fill="F8FAFC"/>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R10</w:t>
            </w:r>
          </w:p>
        </w:tc>
        <w:tc>
          <w:tcPr>
            <w:tcW w:type="dxa" w:w="510"/>
            <w:shd w:fill="F8FAFC"/>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R10</w:t>
            </w:r>
          </w:p>
        </w:tc>
        <w:tc>
          <w:tcPr>
            <w:tcW w:type="dxa" w:w="510"/>
            <w:shd w:fill="F8FAFC"/>
            <w:tcMar>
              <w:top w:w="90" w:type="dxa"/>
              <w:start w:w="120" w:type="dxa"/>
              <w:bottom w:w="90" w:type="dxa"/>
              <w:end w:w="120" w:type="dxa"/>
            </w:tcMar>
            <w:vAlign w:val="center"/>
          </w:tcPr>
          <w:p>
            <w:pPr>
              <w:spacing w:before="0" w:after="0" w:line="240" w:lineRule="auto"/>
              <w:jc w:val="center"/>
            </w:pPr>
            <w:r/>
            <w:r>
              <w:rPr>
                <w:rFonts w:ascii="Liberation Sans" w:hAnsi="Liberation Sans"/>
                <w:b w:val="0"/>
                <w:i w:val="0"/>
                <w:color w:val="1E2D38"/>
                <w:sz w:val="14"/>
              </w:rPr>
              <w:t>R10</w:t>
            </w:r>
          </w:p>
        </w:tc>
      </w:tr>
    </w:tbl>
    <w:p>
      <w:pPr>
        <w:spacing w:after="40"/>
      </w:pPr>
    </w:p>
    <w:p>
      <w:pPr>
        <w:pStyle w:val="Heading2"/>
        <w:keepNext/>
      </w:pPr>
      <w:r>
        <w:t>Blueprint Synchronization Audit</w:t>
      </w:r>
    </w:p>
    <w:tbl>
      <w:tblPr>
        <w:tblW w:type="dxa" w:w="93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1600"/>
        <w:gridCol w:w="2900"/>
        <w:gridCol w:w="3240"/>
        <w:gridCol w:w="1620"/>
      </w:tblGrid>
      <w:tr>
        <w:trPr>
          <w:cantSplit/>
          <w:tblHeader w:val="true"/>
        </w:trPr>
        <w:tc>
          <w:tcPr>
            <w:tcW w:type="dxa" w:w="160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Dimension</w:t>
            </w:r>
          </w:p>
        </w:tc>
        <w:tc>
          <w:tcPr>
            <w:tcW w:type="dxa" w:w="290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Required</w:t>
            </w:r>
          </w:p>
        </w:tc>
        <w:tc>
          <w:tcPr>
            <w:tcW w:type="dxa" w:w="324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Controlled result</w:t>
            </w:r>
          </w:p>
        </w:tc>
        <w:tc>
          <w:tcPr>
            <w:tcW w:type="dxa" w:w="162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Status</w:t>
            </w:r>
          </w:p>
        </w:tc>
      </w:tr>
      <w:tr>
        <w:trPr>
          <w:cantSplit/>
        </w:trPr>
        <w:tc>
          <w:tcPr>
            <w:tcW w:type="dxa" w:w="16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Total</w:t>
            </w:r>
          </w:p>
        </w:tc>
        <w:tc>
          <w:tcPr>
            <w:tcW w:type="dxa" w:w="29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17</w:t>
            </w:r>
          </w:p>
        </w:tc>
        <w:tc>
          <w:tcPr>
            <w:tcW w:type="dxa" w:w="324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17</w:t>
            </w:r>
          </w:p>
        </w:tc>
        <w:tc>
          <w:tcPr>
            <w:tcW w:type="dxa" w:w="162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PASS</w:t>
            </w:r>
          </w:p>
        </w:tc>
      </w:tr>
      <w:tr>
        <w:trPr>
          <w:cantSplit/>
        </w:trPr>
        <w:tc>
          <w:tcPr>
            <w:tcW w:type="dxa" w:w="16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Difficulty</w:t>
            </w:r>
          </w:p>
        </w:tc>
        <w:tc>
          <w:tcPr>
            <w:tcW w:type="dxa" w:w="29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E=5; M=7; D=5</w:t>
            </w:r>
          </w:p>
        </w:tc>
        <w:tc>
          <w:tcPr>
            <w:tcW w:type="dxa" w:w="324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E=5; M=7; D=5</w:t>
            </w:r>
          </w:p>
        </w:tc>
        <w:tc>
          <w:tcPr>
            <w:tcW w:type="dxa" w:w="162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PASS</w:t>
            </w:r>
          </w:p>
        </w:tc>
      </w:tr>
      <w:tr>
        <w:trPr>
          <w:cantSplit/>
        </w:trPr>
        <w:tc>
          <w:tcPr>
            <w:tcW w:type="dxa" w:w="16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Type</w:t>
            </w:r>
          </w:p>
        </w:tc>
        <w:tc>
          <w:tcPr>
            <w:tcW w:type="dxa" w:w="29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K=3; A=5; S=6; I=3</w:t>
            </w:r>
          </w:p>
        </w:tc>
        <w:tc>
          <w:tcPr>
            <w:tcW w:type="dxa" w:w="324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K=3; A=5; S=6; I=3</w:t>
            </w:r>
          </w:p>
        </w:tc>
        <w:tc>
          <w:tcPr>
            <w:tcW w:type="dxa" w:w="162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PASS</w:t>
            </w:r>
          </w:p>
        </w:tc>
      </w:tr>
      <w:tr>
        <w:trPr>
          <w:cantSplit/>
        </w:trPr>
        <w:tc>
          <w:tcPr>
            <w:tcW w:type="dxa" w:w="16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Primary domain</w:t>
            </w:r>
          </w:p>
        </w:tc>
        <w:tc>
          <w:tcPr>
            <w:tcW w:type="dxa" w:w="29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D1=1; D2=1; D3=1; D4=1; D5=1; D6=12</w:t>
            </w:r>
          </w:p>
        </w:tc>
        <w:tc>
          <w:tcPr>
            <w:tcW w:type="dxa" w:w="324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D1=1; D2=1; D3=1; D4=1; D5=1; D6=12</w:t>
            </w:r>
          </w:p>
        </w:tc>
        <w:tc>
          <w:tcPr>
            <w:tcW w:type="dxa" w:w="162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PASS</w:t>
            </w:r>
          </w:p>
        </w:tc>
      </w:tr>
      <w:tr>
        <w:trPr>
          <w:cantSplit/>
        </w:trPr>
        <w:tc>
          <w:tcPr>
            <w:tcW w:type="dxa" w:w="16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Key position</w:t>
            </w:r>
          </w:p>
        </w:tc>
        <w:tc>
          <w:tcPr>
            <w:tcW w:type="dxa" w:w="29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A=5; B=4; C=4; D=4</w:t>
            </w:r>
          </w:p>
        </w:tc>
        <w:tc>
          <w:tcPr>
            <w:tcW w:type="dxa" w:w="324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A=5; B=4; C=4; D=4</w:t>
            </w:r>
          </w:p>
        </w:tc>
        <w:tc>
          <w:tcPr>
            <w:tcW w:type="dxa" w:w="162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PASS</w:t>
            </w:r>
          </w:p>
        </w:tc>
      </w:tr>
    </w:tbl>
    <w:p>
      <w:pPr>
        <w:spacing w:after="40"/>
      </w:pPr>
    </w:p>
    <w:p>
      <w:pPr>
        <w:pStyle w:val="Heading1"/>
        <w:keepNext/>
      </w:pPr>
      <w:r>
        <w:t>Item 1 - Controlled Rationale</w:t>
      </w:r>
    </w:p>
    <w:p>
      <w:pPr>
        <w:keepNext/>
        <w:spacing w:before="0" w:after="80" w:line="252" w:lineRule="auto"/>
        <w:jc w:val="left"/>
      </w:pPr>
      <w:r>
        <w:rPr>
          <w:rFonts w:ascii="Liberation Sans" w:hAnsi="Liberation Sans"/>
          <w:b/>
          <w:i w:val="0"/>
          <w:color w:val="12385B"/>
          <w:sz w:val="18"/>
        </w:rPr>
        <w:t>Stem: When an MFT encounters an unfamiliar ethical or legal practice question, which action BEST begins a defensible decision process?</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Clarify the client system, safety, role, and jurisdiction; distinguish law, regulation, ethics, policy, and contracts; evaluate options; and document the rationale.</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Follow the employer's written policy because organizational rules automatically control whenever professional standards are uncertain.</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Choose the most restrictive possible response because maximum caution is safest even before identifying the client, authority, or likely consequences.</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Rely on what most therapists report doing online, because professional consensus is equivalent to current governing authority.</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CORRECT ANSWER:  </w:t>
            </w:r>
            <w:r>
              <w:rPr>
                <w:rFonts w:ascii="Liberation Sans" w:hAnsi="Liberation Sans"/>
                <w:b w:val="0"/>
                <w:i w:val="0"/>
                <w:color w:val="1E2D38"/>
                <w:sz w:val="18"/>
              </w:rPr>
              <w:t>A</w:t>
            </w:r>
          </w:p>
        </w:tc>
      </w:tr>
    </w:tbl>
    <w:p>
      <w:pPr>
        <w:spacing w:after="40"/>
      </w:pPr>
    </w:p>
    <w:p>
      <w:pPr>
        <w:spacing w:after="120" w:line="252" w:lineRule="auto"/>
      </w:pPr>
      <w:r>
        <w:rPr>
          <w:rFonts w:ascii="Liberation Sans" w:hAnsi="Liberation Sans"/>
          <w:b/>
          <w:i w:val="0"/>
          <w:color w:val="12385B"/>
          <w:sz w:val="19"/>
        </w:rPr>
        <w:t xml:space="preserve">Why the keyed option is best: </w:t>
      </w:r>
      <w:r>
        <w:rPr>
          <w:rFonts w:ascii="Liberation Sans" w:hAnsi="Liberation Sans"/>
          <w:b w:val="0"/>
          <w:i w:val="0"/>
          <w:color w:val="1E2D38"/>
          <w:sz w:val="19"/>
        </w:rPr>
        <w:t>Option A begins with the facts that determine which duties and interests matter: the client system, immediate safety, professional role, and jurisdiction. It then separates possible sources of authority, compares options and consequences, and preserves a documented rationale instead of treating one source or one instinct as automatically controlling.</w:t>
      </w:r>
    </w:p>
    <w:p>
      <w:pPr>
        <w:pStyle w:val="Heading2"/>
        <w:keepNext/>
      </w:pPr>
      <w:r>
        <w:t>Option-by-Option Rationales</w:t>
      </w:r>
    </w:p>
    <w:p>
      <w:pPr>
        <w:spacing w:before="0" w:after="60" w:line="252"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Correct. This is the complete COMPASS sequence: define the decision, identify affected people and safety, separate governing sources, evaluate competence and consequences, consult when needed, choose the most protective lawful action, and document follow-through.</w:t>
      </w:r>
    </w:p>
    <w:p>
      <w:pPr>
        <w:spacing w:before="0" w:after="60" w:line="252"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Policy-supremacy trap. An employer policy may matter, but it does not automatically displace client rights, governing law, licensing rules, or enforceable professional ethics; a conflict must be identified and addressed responsibly.</w:t>
      </w:r>
    </w:p>
    <w:p>
      <w:pPr>
        <w:spacing w:before="0" w:after="60" w:line="252"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Maximum-restriction trap. The most restrictive response is not inherently the safest or most ethical; acting before defining authority, client impact, and alternatives can create unnecessary harm or disclosure.</w:t>
      </w:r>
    </w:p>
    <w:p>
      <w:pPr>
        <w:spacing w:before="0" w:after="60" w:line="252"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Popularity-as-authority trap. Online practice reports can prompt questions, but they do not establish current law, board requirements, ethical standards, organizational duties, or a defensible case-specific decision.</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AF1F7"/>
          </w:tcPr>
          <w:p>
            <w:pPr>
              <w:spacing w:after="0" w:line="252" w:lineRule="auto"/>
            </w:pPr>
            <w:r/>
            <w:r>
              <w:rPr>
                <w:rFonts w:ascii="Liberation Sans" w:hAnsi="Liberation Sans"/>
                <w:b/>
                <w:i w:val="0"/>
                <w:color w:val="12385B"/>
                <w:sz w:val="18"/>
              </w:rPr>
              <w:t xml:space="preserve">CTA EXAM STRATEGY:  </w:t>
            </w:r>
            <w:r>
              <w:rPr>
                <w:rFonts w:ascii="Liberation Sans" w:hAnsi="Liberation Sans"/>
                <w:b w:val="0"/>
                <w:i w:val="0"/>
                <w:color w:val="1E2D38"/>
                <w:sz w:val="18"/>
              </w:rPr>
              <w:t>When an item mixes law, ethics, policy, and clinical judgment, choose the option that first defines the client, role, safety, and jurisdiction and then compares the sources instead of collapsing them.</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TRANSFERABLE REPAIR RULE:  </w:t>
            </w:r>
            <w:r>
              <w:rPr>
                <w:rFonts w:ascii="Liberation Sans" w:hAnsi="Liberation Sans"/>
                <w:b w:val="0"/>
                <w:i w:val="0"/>
                <w:color w:val="1E2D38"/>
                <w:sz w:val="18"/>
              </w:rPr>
              <w:t>Use COMPASS: clarify the decision and client system, observe safety and rights, map governing sources and jurisdiction, probe competence and consequences, ask for consultation, select the defensible action, and support it with documentation.</w:t>
            </w:r>
          </w:p>
        </w:tc>
      </w:tr>
    </w:tbl>
    <w:p>
      <w:pPr>
        <w:spacing w:after="40"/>
      </w:pPr>
    </w:p>
    <w:p>
      <w:pPr>
        <w:pStyle w:val="Heading2"/>
        <w:keepNext/>
      </w:pPr>
      <w:r>
        <w:t>Controlled Metadata</w:t>
      </w:r>
    </w:p>
    <w:tbl>
      <w:tblPr>
        <w:tblW w:type="dxa" w:w="93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1750"/>
        <w:gridCol w:w="2930"/>
        <w:gridCol w:w="1750"/>
        <w:gridCol w:w="2930"/>
      </w:tblGrid>
      <w:tr>
        <w:trPr>
          <w:cantSplit/>
          <w:tblHeader w:val="true"/>
        </w:trPr>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Primary domain</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D6</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Secondary alignment</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D1 / D3</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Blueprint task</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Order an ethical decision using current governing sources</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Workbook objective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1</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Item type</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Knowledge/Recall</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Difficulty</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Easy</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Key position</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A</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Remediation code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R1</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Chapter / tool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Ch1 / COMPASS</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Source control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Candidate Bank v1.0</w:t>
            </w:r>
          </w:p>
        </w:tc>
      </w:tr>
    </w:tbl>
    <w:p>
      <w:pPr>
        <w:spacing w:after="40"/>
      </w:pPr>
    </w:p>
    <w:p>
      <w:pPr>
        <w:pStyle w:val="Heading1"/>
        <w:keepNext/>
      </w:pPr>
      <w:r>
        <w:t>Item 2 - Controlled Rationale</w:t>
      </w:r>
    </w:p>
    <w:p>
      <w:pPr>
        <w:keepNext/>
        <w:spacing w:before="0" w:after="80" w:line="252" w:lineRule="auto"/>
        <w:jc w:val="left"/>
      </w:pPr>
      <w:r>
        <w:rPr>
          <w:rFonts w:ascii="Liberation Sans" w:hAnsi="Liberation Sans"/>
          <w:b/>
          <w:i w:val="0"/>
          <w:color w:val="12385B"/>
          <w:sz w:val="18"/>
        </w:rPr>
        <w:t>Stem: A clinic directs therapists to send full session notes to an outside case manager whenever that person requests them. An MFT believes the instruction may conflict with client rights and current disclosure law. What should the MFT do NEXT?</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Send the notes now and challenge the policy later, because a written clinic instruction is presumed valid and delay could be viewed as insubordination.</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Clarify the client and request, verify current disclosure authority and ethical duties, communicate the conflict, consult, choose the least-disclosing lawful response, and document it.</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Refuse every request from the case manager, because ethical standards always override statutes, contracts, and valid authorizations.</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Delete sensitive portions of the notes before sending them so the clinic cannot disclose information the therapist considers private.</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CORRECT ANSWER:  </w:t>
            </w:r>
            <w:r>
              <w:rPr>
                <w:rFonts w:ascii="Liberation Sans" w:hAnsi="Liberation Sans"/>
                <w:b w:val="0"/>
                <w:i w:val="0"/>
                <w:color w:val="1E2D38"/>
                <w:sz w:val="18"/>
              </w:rPr>
              <w:t>B</w:t>
            </w:r>
          </w:p>
        </w:tc>
      </w:tr>
    </w:tbl>
    <w:p>
      <w:pPr>
        <w:spacing w:after="40"/>
      </w:pPr>
    </w:p>
    <w:p>
      <w:pPr>
        <w:spacing w:after="120" w:line="252" w:lineRule="auto"/>
      </w:pPr>
      <w:r>
        <w:rPr>
          <w:rFonts w:ascii="Liberation Sans" w:hAnsi="Liberation Sans"/>
          <w:b/>
          <w:i w:val="0"/>
          <w:color w:val="12385B"/>
          <w:sz w:val="19"/>
        </w:rPr>
        <w:t xml:space="preserve">Why the keyed option is best: </w:t>
      </w:r>
      <w:r>
        <w:rPr>
          <w:rFonts w:ascii="Liberation Sans" w:hAnsi="Liberation Sans"/>
          <w:b w:val="0"/>
          <w:i w:val="0"/>
          <w:color w:val="1E2D38"/>
          <w:sz w:val="19"/>
        </w:rPr>
        <w:t>Option B neither obeys the clinic automatically nor rejects the request categorically. It verifies who is asking, what authority exists, what current law and ethics require, and whether a less-disclosing lawful response can meet the legitimate purpose, while communicating and documenting the organizational conflict.</w:t>
      </w:r>
    </w:p>
    <w:p>
      <w:pPr>
        <w:pStyle w:val="Heading2"/>
        <w:keepNext/>
      </w:pPr>
      <w:r>
        <w:t>Option-by-Option Rationales</w:t>
      </w:r>
    </w:p>
    <w:p>
      <w:pPr>
        <w:spacing w:before="0" w:after="60" w:line="252"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Obey-now trap. A written instruction is not presumed lawful merely because it comes from an employer, and releasing full session notes before checking authority may cause an irreversible confidentiality breach.</w:t>
      </w:r>
    </w:p>
    <w:p>
      <w:pPr>
        <w:spacing w:before="0" w:after="60" w:line="252"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Correct. It separates policy from controlling authority, clarifies the request, uses consultation and responsible conflict resolution, protects client information, and documents the final response.</w:t>
      </w:r>
    </w:p>
    <w:p>
      <w:pPr>
        <w:spacing w:before="0" w:after="60" w:line="252"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Ethics-always-overrides trap. Ethical standards, statutes, valid authorizations, court authority, contracts, and organizational duties must be analyzed together; no blanket hierarchy resolves every conflict.</w:t>
      </w:r>
    </w:p>
    <w:p>
      <w:pPr>
        <w:spacing w:before="0" w:after="60" w:line="252"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Record-alteration trap. Deleting or concealing portions of the clinical record to defeat a request can corrupt the record and does not answer whether disclosure is authorized, required, or prohibited.</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AF1F7"/>
          </w:tcPr>
          <w:p>
            <w:pPr>
              <w:spacing w:after="0" w:line="252" w:lineRule="auto"/>
            </w:pPr>
            <w:r/>
            <w:r>
              <w:rPr>
                <w:rFonts w:ascii="Liberation Sans" w:hAnsi="Liberation Sans"/>
                <w:b/>
                <w:i w:val="0"/>
                <w:color w:val="12385B"/>
                <w:sz w:val="18"/>
              </w:rPr>
              <w:t xml:space="preserve">CTA EXAM STRATEGY:  </w:t>
            </w:r>
            <w:r>
              <w:rPr>
                <w:rFonts w:ascii="Liberation Sans" w:hAnsi="Liberation Sans"/>
                <w:b w:val="0"/>
                <w:i w:val="0"/>
                <w:color w:val="1E2D38"/>
                <w:sz w:val="18"/>
              </w:rPr>
              <w:t>Organizational-pressure items reward verification, responsible communication, consultation, minimum necessary disclosure, and documentation—not automatic compliance, blanket refusal, or record manipulation.</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TRANSFERABLE REPAIR RULE:  </w:t>
            </w:r>
            <w:r>
              <w:rPr>
                <w:rFonts w:ascii="Liberation Sans" w:hAnsi="Liberation Sans"/>
                <w:b w:val="0"/>
                <w:i w:val="0"/>
                <w:color w:val="1E2D38"/>
                <w:sz w:val="18"/>
              </w:rPr>
              <w:t>Name the exact conflict, verify the request and controlling authority, communicate the professional duty, identify a lawful protective option, consult or escalate appropriately, and document the decision and follow-through.</w:t>
            </w:r>
          </w:p>
        </w:tc>
      </w:tr>
    </w:tbl>
    <w:p>
      <w:pPr>
        <w:spacing w:after="40"/>
      </w:pPr>
    </w:p>
    <w:p>
      <w:pPr>
        <w:pStyle w:val="Heading2"/>
        <w:keepNext/>
      </w:pPr>
      <w:r>
        <w:t>Controlled Metadata</w:t>
      </w:r>
    </w:p>
    <w:tbl>
      <w:tblPr>
        <w:tblW w:type="dxa" w:w="93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1750"/>
        <w:gridCol w:w="2930"/>
        <w:gridCol w:w="1750"/>
        <w:gridCol w:w="2930"/>
      </w:tblGrid>
      <w:tr>
        <w:trPr>
          <w:cantSplit/>
          <w:tblHeader w:val="true"/>
        </w:trPr>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Primary domain</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D6</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Secondary alignment</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D1 / D3</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Blueprint task</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Resolve conflict among law, ethics, policy, and client welfare</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Workbook objective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1</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Item type</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Scenario-Based</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Difficulty</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Moderate</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Key position</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B</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Remediation code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R1</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Chapter / tool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Ch1 / COMPASS</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Source control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Candidate Bank v1.0</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F2F4F7"/>
          </w:tcPr>
          <w:p>
            <w:pPr>
              <w:spacing w:after="0" w:line="252" w:lineRule="auto"/>
            </w:pPr>
            <w:r/>
            <w:r>
              <w:rPr>
                <w:rFonts w:ascii="Liberation Sans" w:hAnsi="Liberation Sans"/>
                <w:b/>
                <w:i w:val="0"/>
                <w:color w:val="12385B"/>
                <w:sz w:val="18"/>
              </w:rPr>
              <w:t xml:space="preserve">CURRENCY NOTE:  </w:t>
            </w:r>
            <w:r>
              <w:rPr>
                <w:rFonts w:ascii="Liberation Sans" w:hAnsi="Liberation Sans"/>
                <w:b w:val="0"/>
                <w:i w:val="0"/>
                <w:color w:val="1E2D38"/>
                <w:sz w:val="18"/>
              </w:rPr>
              <w:t>Organizational disclosures, access rights, psychotherapy-note treatment, authorizations, subpoenas, required disclosures, and minimum-necessary limits depend on current law, ethics, contracts, and setting policy.</w:t>
            </w:r>
          </w:p>
        </w:tc>
      </w:tr>
    </w:tbl>
    <w:p>
      <w:pPr>
        <w:spacing w:after="40"/>
      </w:pPr>
    </w:p>
    <w:p>
      <w:pPr>
        <w:pStyle w:val="Heading1"/>
        <w:keepNext/>
      </w:pPr>
      <w:r>
        <w:t>Item 3 - Controlled Rationale</w:t>
      </w:r>
    </w:p>
    <w:p>
      <w:pPr>
        <w:keepNext/>
        <w:spacing w:before="0" w:after="80" w:line="252" w:lineRule="auto"/>
        <w:jc w:val="left"/>
      </w:pPr>
      <w:r>
        <w:rPr>
          <w:rFonts w:ascii="Liberation Sans" w:hAnsi="Liberation Sans"/>
          <w:b/>
          <w:i w:val="0"/>
          <w:color w:val="12385B"/>
          <w:sz w:val="18"/>
        </w:rPr>
        <w:t>Stem: An employer funds family therapy for an employee, spouse, and adolescent. The intake form names only the employee, while the employer asks for progress updates. What should the therapist clarify BEFORE providing services or information?</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That the employee owns every treatment decision because the employer identified that person as the benefit recipient and the family joined through that benefit.</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That the employer may receive progress information automatically because it pays for the sessions and therefore functions as the primary client.</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The client and treatment unit, roles and authority, voluntariness, goals, confidentiality and information rules, third-party expectations, and ongoing consent.</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Only the adolescent's willingness to attend, because adult participants and third-party payers do not affect informed consent.</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CORRECT ANSWER:  </w:t>
            </w:r>
            <w:r>
              <w:rPr>
                <w:rFonts w:ascii="Liberation Sans" w:hAnsi="Liberation Sans"/>
                <w:b w:val="0"/>
                <w:i w:val="0"/>
                <w:color w:val="1E2D38"/>
                <w:sz w:val="18"/>
              </w:rPr>
              <w:t>C</w:t>
            </w:r>
          </w:p>
        </w:tc>
      </w:tr>
    </w:tbl>
    <w:p>
      <w:pPr>
        <w:spacing w:after="40"/>
      </w:pPr>
    </w:p>
    <w:p>
      <w:pPr>
        <w:spacing w:after="120" w:line="252" w:lineRule="auto"/>
      </w:pPr>
      <w:r>
        <w:rPr>
          <w:rFonts w:ascii="Liberation Sans" w:hAnsi="Liberation Sans"/>
          <w:b/>
          <w:i w:val="0"/>
          <w:color w:val="12385B"/>
          <w:sz w:val="19"/>
        </w:rPr>
        <w:t xml:space="preserve">Why the keyed option is best: </w:t>
      </w:r>
      <w:r>
        <w:rPr>
          <w:rFonts w:ascii="Liberation Sans" w:hAnsi="Liberation Sans"/>
          <w:b w:val="0"/>
          <w:i w:val="0"/>
          <w:color w:val="1E2D38"/>
          <w:sz w:val="19"/>
        </w:rPr>
        <w:t>Option C recognizes that a third-party payer, multiple family participants, and an adolescent create several role and information questions before services begin. Clarifying the client and treatment unit, authority, voluntariness, confidentiality, payer expectations, and ongoing consent protects every participant from later misunderstanding.</w:t>
      </w:r>
    </w:p>
    <w:p>
      <w:pPr>
        <w:pStyle w:val="Heading2"/>
        <w:keepNext/>
      </w:pPr>
      <w:r>
        <w:t>Option-by-Option Rationales</w:t>
      </w:r>
    </w:p>
    <w:p>
      <w:pPr>
        <w:spacing w:before="0" w:after="60" w:line="252"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Named-beneficiary trap. The employee does not automatically own all treatment decisions or information merely because the employment benefit identifies that person.</w:t>
      </w:r>
    </w:p>
    <w:p>
      <w:pPr>
        <w:spacing w:before="0" w:after="60" w:line="252"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Payment-equals-client trap. Funding services does not by itself make the employer the clinical client or create an unrestricted right to progress information.</w:t>
      </w:r>
    </w:p>
    <w:p>
      <w:pPr>
        <w:spacing w:before="0" w:after="60" w:line="252"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Correct. It defines the treatment relationship, roles, authority, voluntary participation, goals, information rules, and third-party expectations before care and renews consent as circumstances change.</w:t>
      </w:r>
    </w:p>
    <w:p>
      <w:pPr>
        <w:spacing w:before="0" w:after="60" w:line="252"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Single-party-consent trap. The adolescent's willingness matters, but adult participants, legal authority, the family treatment unit, and payer expectations also shape informed consent and confidentiality.</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AF1F7"/>
          </w:tcPr>
          <w:p>
            <w:pPr>
              <w:spacing w:after="0" w:line="252" w:lineRule="auto"/>
            </w:pPr>
            <w:r/>
            <w:r>
              <w:rPr>
                <w:rFonts w:ascii="Liberation Sans" w:hAnsi="Liberation Sans"/>
                <w:b/>
                <w:i w:val="0"/>
                <w:color w:val="12385B"/>
                <w:sz w:val="18"/>
              </w:rPr>
              <w:t xml:space="preserve">CTA EXAM STRATEGY:  </w:t>
            </w:r>
            <w:r>
              <w:rPr>
                <w:rFonts w:ascii="Liberation Sans" w:hAnsi="Liberation Sans"/>
                <w:b w:val="0"/>
                <w:i w:val="0"/>
                <w:color w:val="1E2D38"/>
                <w:sz w:val="18"/>
              </w:rPr>
              <w:t>When several people or a payer are involved, first identify the client and treatment unit, then map each person's role, authority, choices, information rights, and expectations.</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TRANSFERABLE REPAIR RULE:  </w:t>
            </w:r>
            <w:r>
              <w:rPr>
                <w:rFonts w:ascii="Liberation Sans" w:hAnsi="Liberation Sans"/>
                <w:b w:val="0"/>
                <w:i w:val="0"/>
                <w:color w:val="1E2D38"/>
                <w:sz w:val="18"/>
              </w:rPr>
              <w:t>Use CONSENT: confirm the client, treatment unit, capacity, and authority; outline service and roles; name information rules and limits; secure understandable voluntary agreement; document it; and revisit material changes.</w:t>
            </w:r>
          </w:p>
        </w:tc>
      </w:tr>
    </w:tbl>
    <w:p>
      <w:pPr>
        <w:spacing w:after="40"/>
      </w:pPr>
    </w:p>
    <w:p>
      <w:pPr>
        <w:pStyle w:val="Heading2"/>
        <w:keepNext/>
      </w:pPr>
      <w:r>
        <w:t>Controlled Metadata</w:t>
      </w:r>
    </w:p>
    <w:tbl>
      <w:tblPr>
        <w:tblW w:type="dxa" w:w="93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1750"/>
        <w:gridCol w:w="2930"/>
        <w:gridCol w:w="1750"/>
        <w:gridCol w:w="2930"/>
      </w:tblGrid>
      <w:tr>
        <w:trPr>
          <w:cantSplit/>
          <w:tblHeader w:val="true"/>
        </w:trPr>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Primary domain</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D1</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Secondary alignment</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D6</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Blueprint task</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Clarify the client, treatment unit, roles, and ongoing consent</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Workbook objective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2</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Item type</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Application</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Difficulty</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Moderate</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Key position</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Remediation code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R2</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Chapter / tool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Ch2 / CONSENT</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Source control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Candidate Bank v1.0</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F2F4F7"/>
          </w:tcPr>
          <w:p>
            <w:pPr>
              <w:spacing w:after="0" w:line="252" w:lineRule="auto"/>
            </w:pPr>
            <w:r/>
            <w:r>
              <w:rPr>
                <w:rFonts w:ascii="Liberation Sans" w:hAnsi="Liberation Sans"/>
                <w:b/>
                <w:i w:val="0"/>
                <w:color w:val="12385B"/>
                <w:sz w:val="18"/>
              </w:rPr>
              <w:t xml:space="preserve">CURRENCY NOTE:  </w:t>
            </w:r>
            <w:r>
              <w:rPr>
                <w:rFonts w:ascii="Liberation Sans" w:hAnsi="Liberation Sans"/>
                <w:b w:val="0"/>
                <w:i w:val="0"/>
                <w:color w:val="1E2D38"/>
                <w:sz w:val="18"/>
              </w:rPr>
              <w:t>Consent for minors, parental authority, third-party payer communication, family-treatment records, privilege, and access vary by jurisdiction, contract, plan, and treatment setting.</w:t>
            </w:r>
          </w:p>
        </w:tc>
      </w:tr>
    </w:tbl>
    <w:p>
      <w:pPr>
        <w:spacing w:after="40"/>
      </w:pPr>
    </w:p>
    <w:p>
      <w:pPr>
        <w:pStyle w:val="Heading1"/>
        <w:keepNext/>
      </w:pPr>
      <w:r>
        <w:t>Item 4 - Controlled Rationale</w:t>
      </w:r>
    </w:p>
    <w:p>
      <w:pPr>
        <w:keepNext/>
        <w:spacing w:before="0" w:after="80" w:line="252" w:lineRule="auto"/>
        <w:jc w:val="left"/>
      </w:pPr>
      <w:r>
        <w:rPr>
          <w:rFonts w:ascii="Liberation Sans" w:hAnsi="Liberation Sans"/>
          <w:b/>
          <w:i w:val="0"/>
          <w:color w:val="12385B"/>
          <w:sz w:val="18"/>
        </w:rPr>
        <w:t>Stem: During conjoint therapy, one partner signs a written authorization asking the therapist to update that partner's sibling about the couple's progress. The other partner has not authorized disclosure. What is the BEST response?</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Provide a general progress summary because one member signed a written authorization and the sibling is seeking only supportive, nonclinical information.</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Tell the sibling only what the authorizing partner disclosed individually, because information can always be separated by speaker.</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Ask the sibling to promise confidentiality, then disclose the minimum information needed to support the couple.</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Clarify the treatment-unit agreement, verify law and ethics, obtain every required written authorization, and limit disclosure to the stated purpose.</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CORRECT ANSWER:  </w:t>
            </w:r>
            <w:r>
              <w:rPr>
                <w:rFonts w:ascii="Liberation Sans" w:hAnsi="Liberation Sans"/>
                <w:b w:val="0"/>
                <w:i w:val="0"/>
                <w:color w:val="1E2D38"/>
                <w:sz w:val="18"/>
              </w:rPr>
              <w:t>D</w:t>
            </w:r>
          </w:p>
        </w:tc>
      </w:tr>
    </w:tbl>
    <w:p>
      <w:pPr>
        <w:spacing w:after="40"/>
      </w:pPr>
    </w:p>
    <w:p>
      <w:pPr>
        <w:spacing w:after="120" w:line="252" w:lineRule="auto"/>
      </w:pPr>
      <w:r>
        <w:rPr>
          <w:rFonts w:ascii="Liberation Sans" w:hAnsi="Liberation Sans"/>
          <w:b/>
          <w:i w:val="0"/>
          <w:color w:val="12385B"/>
          <w:sz w:val="19"/>
        </w:rPr>
        <w:t xml:space="preserve">Why the keyed option is best: </w:t>
      </w:r>
      <w:r>
        <w:rPr>
          <w:rFonts w:ascii="Liberation Sans" w:hAnsi="Liberation Sans"/>
          <w:b w:val="0"/>
          <w:i w:val="0"/>
          <w:color w:val="1E2D38"/>
          <w:sz w:val="19"/>
        </w:rPr>
        <w:t>Option D treats the couple-therapy record and disclosure agreement as systemic rather than divisible solely by speaker. The therapist must check the treatment-unit policy, current law and ethics, all required authorizations, and the precise purpose and scope before releasing information.</w:t>
      </w:r>
    </w:p>
    <w:p>
      <w:pPr>
        <w:pStyle w:val="Heading2"/>
        <w:keepNext/>
      </w:pPr>
      <w:r>
        <w:t>Option-by-Option Rationales</w:t>
      </w:r>
    </w:p>
    <w:p>
      <w:pPr>
        <w:spacing w:before="0" w:after="60" w:line="252"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One-signature trap. One partner's authorization may not be sufficient to release conjoint-treatment information, and calling a disclosure general or supportive does not eliminate authorization requirements.</w:t>
      </w:r>
    </w:p>
    <w:p>
      <w:pPr>
        <w:spacing w:before="0" w:after="60" w:line="252"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Speaker-ownership trap. Information generated in conjoint treatment cannot always be separated safely or legally by who first spoke; the record, privilege, and agreement may belong to the treatment unit or multiple holders.</w:t>
      </w:r>
    </w:p>
    <w:p>
      <w:pPr>
        <w:spacing w:before="0" w:after="60" w:line="252"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Promise-is-not-authority trap. A recipient's confidentiality promise does not create legal authority to disclose or substitute for required informed authorization.</w:t>
      </w:r>
    </w:p>
    <w:p>
      <w:pPr>
        <w:spacing w:before="0" w:after="60" w:line="252"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Correct. It checks the systemic agreement and governing authority, obtains every required written authorization, and limits the disclosure to its authorized purpose and scope.</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AF1F7"/>
          </w:tcPr>
          <w:p>
            <w:pPr>
              <w:spacing w:after="0" w:line="252" w:lineRule="auto"/>
            </w:pPr>
            <w:r/>
            <w:r>
              <w:rPr>
                <w:rFonts w:ascii="Liberation Sans" w:hAnsi="Liberation Sans"/>
                <w:b/>
                <w:i w:val="0"/>
                <w:color w:val="12385B"/>
                <w:sz w:val="18"/>
              </w:rPr>
              <w:t xml:space="preserve">CTA EXAM STRATEGY:  </w:t>
            </w:r>
            <w:r>
              <w:rPr>
                <w:rFonts w:ascii="Liberation Sans" w:hAnsi="Liberation Sans"/>
                <w:b w:val="0"/>
                <w:i w:val="0"/>
                <w:color w:val="1E2D38"/>
                <w:sz w:val="18"/>
              </w:rPr>
              <w:t>For couple or family disclosure items, resist assigning unilateral ownership by speaker; identify the treatment unit, privilege holders, authorization requirements, recipient, purpose, and minimum scope.</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TRANSFERABLE REPAIR RULE:  </w:t>
            </w:r>
            <w:r>
              <w:rPr>
                <w:rFonts w:ascii="Liberation Sans" w:hAnsi="Liberation Sans"/>
                <w:b w:val="0"/>
                <w:i w:val="0"/>
                <w:color w:val="1E2D38"/>
                <w:sz w:val="18"/>
              </w:rPr>
              <w:t>Identify the information and treatment context, determine who holds decision and privilege authority, verify every required authorization or exception, disclose only what the purpose permits, and document the basis.</w:t>
            </w:r>
          </w:p>
        </w:tc>
      </w:tr>
    </w:tbl>
    <w:p>
      <w:pPr>
        <w:spacing w:after="40"/>
      </w:pPr>
    </w:p>
    <w:p>
      <w:pPr>
        <w:pStyle w:val="Heading2"/>
        <w:keepNext/>
      </w:pPr>
      <w:r>
        <w:t>Controlled Metadata</w:t>
      </w:r>
    </w:p>
    <w:tbl>
      <w:tblPr>
        <w:tblW w:type="dxa" w:w="93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1750"/>
        <w:gridCol w:w="2930"/>
        <w:gridCol w:w="1750"/>
        <w:gridCol w:w="2930"/>
      </w:tblGrid>
      <w:tr>
        <w:trPr>
          <w:cantSplit/>
          <w:tblHeader w:val="true"/>
        </w:trPr>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Primary domain</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D6</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Secondary alignment</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D1 / D3</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Blueprint task</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Apply systemic confidentiality and written authorization</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Workbook objective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3</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Item type</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Integrated Clinical Reasoning</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Difficulty</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Difficult</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Key position</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Remediation code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R3</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Chapter / tool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Ch2 / CONSENT</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Source control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Candidate Bank v1.0</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F2F4F7"/>
          </w:tcPr>
          <w:p>
            <w:pPr>
              <w:spacing w:after="0" w:line="252" w:lineRule="auto"/>
            </w:pPr>
            <w:r/>
            <w:r>
              <w:rPr>
                <w:rFonts w:ascii="Liberation Sans" w:hAnsi="Liberation Sans"/>
                <w:b/>
                <w:i w:val="0"/>
                <w:color w:val="12385B"/>
                <w:sz w:val="18"/>
              </w:rPr>
              <w:t xml:space="preserve">CURRENCY NOTE:  </w:t>
            </w:r>
            <w:r>
              <w:rPr>
                <w:rFonts w:ascii="Liberation Sans" w:hAnsi="Liberation Sans"/>
                <w:b w:val="0"/>
                <w:i w:val="0"/>
                <w:color w:val="1E2D38"/>
                <w:sz w:val="18"/>
              </w:rPr>
              <w:t>Couple and family confidentiality agreements, privilege, record ownership, authorization signatures, redisclosure, and minimum-necessary duties are jurisdiction- and setting-dependent.</w:t>
            </w:r>
          </w:p>
        </w:tc>
      </w:tr>
    </w:tbl>
    <w:p>
      <w:pPr>
        <w:spacing w:after="40"/>
      </w:pPr>
    </w:p>
    <w:p>
      <w:pPr>
        <w:pStyle w:val="Heading1"/>
        <w:keepNext/>
      </w:pPr>
      <w:r>
        <w:t>Item 5 - Controlled Rationale</w:t>
      </w:r>
    </w:p>
    <w:p>
      <w:pPr>
        <w:keepNext/>
        <w:spacing w:before="0" w:after="80" w:line="252" w:lineRule="auto"/>
        <w:jc w:val="left"/>
      </w:pPr>
      <w:r>
        <w:rPr>
          <w:rFonts w:ascii="Liberation Sans" w:hAnsi="Liberation Sans"/>
          <w:b/>
          <w:i w:val="0"/>
          <w:color w:val="12385B"/>
          <w:sz w:val="18"/>
        </w:rPr>
        <w:t>Stem: Which statement BEST distinguishes confidentiality from privilege?</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Confidentiality governs protecting information; privilege is a jurisdiction-dependent legal rule about resisting compelled disclosure in proceedings.</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Confidentiality applies only to written records, whereas privilege applies to spoken communications and may be asserted only by the therapist.</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Privilege belongs to the therapist, who may waive it whenever disclosure appears clinically helpful.</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Receiving a subpoena automatically ends confidentiality and privilege and permits release of the requested record in every jurisdiction.</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CORRECT ANSWER:  </w:t>
            </w:r>
            <w:r>
              <w:rPr>
                <w:rFonts w:ascii="Liberation Sans" w:hAnsi="Liberation Sans"/>
                <w:b w:val="0"/>
                <w:i w:val="0"/>
                <w:color w:val="1E2D38"/>
                <w:sz w:val="18"/>
              </w:rPr>
              <w:t>A</w:t>
            </w:r>
          </w:p>
        </w:tc>
      </w:tr>
    </w:tbl>
    <w:p>
      <w:pPr>
        <w:spacing w:after="40"/>
      </w:pPr>
    </w:p>
    <w:p>
      <w:pPr>
        <w:spacing w:after="120" w:line="252" w:lineRule="auto"/>
      </w:pPr>
      <w:r>
        <w:rPr>
          <w:rFonts w:ascii="Liberation Sans" w:hAnsi="Liberation Sans"/>
          <w:b/>
          <w:i w:val="0"/>
          <w:color w:val="12385B"/>
          <w:sz w:val="19"/>
        </w:rPr>
        <w:t xml:space="preserve">Why the keyed option is best: </w:t>
      </w:r>
      <w:r>
        <w:rPr>
          <w:rFonts w:ascii="Liberation Sans" w:hAnsi="Liberation Sans"/>
          <w:b w:val="0"/>
          <w:i w:val="0"/>
          <w:color w:val="1E2D38"/>
          <w:sz w:val="19"/>
        </w:rPr>
        <w:t>Option A correctly separates a broad professional duty from a legal evidentiary protection. Confidentiality governs protection and disclosure of information in practice; privilege concerns whether protected communications may be withheld in a legal proceeding and depends on current jurisdictional law.</w:t>
      </w:r>
    </w:p>
    <w:p>
      <w:pPr>
        <w:pStyle w:val="Heading2"/>
        <w:keepNext/>
      </w:pPr>
      <w:r>
        <w:t>Option-by-Option Rationales</w:t>
      </w:r>
    </w:p>
    <w:p>
      <w:pPr>
        <w:spacing w:before="0" w:after="60" w:line="252"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Correct. Confidentiality is the broader duty to protect information, while privilege is a legal rule governing compelled disclosure in proceedings and may have multiple holders or exceptions.</w:t>
      </w:r>
    </w:p>
    <w:p>
      <w:pPr>
        <w:spacing w:before="0" w:after="60" w:line="252"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Medium-of-communication trap. Confidentiality and privilege are not divided simply into written versus spoken information, and privilege is not necessarily assertable only by the therapist.</w:t>
      </w:r>
    </w:p>
    <w:p>
      <w:pPr>
        <w:spacing w:before="0" w:after="60" w:line="252"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Therapist-ownership trap. Privilege generally does not belong solely to the therapist, and a therapist cannot waive it merely because disclosure appears clinically helpful.</w:t>
      </w:r>
    </w:p>
    <w:p>
      <w:pPr>
        <w:spacing w:before="0" w:after="60" w:line="252"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Subpoena-equals-release trap. A subpoena does not automatically resolve privilege, authorization, objections, notice, protective procedures, or the lawful scope of production.</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AF1F7"/>
          </w:tcPr>
          <w:p>
            <w:pPr>
              <w:spacing w:after="0" w:line="252" w:lineRule="auto"/>
            </w:pPr>
            <w:r/>
            <w:r>
              <w:rPr>
                <w:rFonts w:ascii="Liberation Sans" w:hAnsi="Liberation Sans"/>
                <w:b/>
                <w:i w:val="0"/>
                <w:color w:val="12385B"/>
                <w:sz w:val="18"/>
              </w:rPr>
              <w:t xml:space="preserve">CTA EXAM STRATEGY:  </w:t>
            </w:r>
            <w:r>
              <w:rPr>
                <w:rFonts w:ascii="Liberation Sans" w:hAnsi="Liberation Sans"/>
                <w:b w:val="0"/>
                <w:i w:val="0"/>
                <w:color w:val="1E2D38"/>
                <w:sz w:val="18"/>
              </w:rPr>
              <w:t>On privilege questions, distinguish the clinical duty to protect information from the legal power to resist compelled disclosure; then verify the holder, proceeding, process, and exceptions.</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TRANSFERABLE REPAIR RULE:  </w:t>
            </w:r>
            <w:r>
              <w:rPr>
                <w:rFonts w:ascii="Liberation Sans" w:hAnsi="Liberation Sans"/>
                <w:b w:val="0"/>
                <w:i w:val="0"/>
                <w:color w:val="1E2D38"/>
                <w:sz w:val="18"/>
              </w:rPr>
              <w:t>Name the information, confidentiality duty, privilege holder, legal demand, authorization or exception, response procedure, and least-disclosing lawful action before releasing anything.</w:t>
            </w:r>
          </w:p>
        </w:tc>
      </w:tr>
    </w:tbl>
    <w:p>
      <w:pPr>
        <w:spacing w:after="40"/>
      </w:pPr>
    </w:p>
    <w:p>
      <w:pPr>
        <w:pStyle w:val="Heading2"/>
        <w:keepNext/>
      </w:pPr>
      <w:r>
        <w:t>Controlled Metadata</w:t>
      </w:r>
    </w:p>
    <w:tbl>
      <w:tblPr>
        <w:tblW w:type="dxa" w:w="93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1750"/>
        <w:gridCol w:w="2930"/>
        <w:gridCol w:w="1750"/>
        <w:gridCol w:w="2930"/>
      </w:tblGrid>
      <w:tr>
        <w:trPr>
          <w:cantSplit/>
          <w:tblHeader w:val="true"/>
        </w:trPr>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Primary domain</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D6</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Secondary alignment</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D1</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Blueprint task</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Distinguish confidentiality from privilege and verify jurisdiction</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Workbook objective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3</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Item type</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Knowledge/Recall</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Difficulty</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Easy</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Key position</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A</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Remediation code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R3</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Chapter / tool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Ch2 / CONSENT</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Source control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Candidate Bank v1.0</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F2F4F7"/>
          </w:tcPr>
          <w:p>
            <w:pPr>
              <w:spacing w:after="0" w:line="252" w:lineRule="auto"/>
            </w:pPr>
            <w:r/>
            <w:r>
              <w:rPr>
                <w:rFonts w:ascii="Liberation Sans" w:hAnsi="Liberation Sans"/>
                <w:b/>
                <w:i w:val="0"/>
                <w:color w:val="12385B"/>
                <w:sz w:val="18"/>
              </w:rPr>
              <w:t xml:space="preserve">CURRENCY NOTE:  </w:t>
            </w:r>
            <w:r>
              <w:rPr>
                <w:rFonts w:ascii="Liberation Sans" w:hAnsi="Liberation Sans"/>
                <w:b w:val="0"/>
                <w:i w:val="0"/>
                <w:color w:val="1E2D38"/>
                <w:sz w:val="18"/>
              </w:rPr>
              <w:t>Privilege holders, waiver, subpoenas, court orders, notice, objections, protective motions, exceptions, and therapist duties differ across jurisdictions and proceedings.</w:t>
            </w:r>
          </w:p>
        </w:tc>
      </w:tr>
    </w:tbl>
    <w:p>
      <w:pPr>
        <w:spacing w:after="40"/>
      </w:pPr>
    </w:p>
    <w:p>
      <w:pPr>
        <w:pStyle w:val="Heading1"/>
        <w:keepNext/>
      </w:pPr>
      <w:r>
        <w:t>Item 6 - Controlled Rationale</w:t>
      </w:r>
    </w:p>
    <w:p>
      <w:pPr>
        <w:keepNext/>
        <w:spacing w:before="0" w:after="80" w:line="252" w:lineRule="auto"/>
        <w:jc w:val="left"/>
      </w:pPr>
      <w:r>
        <w:rPr>
          <w:rFonts w:ascii="Liberation Sans" w:hAnsi="Liberation Sans"/>
          <w:b/>
          <w:i w:val="0"/>
          <w:color w:val="12385B"/>
          <w:sz w:val="18"/>
        </w:rPr>
        <w:t>Stem: A divorced parent asks a group practice for a minor's complete family-therapy chart. The chart includes information from the other parent and an adult half-sibling, and the treating therapist has left the practice. What should the records custodian do NEXT?</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Release the entire chart because a parent always has unrestricted access to every family participant's information.</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Verify identity and authority, identify the client and record types, review privilege and access rules, protect third-party information, use the governing process, and document.</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Deny the request permanently because records created by a departed therapist cannot be released by the practice without that clinician's approval.</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Ask all available family participants to vote on access and follow the majority preference because the record concerns a shared treatment episode.</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CORRECT ANSWER:  </w:t>
            </w:r>
            <w:r>
              <w:rPr>
                <w:rFonts w:ascii="Liberation Sans" w:hAnsi="Liberation Sans"/>
                <w:b w:val="0"/>
                <w:i w:val="0"/>
                <w:color w:val="1E2D38"/>
                <w:sz w:val="18"/>
              </w:rPr>
              <w:t>B</w:t>
            </w:r>
          </w:p>
        </w:tc>
      </w:tr>
    </w:tbl>
    <w:p>
      <w:pPr>
        <w:spacing w:after="40"/>
      </w:pPr>
    </w:p>
    <w:p>
      <w:pPr>
        <w:spacing w:after="120" w:line="252" w:lineRule="auto"/>
      </w:pPr>
      <w:r>
        <w:rPr>
          <w:rFonts w:ascii="Liberation Sans" w:hAnsi="Liberation Sans"/>
          <w:b/>
          <w:i w:val="0"/>
          <w:color w:val="12385B"/>
          <w:sz w:val="19"/>
        </w:rPr>
        <w:t xml:space="preserve">Why the keyed option is best: </w:t>
      </w:r>
      <w:r>
        <w:rPr>
          <w:rFonts w:ascii="Liberation Sans" w:hAnsi="Liberation Sans"/>
          <w:b w:val="0"/>
          <w:i w:val="0"/>
          <w:color w:val="1E2D38"/>
          <w:sz w:val="19"/>
        </w:rPr>
        <w:t>Option B sequences the records decision correctly: verify the requester and authority, identify who the client was and what record components exist, apply current access and privilege rules, protect other participants' information, follow the governing process, and document the result. The departed therapist does not erase the practice's custodial duties.</w:t>
      </w:r>
    </w:p>
    <w:p>
      <w:pPr>
        <w:pStyle w:val="Heading2"/>
        <w:keepNext/>
      </w:pPr>
      <w:r>
        <w:t>Option-by-Option Rationales</w:t>
      </w:r>
    </w:p>
    <w:p>
      <w:pPr>
        <w:spacing w:before="0" w:after="60" w:line="252"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Unlimited-parent-access trap. A parent may have important rights, but access can depend on custody, consent authority, the minor's status, treatment type, safety, privilege, and third-party information.</w:t>
      </w:r>
    </w:p>
    <w:p>
      <w:pPr>
        <w:spacing w:before="0" w:after="60" w:line="252"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Correct. It verifies identity and authority, separates record types and participants, protects third-party information, applies the current process, and preserves a documented access decision.</w:t>
      </w:r>
    </w:p>
    <w:p>
      <w:pPr>
        <w:spacing w:before="0" w:after="60" w:line="252"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Departed-clinician trap. A clinician's departure does not automatically make records unreleasable; the lawful custodian must still manage access, retention, disclosure, and continuity.</w:t>
      </w:r>
    </w:p>
    <w:p>
      <w:pPr>
        <w:spacing w:before="0" w:after="60" w:line="252"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Majority-vote trap. Record access is governed by authority, rights, privilege, authorization, safety, and law—not by a family vote.</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AF1F7"/>
          </w:tcPr>
          <w:p>
            <w:pPr>
              <w:spacing w:after="0" w:line="252" w:lineRule="auto"/>
            </w:pPr>
            <w:r/>
            <w:r>
              <w:rPr>
                <w:rFonts w:ascii="Liberation Sans" w:hAnsi="Liberation Sans"/>
                <w:b/>
                <w:i w:val="0"/>
                <w:color w:val="12385B"/>
                <w:sz w:val="18"/>
              </w:rPr>
              <w:t xml:space="preserve">CTA EXAM STRATEGY:  </w:t>
            </w:r>
            <w:r>
              <w:rPr>
                <w:rFonts w:ascii="Liberation Sans" w:hAnsi="Liberation Sans"/>
                <w:b w:val="0"/>
                <w:i w:val="0"/>
                <w:color w:val="1E2D38"/>
                <w:sz w:val="18"/>
              </w:rPr>
              <w:t>For systemic-record requests, identify the requester, authority, client or treatment unit, record type, privilege, third-party information, safety concerns, and governing response process.</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TRANSFERABLE REPAIR RULE:  </w:t>
            </w:r>
            <w:r>
              <w:rPr>
                <w:rFonts w:ascii="Liberation Sans" w:hAnsi="Liberation Sans"/>
                <w:b w:val="0"/>
                <w:i w:val="0"/>
                <w:color w:val="1E2D38"/>
                <w:sz w:val="18"/>
              </w:rPr>
              <w:t>Use RECORD: verify identity and authority, map the record and participants, check access and privilege, protect third-party information, follow the required timeline and process, and document what was released, withheld, or referred.</w:t>
            </w:r>
          </w:p>
        </w:tc>
      </w:tr>
    </w:tbl>
    <w:p>
      <w:pPr>
        <w:spacing w:after="40"/>
      </w:pPr>
    </w:p>
    <w:p>
      <w:pPr>
        <w:pStyle w:val="Heading2"/>
        <w:keepNext/>
      </w:pPr>
      <w:r>
        <w:t>Controlled Metadata</w:t>
      </w:r>
    </w:p>
    <w:tbl>
      <w:tblPr>
        <w:tblW w:type="dxa" w:w="93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1750"/>
        <w:gridCol w:w="2930"/>
        <w:gridCol w:w="1750"/>
        <w:gridCol w:w="2930"/>
      </w:tblGrid>
      <w:tr>
        <w:trPr>
          <w:cantSplit/>
          <w:tblHeader w:val="true"/>
        </w:trPr>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Primary domain</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D6</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Secondary alignment</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D1 / D4</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Blueprint task</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Respond to a multi-person record-access request</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Workbook objective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3 and 4</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Item type</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Scenario-Based</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Difficulty</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Moderate</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Key position</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B</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Remediation code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R4</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Chapter / tool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Ch3 / RECORD</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Source control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Candidate Bank v1.0</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F2F4F7"/>
          </w:tcPr>
          <w:p>
            <w:pPr>
              <w:spacing w:after="0" w:line="252" w:lineRule="auto"/>
            </w:pPr>
            <w:r/>
            <w:r>
              <w:rPr>
                <w:rFonts w:ascii="Liberation Sans" w:hAnsi="Liberation Sans"/>
                <w:b/>
                <w:i w:val="0"/>
                <w:color w:val="12385B"/>
                <w:sz w:val="18"/>
              </w:rPr>
              <w:t xml:space="preserve">CURRENCY NOTE:  </w:t>
            </w:r>
            <w:r>
              <w:rPr>
                <w:rFonts w:ascii="Liberation Sans" w:hAnsi="Liberation Sans"/>
                <w:b w:val="0"/>
                <w:i w:val="0"/>
                <w:color w:val="1E2D38"/>
                <w:sz w:val="18"/>
              </w:rPr>
              <w:t>Minor-record access, custody authority, personal representatives, psychotherapy notes, privilege, denials, amendments, timelines, and third-party protections vary by law and setting.</w:t>
            </w:r>
          </w:p>
        </w:tc>
      </w:tr>
    </w:tbl>
    <w:p>
      <w:pPr>
        <w:spacing w:after="40"/>
      </w:pPr>
    </w:p>
    <w:p>
      <w:pPr>
        <w:pStyle w:val="Heading1"/>
        <w:keepNext/>
      </w:pPr>
      <w:r>
        <w:t>Item 7 - Controlled Rationale</w:t>
      </w:r>
    </w:p>
    <w:p>
      <w:pPr>
        <w:keepNext/>
        <w:spacing w:before="0" w:after="80" w:line="252" w:lineRule="auto"/>
        <w:jc w:val="left"/>
      </w:pPr>
      <w:r>
        <w:rPr>
          <w:rFonts w:ascii="Liberation Sans" w:hAnsi="Liberation Sans"/>
          <w:b/>
          <w:i w:val="0"/>
          <w:color w:val="12385B"/>
          <w:sz w:val="18"/>
        </w:rPr>
        <w:t>Stem: A therapist discovers that a progress note incorrectly identifies one family member as having expressed suicidal intent. The inaccurate statement was also included in a care-coordination summary. What is the BEST corrective action?</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Delete the original note after saving an offline copy, then replace it silently so the active record contains only accurate information.</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Leave the note unchanged and add a private reminder because changing a signed entry could undermine the reliability of the chart.</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Verify the source and actual risk, preserve the audit trail, correct transparently, address affected communications and possible harm, and document follow-through.</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Ask the misidentified family member to sign a statement accepting the error and waiving objections before the therapist changes anything.</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CORRECT ANSWER:  </w:t>
            </w:r>
            <w:r>
              <w:rPr>
                <w:rFonts w:ascii="Liberation Sans" w:hAnsi="Liberation Sans"/>
                <w:b w:val="0"/>
                <w:i w:val="0"/>
                <w:color w:val="1E2D38"/>
                <w:sz w:val="18"/>
              </w:rPr>
              <w:t>C</w:t>
            </w:r>
          </w:p>
        </w:tc>
      </w:tr>
    </w:tbl>
    <w:p>
      <w:pPr>
        <w:spacing w:after="40"/>
      </w:pPr>
    </w:p>
    <w:p>
      <w:pPr>
        <w:spacing w:after="120" w:line="252" w:lineRule="auto"/>
      </w:pPr>
      <w:r>
        <w:rPr>
          <w:rFonts w:ascii="Liberation Sans" w:hAnsi="Liberation Sans"/>
          <w:b/>
          <w:i w:val="0"/>
          <w:color w:val="12385B"/>
          <w:sz w:val="19"/>
        </w:rPr>
        <w:t xml:space="preserve">Why the keyed option is best: </w:t>
      </w:r>
      <w:r>
        <w:rPr>
          <w:rFonts w:ascii="Liberation Sans" w:hAnsi="Liberation Sans"/>
          <w:b w:val="0"/>
          <w:i w:val="0"/>
          <w:color w:val="1E2D38"/>
          <w:sz w:val="19"/>
        </w:rPr>
        <w:t>Option C addresses both the inaccurate risk statement and its downstream communication. A defensible correction verifies what occurred, preserves the original chronology and audit trail, adds a transparent correction, reassesses actual safety, repairs affected summaries or decisions, and documents follow-through.</w:t>
      </w:r>
    </w:p>
    <w:p>
      <w:pPr>
        <w:pStyle w:val="Heading2"/>
        <w:keepNext/>
      </w:pPr>
      <w:r>
        <w:t>Option-by-Option Rationales</w:t>
      </w:r>
    </w:p>
    <w:p>
      <w:pPr>
        <w:spacing w:before="0" w:after="60" w:line="252"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Silent-deletion trap. Deleting and replacing a signed note obscures the audit trail and may create a misleading record even if an offline copy is retained.</w:t>
      </w:r>
    </w:p>
    <w:p>
      <w:pPr>
        <w:spacing w:before="0" w:after="60" w:line="252"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Reliability-through-inaction trap. Leaving a material false suicide statement uncorrected can misdirect care and cause harm; record integrity includes transparent correction, not permanent preservation of known error as current fact.</w:t>
      </w:r>
    </w:p>
    <w:p>
      <w:pPr>
        <w:spacing w:before="0" w:after="60" w:line="252"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Correct. It verifies the underlying facts and risk, preserves chronology, corrects transparently, addresses downstream communications and harm, and documents the complete response.</w:t>
      </w:r>
    </w:p>
    <w:p>
      <w:pPr>
        <w:spacing w:before="0" w:after="60" w:line="252"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Waiver-before-correction trap. The therapist should not condition correction of a known material error on the affected person accepting the mistake or waiving objections.</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AF1F7"/>
          </w:tcPr>
          <w:p>
            <w:pPr>
              <w:spacing w:after="0" w:line="252" w:lineRule="auto"/>
            </w:pPr>
            <w:r/>
            <w:r>
              <w:rPr>
                <w:rFonts w:ascii="Liberation Sans" w:hAnsi="Liberation Sans"/>
                <w:b/>
                <w:i w:val="0"/>
                <w:color w:val="12385B"/>
                <w:sz w:val="18"/>
              </w:rPr>
              <w:t xml:space="preserve">CTA EXAM STRATEGY:  </w:t>
            </w:r>
            <w:r>
              <w:rPr>
                <w:rFonts w:ascii="Liberation Sans" w:hAnsi="Liberation Sans"/>
                <w:b w:val="0"/>
                <w:i w:val="0"/>
                <w:color w:val="1E2D38"/>
                <w:sz w:val="18"/>
              </w:rPr>
              <w:t>Material record-error items favor preserving the audit trail while correcting transparently and repairing downstream clinical, safety, billing, or disclosure effects.</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TRANSFERABLE REPAIR RULE:  </w:t>
            </w:r>
            <w:r>
              <w:rPr>
                <w:rFonts w:ascii="Liberation Sans" w:hAnsi="Liberation Sans"/>
                <w:b w:val="0"/>
                <w:i w:val="0"/>
                <w:color w:val="1E2D38"/>
                <w:sz w:val="18"/>
              </w:rPr>
              <w:t>Verify the source and actual risk, preserve the original entry, add a dated transparent correction, notify or correct affected recipients as authorized and required, reassess harm, and document completion.</w:t>
            </w:r>
          </w:p>
        </w:tc>
      </w:tr>
    </w:tbl>
    <w:p>
      <w:pPr>
        <w:spacing w:after="40"/>
      </w:pPr>
    </w:p>
    <w:p>
      <w:pPr>
        <w:pStyle w:val="Heading2"/>
        <w:keepNext/>
      </w:pPr>
      <w:r>
        <w:t>Controlled Metadata</w:t>
      </w:r>
    </w:p>
    <w:tbl>
      <w:tblPr>
        <w:tblW w:type="dxa" w:w="93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1750"/>
        <w:gridCol w:w="2930"/>
        <w:gridCol w:w="1750"/>
        <w:gridCol w:w="2930"/>
      </w:tblGrid>
      <w:tr>
        <w:trPr>
          <w:cantSplit/>
          <w:tblHeader w:val="true"/>
        </w:trPr>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Primary domain</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D4</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Secondary alignment</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D5 / D6</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Blueprint task</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Correct and document a material clinical-record error</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Workbook objective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4</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Item type</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Application</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Difficulty</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Difficult</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Key position</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Remediation code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R4</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Chapter / tool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Ch3 / RECORD</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Source control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Candidate Bank v1.0</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F2F4F7"/>
          </w:tcPr>
          <w:p>
            <w:pPr>
              <w:spacing w:after="0" w:line="252" w:lineRule="auto"/>
            </w:pPr>
            <w:r/>
            <w:r>
              <w:rPr>
                <w:rFonts w:ascii="Liberation Sans" w:hAnsi="Liberation Sans"/>
                <w:b/>
                <w:i w:val="0"/>
                <w:color w:val="12385B"/>
                <w:sz w:val="18"/>
              </w:rPr>
              <w:t xml:space="preserve">CURRENCY NOTE:  </w:t>
            </w:r>
            <w:r>
              <w:rPr>
                <w:rFonts w:ascii="Liberation Sans" w:hAnsi="Liberation Sans"/>
                <w:b w:val="0"/>
                <w:i w:val="0"/>
                <w:color w:val="1E2D38"/>
                <w:sz w:val="18"/>
              </w:rPr>
              <w:t>Amendment rights, late entries, audit trails, disclosure corrections, incident reporting, risk documentation, and retention requirements vary by record system, law, payer, and organization.</w:t>
            </w:r>
          </w:p>
        </w:tc>
      </w:tr>
    </w:tbl>
    <w:p>
      <w:pPr>
        <w:spacing w:after="40"/>
      </w:pPr>
    </w:p>
    <w:p>
      <w:pPr>
        <w:pStyle w:val="Heading1"/>
        <w:keepNext/>
      </w:pPr>
      <w:r>
        <w:t>Item 8 - Controlled Rationale</w:t>
      </w:r>
    </w:p>
    <w:p>
      <w:pPr>
        <w:keepNext/>
        <w:spacing w:before="0" w:after="80" w:line="252" w:lineRule="auto"/>
        <w:jc w:val="left"/>
      </w:pPr>
      <w:r>
        <w:rPr>
          <w:rFonts w:ascii="Liberation Sans" w:hAnsi="Liberation Sans"/>
          <w:b/>
          <w:i w:val="0"/>
          <w:color w:val="12385B"/>
          <w:sz w:val="18"/>
        </w:rPr>
        <w:t>Stem: Which billing practice BEST protects financial and professional integrity?</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Select the code that produces the most reimbursement when several codes sound related to the client's concerns.</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Change the clinical record after a denial so it matches the service the payer prefers to cover.</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Withhold fee and cancellation terms until the first claim is processed because the payer determines the client's responsibility.</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Represent the service provided, use accurate documentation and current payer rules, disclose financial terms, and correct material claim errors.</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CORRECT ANSWER:  </w:t>
            </w:r>
            <w:r>
              <w:rPr>
                <w:rFonts w:ascii="Liberation Sans" w:hAnsi="Liberation Sans"/>
                <w:b w:val="0"/>
                <w:i w:val="0"/>
                <w:color w:val="1E2D38"/>
                <w:sz w:val="18"/>
              </w:rPr>
              <w:t>D</w:t>
            </w:r>
          </w:p>
        </w:tc>
      </w:tr>
    </w:tbl>
    <w:p>
      <w:pPr>
        <w:spacing w:after="40"/>
      </w:pPr>
    </w:p>
    <w:p>
      <w:pPr>
        <w:spacing w:after="120" w:line="252" w:lineRule="auto"/>
      </w:pPr>
      <w:r>
        <w:rPr>
          <w:rFonts w:ascii="Liberation Sans" w:hAnsi="Liberation Sans"/>
          <w:b/>
          <w:i w:val="0"/>
          <w:color w:val="12385B"/>
          <w:sz w:val="19"/>
        </w:rPr>
        <w:t xml:space="preserve">Why the keyed option is best: </w:t>
      </w:r>
      <w:r>
        <w:rPr>
          <w:rFonts w:ascii="Liberation Sans" w:hAnsi="Liberation Sans"/>
          <w:b w:val="0"/>
          <w:i w:val="0"/>
          <w:color w:val="1E2D38"/>
          <w:sz w:val="19"/>
        </w:rPr>
        <w:t>Option D aligns the claim, record, and financial communication with the service actually delivered and the current payer rules. It also requires advance disclosure of financial terms and correction of material errors, preserving integrity without retroactively changing facts to obtain coverage.</w:t>
      </w:r>
    </w:p>
    <w:p>
      <w:pPr>
        <w:pStyle w:val="Heading2"/>
        <w:keepNext/>
      </w:pPr>
      <w:r>
        <w:t>Option-by-Option Rationales</w:t>
      </w:r>
    </w:p>
    <w:p>
      <w:pPr>
        <w:spacing w:before="0" w:after="60" w:line="252"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Reimbursement-first coding trap. Codes must accurately represent the documented service and applicable rules; selecting the highest-paying related code risks misrepresentation.</w:t>
      </w:r>
    </w:p>
    <w:p>
      <w:pPr>
        <w:spacing w:before="0" w:after="60" w:line="252"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Post-denial reconstruction trap. Altering the clinical record to resemble a payer-preferred service corrupts documentation and may create billing fraud or professional misconduct risk.</w:t>
      </w:r>
    </w:p>
    <w:p>
      <w:pPr>
        <w:spacing w:before="0" w:after="60" w:line="252"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Delayed-financial-consent trap. Clients should receive understandable fee, cancellation, collection, and financial-responsibility terms before those terms are imposed.</w:t>
      </w:r>
    </w:p>
    <w:p>
      <w:pPr>
        <w:spacing w:before="0" w:after="60" w:line="252"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Correct. It uses truthful service and coding representations, accurate supporting documentation, current payer rules, clear financial disclosure, and timely correction of material errors.</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AF1F7"/>
          </w:tcPr>
          <w:p>
            <w:pPr>
              <w:spacing w:after="0" w:line="252" w:lineRule="auto"/>
            </w:pPr>
            <w:r/>
            <w:r>
              <w:rPr>
                <w:rFonts w:ascii="Liberation Sans" w:hAnsi="Liberation Sans"/>
                <w:b/>
                <w:i w:val="0"/>
                <w:color w:val="12385B"/>
                <w:sz w:val="18"/>
              </w:rPr>
              <w:t xml:space="preserve">CTA EXAM STRATEGY:  </w:t>
            </w:r>
            <w:r>
              <w:rPr>
                <w:rFonts w:ascii="Liberation Sans" w:hAnsi="Liberation Sans"/>
                <w:b w:val="0"/>
                <w:i w:val="0"/>
                <w:color w:val="1E2D38"/>
                <w:sz w:val="18"/>
              </w:rPr>
              <w:t>Billing items reward truthfulness across the actual service, clinical record, code, claim, fee disclosure, payer communication, and correction process.</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TRANSFERABLE REPAIR RULE:  </w:t>
            </w:r>
            <w:r>
              <w:rPr>
                <w:rFonts w:ascii="Liberation Sans" w:hAnsi="Liberation Sans"/>
                <w:b w:val="0"/>
                <w:i w:val="0"/>
                <w:color w:val="1E2D38"/>
                <w:sz w:val="18"/>
              </w:rPr>
              <w:t>Use TRUST: state fees and roles clearly, represent the service and credentials accurately, use current coding and payer rules, correct discrepancies rather than backfilling them, and document the business decision.</w:t>
            </w:r>
          </w:p>
        </w:tc>
      </w:tr>
    </w:tbl>
    <w:p>
      <w:pPr>
        <w:spacing w:after="40"/>
      </w:pPr>
    </w:p>
    <w:p>
      <w:pPr>
        <w:pStyle w:val="Heading2"/>
        <w:keepNext/>
      </w:pPr>
      <w:r>
        <w:t>Controlled Metadata</w:t>
      </w:r>
    </w:p>
    <w:tbl>
      <w:tblPr>
        <w:tblW w:type="dxa" w:w="93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1750"/>
        <w:gridCol w:w="2930"/>
        <w:gridCol w:w="1750"/>
        <w:gridCol w:w="2930"/>
      </w:tblGrid>
      <w:tr>
        <w:trPr>
          <w:cantSplit/>
          <w:tblHeader w:val="true"/>
        </w:trPr>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Primary domain</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D6</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Secondary alignment</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D4</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Blueprint task</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Use truthful billing, fee, and payer representations</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Workbook objective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5</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Item type</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Knowledge/Recall</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Difficulty</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Easy</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Key position</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Remediation code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R5</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Chapter / tool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Ch4 / TRUST</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Source control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Candidate Bank v1.0</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F2F4F7"/>
          </w:tcPr>
          <w:p>
            <w:pPr>
              <w:spacing w:after="0" w:line="252" w:lineRule="auto"/>
            </w:pPr>
            <w:r/>
            <w:r>
              <w:rPr>
                <w:rFonts w:ascii="Liberation Sans" w:hAnsi="Liberation Sans"/>
                <w:b/>
                <w:i w:val="0"/>
                <w:color w:val="12385B"/>
                <w:sz w:val="18"/>
              </w:rPr>
              <w:t xml:space="preserve">CURRENCY NOTE:  </w:t>
            </w:r>
            <w:r>
              <w:rPr>
                <w:rFonts w:ascii="Liberation Sans" w:hAnsi="Liberation Sans"/>
                <w:b w:val="0"/>
                <w:i w:val="0"/>
                <w:color w:val="1E2D38"/>
                <w:sz w:val="18"/>
              </w:rPr>
              <w:t>Coding, medical necessity, claim correction, payer contracts, balance billing, collections, fee disclosures, and record-release practices require current jurisdictional and payer review.</w:t>
            </w:r>
          </w:p>
        </w:tc>
      </w:tr>
    </w:tbl>
    <w:p>
      <w:pPr>
        <w:spacing w:after="40"/>
      </w:pPr>
    </w:p>
    <w:p>
      <w:pPr>
        <w:pStyle w:val="Heading1"/>
        <w:keepNext/>
      </w:pPr>
      <w:r>
        <w:t>Item 9 - Controlled Rationale</w:t>
      </w:r>
    </w:p>
    <w:p>
      <w:pPr>
        <w:keepNext/>
        <w:spacing w:before="0" w:after="80" w:line="252" w:lineRule="auto"/>
        <w:jc w:val="left"/>
      </w:pPr>
      <w:r>
        <w:rPr>
          <w:rFonts w:ascii="Liberation Sans" w:hAnsi="Liberation Sans"/>
          <w:b/>
          <w:i w:val="0"/>
          <w:color w:val="12385B"/>
          <w:sz w:val="18"/>
        </w:rPr>
        <w:t>Stem: An MFT treating a couple is asked by one partner's attorney to write a custody recommendation. The attorney offers an additional fee, and the therapist has no forensic-evaluation training. What should the therapist do?</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Clarify the therapeutic role and request, assess conflicts and client impact, decline an opinion beyond role and competence, protect information, consult, and identify an independent resource.</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Accept the assignment because knowledge gained in couple therapy makes the treating therapist the most informed evaluator.</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Write the recommendation only for the paying partner, label it a limited clinical opinion, and omit the other partner's information to preserve neutrality.</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Terminate the couple immediately, allow a brief cooling-off period, and then issue the recommendation as a former therapist rather than a treating clinician.</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CORRECT ANSWER:  </w:t>
            </w:r>
            <w:r>
              <w:rPr>
                <w:rFonts w:ascii="Liberation Sans" w:hAnsi="Liberation Sans"/>
                <w:b w:val="0"/>
                <w:i w:val="0"/>
                <w:color w:val="1E2D38"/>
                <w:sz w:val="18"/>
              </w:rPr>
              <w:t>A</w:t>
            </w:r>
          </w:p>
        </w:tc>
      </w:tr>
    </w:tbl>
    <w:p>
      <w:pPr>
        <w:spacing w:after="40"/>
      </w:pPr>
    </w:p>
    <w:p>
      <w:pPr>
        <w:spacing w:after="120" w:line="252" w:lineRule="auto"/>
      </w:pPr>
      <w:r>
        <w:rPr>
          <w:rFonts w:ascii="Liberation Sans" w:hAnsi="Liberation Sans"/>
          <w:b/>
          <w:i w:val="0"/>
          <w:color w:val="12385B"/>
          <w:sz w:val="19"/>
        </w:rPr>
        <w:t xml:space="preserve">Why the keyed option is best: </w:t>
      </w:r>
      <w:r>
        <w:rPr>
          <w:rFonts w:ascii="Liberation Sans" w:hAnsi="Liberation Sans"/>
          <w:b w:val="0"/>
          <w:i w:val="0"/>
          <w:color w:val="1E2D38"/>
          <w:sz w:val="19"/>
        </w:rPr>
        <w:t>Option A protects the therapeutic relationship by defining the request as a forensic or custody opinion rather than ordinary treatment communication. It recognizes the therapist's role conflict and lack of forensic competence, declines the incompatible opinion, protects client information, consults, and routes the attorney to an independent qualified resource.</w:t>
      </w:r>
    </w:p>
    <w:p>
      <w:pPr>
        <w:pStyle w:val="Heading2"/>
        <w:keepNext/>
      </w:pPr>
      <w:r>
        <w:t>Option-by-Option Rationales</w:t>
      </w:r>
    </w:p>
    <w:p>
      <w:pPr>
        <w:spacing w:before="0" w:after="60" w:line="252"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Correct. It clarifies role and client impact, stays within competence, avoids a partisan or incompatible forensic function, protects information, consults, and identifies an independent resource.</w:t>
      </w:r>
    </w:p>
    <w:p>
      <w:pPr>
        <w:spacing w:before="0" w:after="60" w:line="252"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Treatment-knowledge-equals-forensic-competence trap. Clinical familiarity does not establish evaluation methods, neutrality, legal authority, collateral procedures, or competence to make a custody recommendation.</w:t>
      </w:r>
    </w:p>
    <w:p>
      <w:pPr>
        <w:spacing w:before="0" w:after="60" w:line="252"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Paid-partisan-opinion trap. Limiting the opinion to the paying partner does not cure the conflict; it increases partiality and cannot reliably separate conjoint information.</w:t>
      </w:r>
    </w:p>
    <w:p>
      <w:pPr>
        <w:spacing w:before="0" w:after="60" w:line="252"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Termination-cures-conflict trap. Ending treatment does not erase information acquired in the therapeutic role, prior duties, competence limits, or the effect on the couple.</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AF1F7"/>
          </w:tcPr>
          <w:p>
            <w:pPr>
              <w:spacing w:after="0" w:line="252" w:lineRule="auto"/>
            </w:pPr>
            <w:r/>
            <w:r>
              <w:rPr>
                <w:rFonts w:ascii="Liberation Sans" w:hAnsi="Liberation Sans"/>
                <w:b/>
                <w:i w:val="0"/>
                <w:color w:val="12385B"/>
                <w:sz w:val="18"/>
              </w:rPr>
              <w:t xml:space="preserve">CTA EXAM STRATEGY:  </w:t>
            </w:r>
            <w:r>
              <w:rPr>
                <w:rFonts w:ascii="Liberation Sans" w:hAnsi="Liberation Sans"/>
                <w:b w:val="0"/>
                <w:i w:val="0"/>
                <w:color w:val="1E2D38"/>
                <w:sz w:val="18"/>
              </w:rPr>
              <w:t>When a treating therapist is asked for a legal conclusion, test role compatibility, competence, neutrality, information authority, client impact, and whether an independent evaluator is required.</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TRANSFERABLE REPAIR RULE:  </w:t>
            </w:r>
            <w:r>
              <w:rPr>
                <w:rFonts w:ascii="Liberation Sans" w:hAnsi="Liberation Sans"/>
                <w:b w:val="0"/>
                <w:i w:val="0"/>
                <w:color w:val="1E2D38"/>
                <w:sz w:val="18"/>
              </w:rPr>
              <w:t>Define the current therapeutic role and requested legal role, identify conflicts and competence limits, protect information, decline incompatible opinions, consult current authority, and provide an appropriate independent referral.</w:t>
            </w:r>
          </w:p>
        </w:tc>
      </w:tr>
    </w:tbl>
    <w:p>
      <w:pPr>
        <w:spacing w:after="40"/>
      </w:pPr>
    </w:p>
    <w:p>
      <w:pPr>
        <w:pStyle w:val="Heading2"/>
        <w:keepNext/>
      </w:pPr>
      <w:r>
        <w:t>Controlled Metadata</w:t>
      </w:r>
    </w:p>
    <w:tbl>
      <w:tblPr>
        <w:tblW w:type="dxa" w:w="93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1750"/>
        <w:gridCol w:w="2930"/>
        <w:gridCol w:w="1750"/>
        <w:gridCol w:w="2930"/>
      </w:tblGrid>
      <w:tr>
        <w:trPr>
          <w:cantSplit/>
          <w:tblHeader w:val="true"/>
        </w:trPr>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Primary domain</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D6</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Secondary alignment</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D1 / D3</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Blueprint task</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Manage competence, conflict, boundary, and legal-role risk</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Workbook objective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1 and 5</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Item type</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Scenario-Based</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Difficulty</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Difficult</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Key position</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A</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Remediation code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R6</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Chapter / tool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Ch4 / TRUST</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Source control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Candidate Bank v1.0</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F2F4F7"/>
          </w:tcPr>
          <w:p>
            <w:pPr>
              <w:spacing w:after="0" w:line="252" w:lineRule="auto"/>
            </w:pPr>
            <w:r/>
            <w:r>
              <w:rPr>
                <w:rFonts w:ascii="Liberation Sans" w:hAnsi="Liberation Sans"/>
                <w:b/>
                <w:i w:val="0"/>
                <w:color w:val="12385B"/>
                <w:sz w:val="18"/>
              </w:rPr>
              <w:t xml:space="preserve">CURRENCY NOTE:  </w:t>
            </w:r>
            <w:r>
              <w:rPr>
                <w:rFonts w:ascii="Liberation Sans" w:hAnsi="Liberation Sans"/>
                <w:b w:val="0"/>
                <w:i w:val="0"/>
                <w:color w:val="1E2D38"/>
                <w:sz w:val="18"/>
              </w:rPr>
              <w:t>Custody, forensic evaluation, testimony, subpoenas, treating-expert limits, privilege, dual roles, and court communications depend on current law, ethics, and court rules.</w:t>
            </w:r>
          </w:p>
        </w:tc>
      </w:tr>
    </w:tbl>
    <w:p>
      <w:pPr>
        <w:spacing w:after="40"/>
      </w:pPr>
    </w:p>
    <w:p>
      <w:pPr>
        <w:pStyle w:val="Heading1"/>
        <w:keepNext/>
      </w:pPr>
      <w:r>
        <w:t>Item 10 - Controlled Rationale</w:t>
      </w:r>
    </w:p>
    <w:p>
      <w:pPr>
        <w:keepNext/>
        <w:spacing w:before="0" w:after="80" w:line="252" w:lineRule="auto"/>
        <w:jc w:val="left"/>
      </w:pPr>
      <w:r>
        <w:rPr>
          <w:rFonts w:ascii="Liberation Sans" w:hAnsi="Liberation Sans"/>
          <w:b/>
          <w:i w:val="0"/>
          <w:color w:val="12385B"/>
          <w:sz w:val="18"/>
        </w:rPr>
        <w:t>Stem: A former client posts a public endorsement, and the therapist's marketing vendor adds it to a website that also calls the therapist a “board-certified trauma expert,” a credential the therapist does not hold. What is the BEST action?</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Keep both statements because the endorsement was volunteered and the vendor, not the therapist, wrote the credential claim; add the client's posting date for transparency.</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Correct the unsupported credential, avoid using the endorsement in a way that creates confidentiality or influence concerns, review vendor controls, and monitor public claims.</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Retain the credential claim but add a disclaimer that professional titles are used for marketing purposes only.</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Ask the former client to post more clinical detail so readers can judge whether the endorsement is credible.</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CORRECT ANSWER:  </w:t>
            </w:r>
            <w:r>
              <w:rPr>
                <w:rFonts w:ascii="Liberation Sans" w:hAnsi="Liberation Sans"/>
                <w:b w:val="0"/>
                <w:i w:val="0"/>
                <w:color w:val="1E2D38"/>
                <w:sz w:val="18"/>
              </w:rPr>
              <w:t>B</w:t>
            </w:r>
          </w:p>
        </w:tc>
      </w:tr>
    </w:tbl>
    <w:p>
      <w:pPr>
        <w:spacing w:after="40"/>
      </w:pPr>
    </w:p>
    <w:p>
      <w:pPr>
        <w:spacing w:after="120" w:line="252" w:lineRule="auto"/>
      </w:pPr>
      <w:r>
        <w:rPr>
          <w:rFonts w:ascii="Liberation Sans" w:hAnsi="Liberation Sans"/>
          <w:b/>
          <w:i w:val="0"/>
          <w:color w:val="12385B"/>
          <w:sz w:val="19"/>
        </w:rPr>
        <w:t xml:space="preserve">Why the keyed option is best: </w:t>
      </w:r>
      <w:r>
        <w:rPr>
          <w:rFonts w:ascii="Liberation Sans" w:hAnsi="Liberation Sans"/>
          <w:b w:val="0"/>
          <w:i w:val="0"/>
          <w:color w:val="1E2D38"/>
          <w:sz w:val="19"/>
        </w:rPr>
        <w:t>Option B addresses both defects: the unsupported specialty credential and the use of a former client's endorsement. The therapist remains responsible for public claims made through a vendor, must correct false or misleading representations, and must evaluate confidentiality, influence, and ongoing monitoring before using testimonials.</w:t>
      </w:r>
    </w:p>
    <w:p>
      <w:pPr>
        <w:pStyle w:val="Heading2"/>
        <w:keepNext/>
      </w:pPr>
      <w:r>
        <w:t>Option-by-Option Rationales</w:t>
      </w:r>
    </w:p>
    <w:p>
      <w:pPr>
        <w:spacing w:before="0" w:after="60" w:line="252"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Vendor-made-it trap. Delegating marketing does not transfer professional accountability, and a volunteered endorsement does not automatically make clinical information or testimonial use ethically appropriate.</w:t>
      </w:r>
    </w:p>
    <w:p>
      <w:pPr>
        <w:spacing w:before="0" w:after="60" w:line="252"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Correct. It removes the unsupported credential, protects confidentiality and the former client from influence concerns, strengthens vendor approval controls, and monitors public materials.</w:t>
      </w:r>
    </w:p>
    <w:p>
      <w:pPr>
        <w:spacing w:before="0" w:after="60" w:line="252"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Disclaimer-cures-falsehood trap. Labeling a credential claim as marketing does not make an unearned credential accurate or nonmisleading.</w:t>
      </w:r>
    </w:p>
    <w:p>
      <w:pPr>
        <w:spacing w:before="0" w:after="60" w:line="252"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More-detail trap. Soliciting clinical details increases confidentiality and exploitation risk and is unnecessary to correct the unsupported claim.</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AF1F7"/>
          </w:tcPr>
          <w:p>
            <w:pPr>
              <w:spacing w:after="0" w:line="252" w:lineRule="auto"/>
            </w:pPr>
            <w:r/>
            <w:r>
              <w:rPr>
                <w:rFonts w:ascii="Liberation Sans" w:hAnsi="Liberation Sans"/>
                <w:b/>
                <w:i w:val="0"/>
                <w:color w:val="12385B"/>
                <w:sz w:val="18"/>
              </w:rPr>
              <w:t xml:space="preserve">CTA EXAM STRATEGY:  </w:t>
            </w:r>
            <w:r>
              <w:rPr>
                <w:rFonts w:ascii="Liberation Sans" w:hAnsi="Liberation Sans"/>
                <w:b w:val="0"/>
                <w:i w:val="0"/>
                <w:color w:val="1E2D38"/>
                <w:sz w:val="18"/>
              </w:rPr>
              <w:t>Advertising questions favor accurate credentials and services, client-information protection, avoidance of undue influence, correction of third-party errors, and ongoing monitoring.</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TRANSFERABLE REPAIR RULE:  </w:t>
            </w:r>
            <w:r>
              <w:rPr>
                <w:rFonts w:ascii="Liberation Sans" w:hAnsi="Liberation Sans"/>
                <w:b w:val="0"/>
                <w:i w:val="0"/>
                <w:color w:val="1E2D38"/>
                <w:sz w:val="18"/>
              </w:rPr>
              <w:t>Audit every public claim, remove unsupported credentials or outcomes, assess testimonial consent and influence limits, protect client identity, require vendor approval controls, and document correction and monitoring.</w:t>
            </w:r>
          </w:p>
        </w:tc>
      </w:tr>
    </w:tbl>
    <w:p>
      <w:pPr>
        <w:spacing w:after="40"/>
      </w:pPr>
    </w:p>
    <w:p>
      <w:pPr>
        <w:pStyle w:val="Heading2"/>
        <w:keepNext/>
      </w:pPr>
      <w:r>
        <w:t>Controlled Metadata</w:t>
      </w:r>
    </w:p>
    <w:tbl>
      <w:tblPr>
        <w:tblW w:type="dxa" w:w="93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1750"/>
        <w:gridCol w:w="2930"/>
        <w:gridCol w:w="1750"/>
        <w:gridCol w:w="2930"/>
      </w:tblGrid>
      <w:tr>
        <w:trPr>
          <w:cantSplit/>
          <w:tblHeader w:val="true"/>
        </w:trPr>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Primary domain</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D6</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Secondary alignment</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D1</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Blueprint task</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Correct misleading advertising or testimonial practices</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Workbook objective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5</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Item type</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Application</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Difficulty</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Moderate</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Key position</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B</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Remediation code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R7</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Chapter / tool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Ch4 / TRUST</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Source control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Candidate Bank v1.0</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F2F4F7"/>
          </w:tcPr>
          <w:p>
            <w:pPr>
              <w:spacing w:after="0" w:line="252" w:lineRule="auto"/>
            </w:pPr>
            <w:r/>
            <w:r>
              <w:rPr>
                <w:rFonts w:ascii="Liberation Sans" w:hAnsi="Liberation Sans"/>
                <w:b/>
                <w:i w:val="0"/>
                <w:color w:val="12385B"/>
                <w:sz w:val="18"/>
              </w:rPr>
              <w:t xml:space="preserve">CURRENCY NOTE:  </w:t>
            </w:r>
            <w:r>
              <w:rPr>
                <w:rFonts w:ascii="Liberation Sans" w:hAnsi="Liberation Sans"/>
                <w:b w:val="0"/>
                <w:i w:val="0"/>
                <w:color w:val="1E2D38"/>
                <w:sz w:val="18"/>
              </w:rPr>
              <w:t>Protected titles, specialty claims, board certification, testimonials, solicitation, client reviews, endorsements, and vendor advertising are governed by current law, board rules, ethics, and platform terms.</w:t>
            </w:r>
          </w:p>
        </w:tc>
      </w:tr>
    </w:tbl>
    <w:p>
      <w:pPr>
        <w:spacing w:after="40"/>
      </w:pPr>
    </w:p>
    <w:p>
      <w:pPr>
        <w:pStyle w:val="Heading1"/>
        <w:keepNext/>
      </w:pPr>
      <w:r>
        <w:t>Item 11 - Controlled Rationale</w:t>
      </w:r>
    </w:p>
    <w:p>
      <w:pPr>
        <w:keepNext/>
        <w:spacing w:before="0" w:after="80" w:line="252" w:lineRule="auto"/>
        <w:jc w:val="left"/>
      </w:pPr>
      <w:r>
        <w:rPr>
          <w:rFonts w:ascii="Liberation Sans" w:hAnsi="Liberation Sans"/>
          <w:b/>
          <w:i w:val="0"/>
          <w:color w:val="12385B"/>
          <w:sz w:val="18"/>
        </w:rPr>
        <w:t>Stem: A client joins a routine teletherapy session and says only that they are “near the state border” while visiting relatives. The therapist does not know the client's exact location. What should the therapist do FIRST?</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Proceed because the client's permanent home address controls teletherapy authority whenever the visit away from home is temporary.</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Ask whether the client feels emotionally safe, document the answer, and defer the exact location question until the routine session is complete.</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Confirm both current locations, verify authority and relevant requirements, and explain available continuity options before routine treatment.</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Require the client to return to the permanent address before rescheduling so the therapist does not need to review jurisdictional rules.</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CORRECT ANSWER:  </w:t>
            </w:r>
            <w:r>
              <w:rPr>
                <w:rFonts w:ascii="Liberation Sans" w:hAnsi="Liberation Sans"/>
                <w:b w:val="0"/>
                <w:i w:val="0"/>
                <w:color w:val="1E2D38"/>
                <w:sz w:val="18"/>
              </w:rPr>
              <w:t>C</w:t>
            </w:r>
          </w:p>
        </w:tc>
      </w:tr>
    </w:tbl>
    <w:p>
      <w:pPr>
        <w:spacing w:after="40"/>
      </w:pPr>
    </w:p>
    <w:p>
      <w:pPr>
        <w:spacing w:after="120" w:line="252" w:lineRule="auto"/>
      </w:pPr>
      <w:r>
        <w:rPr>
          <w:rFonts w:ascii="Liberation Sans" w:hAnsi="Liberation Sans"/>
          <w:b/>
          <w:i w:val="0"/>
          <w:color w:val="12385B"/>
          <w:sz w:val="19"/>
        </w:rPr>
        <w:t xml:space="preserve">Why the keyed option is best: </w:t>
      </w:r>
      <w:r>
        <w:rPr>
          <w:rFonts w:ascii="Liberation Sans" w:hAnsi="Liberation Sans"/>
          <w:b w:val="0"/>
          <w:i w:val="0"/>
          <w:color w:val="1E2D38"/>
          <w:sz w:val="19"/>
        </w:rPr>
        <w:t>Option C starts with the fact needed to determine whether routine teletherapy may lawfully and safely continue: both parties' exact current locations. It then checks authority and local requirements and explains continuity alternatives rather than assuming the permanent address controls or reflexively ending care.</w:t>
      </w:r>
    </w:p>
    <w:p>
      <w:pPr>
        <w:pStyle w:val="Heading2"/>
        <w:keepNext/>
      </w:pPr>
      <w:r>
        <w:t>Option-by-Option Rationales</w:t>
      </w:r>
    </w:p>
    <w:p>
      <w:pPr>
        <w:spacing w:before="0" w:after="60" w:line="252"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Permanent-address trap. Teletherapy authority commonly turns on where the client and therapist are physically located during the service, not solely on the client's residence.</w:t>
      </w:r>
    </w:p>
    <w:p>
      <w:pPr>
        <w:spacing w:before="0" w:after="60" w:line="252"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Partial-safety-check trap. Emotional safety matters, but it does not replace confirming location, jurisdictional authority, emergency resources, privacy, or technical fit before routine care.</w:t>
      </w:r>
    </w:p>
    <w:p>
      <w:pPr>
        <w:spacing w:before="0" w:after="60" w:line="252"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Correct. It verifies present locations and authority first, then applies relevant requirements and offers lawful continuity options with transparent communication.</w:t>
      </w:r>
    </w:p>
    <w:p>
      <w:pPr>
        <w:spacing w:before="0" w:after="60" w:line="252"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Automatic-return trap. A return to the permanent address may be one option, but the therapist should first verify the actual jurisdictional rules and possible lawful alternatives.</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AF1F7"/>
          </w:tcPr>
          <w:p>
            <w:pPr>
              <w:spacing w:after="0" w:line="252" w:lineRule="auto"/>
            </w:pPr>
            <w:r/>
            <w:r>
              <w:rPr>
                <w:rFonts w:ascii="Liberation Sans" w:hAnsi="Liberation Sans"/>
                <w:b/>
                <w:i w:val="0"/>
                <w:color w:val="12385B"/>
                <w:sz w:val="18"/>
              </w:rPr>
              <w:t xml:space="preserve">CTA EXAM STRATEGY:  </w:t>
            </w:r>
            <w:r>
              <w:rPr>
                <w:rFonts w:ascii="Liberation Sans" w:hAnsi="Liberation Sans"/>
                <w:b w:val="0"/>
                <w:i w:val="0"/>
                <w:color w:val="1E2D38"/>
                <w:sz w:val="18"/>
              </w:rPr>
              <w:t>In teletherapy, location precedes routine clinical work because it controls licensure or authority, emergency resources, privacy planning, and applicable duties.</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TRANSFERABLE REPAIR RULE:  </w:t>
            </w:r>
            <w:r>
              <w:rPr>
                <w:rFonts w:ascii="Liberation Sans" w:hAnsi="Liberation Sans"/>
                <w:b w:val="0"/>
                <w:i w:val="0"/>
                <w:color w:val="1E2D38"/>
                <w:sz w:val="18"/>
              </w:rPr>
              <w:t>Use TELESAFE: track both current locations, evaluate authority and fit, locate emergency resources, explain risks and alternatives, secure the technology, address barriers and backup plans, and document ongoing suitability.</w:t>
            </w:r>
          </w:p>
        </w:tc>
      </w:tr>
    </w:tbl>
    <w:p>
      <w:pPr>
        <w:spacing w:after="40"/>
      </w:pPr>
    </w:p>
    <w:p>
      <w:pPr>
        <w:pStyle w:val="Heading2"/>
        <w:keepNext/>
      </w:pPr>
      <w:r>
        <w:t>Controlled Metadata</w:t>
      </w:r>
    </w:p>
    <w:tbl>
      <w:tblPr>
        <w:tblW w:type="dxa" w:w="93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1750"/>
        <w:gridCol w:w="2930"/>
        <w:gridCol w:w="1750"/>
        <w:gridCol w:w="2930"/>
      </w:tblGrid>
      <w:tr>
        <w:trPr>
          <w:cantSplit/>
          <w:tblHeader w:val="true"/>
        </w:trPr>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Primary domain</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D6</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Secondary alignment</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D3 / D5</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Blueprint task</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Verify teletherapy location, jurisdiction, and authority</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Workbook objective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6</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Item type</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Scenario-Based</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Difficulty</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Moderate</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Key position</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Remediation code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R8</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Chapter / tool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Ch5 / TELESAFE</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Source control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Candidate Bank v1.0</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F2F4F7"/>
          </w:tcPr>
          <w:p>
            <w:pPr>
              <w:spacing w:after="0" w:line="252" w:lineRule="auto"/>
            </w:pPr>
            <w:r/>
            <w:r>
              <w:rPr>
                <w:rFonts w:ascii="Liberation Sans" w:hAnsi="Liberation Sans"/>
                <w:b/>
                <w:i w:val="0"/>
                <w:color w:val="12385B"/>
                <w:sz w:val="18"/>
              </w:rPr>
              <w:t xml:space="preserve">CURRENCY NOTE:  </w:t>
            </w:r>
            <w:r>
              <w:rPr>
                <w:rFonts w:ascii="Liberation Sans" w:hAnsi="Liberation Sans"/>
                <w:b w:val="0"/>
                <w:i w:val="0"/>
                <w:color w:val="1E2D38"/>
                <w:sz w:val="18"/>
              </w:rPr>
              <w:t>Cross-border practice, temporary travel, registration, compact or emergency authority, informed consent, prescribing, reporting, and continuity requirements vary by jurisdiction and can change.</w:t>
            </w:r>
          </w:p>
        </w:tc>
      </w:tr>
    </w:tbl>
    <w:p>
      <w:pPr>
        <w:spacing w:after="40"/>
      </w:pPr>
    </w:p>
    <w:p>
      <w:pPr>
        <w:pStyle w:val="Heading1"/>
        <w:keepNext/>
      </w:pPr>
      <w:r>
        <w:t>Item 12 - Controlled Rationale</w:t>
      </w:r>
    </w:p>
    <w:p>
      <w:pPr>
        <w:keepNext/>
        <w:spacing w:before="0" w:after="80" w:line="252" w:lineRule="auto"/>
        <w:jc w:val="left"/>
      </w:pPr>
      <w:r>
        <w:rPr>
          <w:rFonts w:ascii="Liberation Sans" w:hAnsi="Liberation Sans"/>
          <w:b/>
          <w:i w:val="0"/>
          <w:color w:val="12385B"/>
          <w:sz w:val="18"/>
        </w:rPr>
        <w:t>Stem: During teletherapy, an adolescent connects from a parked car, reports that an intoxicated caregiver threatened violence at home, and says the connection may fail. The therapist has not confirmed the adolescent's location or a safe way to communicate. What should the therapist do FIRST?</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Continue the planned family intervention so the adolescent does not feel that technology changed the session.</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Send a portal message instructing the caregiver to calm down, then wait for the next scheduled appointment.</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End the call and contact every listed emergency number, because direct assessment is unnecessary when violence is mentioned.</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Confirm location and safe contact; assess danger and protection duties; identify local resources; act proportionately; and document continuity.</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CORRECT ANSWER:  </w:t>
            </w:r>
            <w:r>
              <w:rPr>
                <w:rFonts w:ascii="Liberation Sans" w:hAnsi="Liberation Sans"/>
                <w:b w:val="0"/>
                <w:i w:val="0"/>
                <w:color w:val="1E2D38"/>
                <w:sz w:val="18"/>
              </w:rPr>
              <w:t>D</w:t>
            </w:r>
          </w:p>
        </w:tc>
      </w:tr>
    </w:tbl>
    <w:p>
      <w:pPr>
        <w:spacing w:after="40"/>
      </w:pPr>
    </w:p>
    <w:p>
      <w:pPr>
        <w:spacing w:after="120" w:line="252" w:lineRule="auto"/>
      </w:pPr>
      <w:r>
        <w:rPr>
          <w:rFonts w:ascii="Liberation Sans" w:hAnsi="Liberation Sans"/>
          <w:b/>
          <w:i w:val="0"/>
          <w:color w:val="12385B"/>
          <w:sz w:val="19"/>
        </w:rPr>
        <w:t xml:space="preserve">Why the keyed option is best: </w:t>
      </w:r>
      <w:r>
        <w:rPr>
          <w:rFonts w:ascii="Liberation Sans" w:hAnsi="Liberation Sans"/>
          <w:b w:val="0"/>
          <w:i w:val="0"/>
          <w:color w:val="1E2D38"/>
          <w:sz w:val="19"/>
        </w:rPr>
        <w:t>Option D secures the minimum operational facts needed to protect the adolescent if the connection fails, then assesses the threat, relevant protection or reporting duties, and local resources. It avoids routine treatment, potentially dangerous caregiver contact, and indiscriminate emergency outreach before a focused safety assessment.</w:t>
      </w:r>
    </w:p>
    <w:p>
      <w:pPr>
        <w:pStyle w:val="Heading2"/>
        <w:keepNext/>
      </w:pPr>
      <w:r>
        <w:t>Option-by-Option Rationales</w:t>
      </w:r>
    </w:p>
    <w:p>
      <w:pPr>
        <w:spacing w:before="0" w:after="60" w:line="252"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Routine-plan trap. The reported violence, intoxication, unknown location, and unstable connection require immediate safety and continuity assessment before the planned family intervention.</w:t>
      </w:r>
    </w:p>
    <w:p>
      <w:pPr>
        <w:spacing w:before="0" w:after="60" w:line="252"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Unsafe-contact trap. Messaging the allegedly intoxicated threatening caregiver may increase risk, reveal the adolescent's disclosure, and does not establish immediate safety or location.</w:t>
      </w:r>
    </w:p>
    <w:p>
      <w:pPr>
        <w:spacing w:before="0" w:after="60" w:line="252"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Assessment-bypass trap. Abruptly ending contact and calling every number without confirming location, safe communication, exposure, and proportional response can increase danger and fragment care.</w:t>
      </w:r>
    </w:p>
    <w:p>
      <w:pPr>
        <w:spacing w:before="0" w:after="60" w:line="252"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Correct. It confirms location and a safe backup channel, assesses danger and legal duties, identifies local resources, acts proportionately, and documents continuity.</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AF1F7"/>
          </w:tcPr>
          <w:p>
            <w:pPr>
              <w:spacing w:after="0" w:line="252" w:lineRule="auto"/>
            </w:pPr>
            <w:r/>
            <w:r>
              <w:rPr>
                <w:rFonts w:ascii="Liberation Sans" w:hAnsi="Liberation Sans"/>
                <w:b/>
                <w:i w:val="0"/>
                <w:color w:val="12385B"/>
                <w:sz w:val="18"/>
              </w:rPr>
              <w:t xml:space="preserve">CTA EXAM STRATEGY:  </w:t>
            </w:r>
            <w:r>
              <w:rPr>
                <w:rFonts w:ascii="Liberation Sans" w:hAnsi="Liberation Sans"/>
                <w:b w:val="0"/>
                <w:i w:val="0"/>
                <w:color w:val="1E2D38"/>
                <w:sz w:val="18"/>
              </w:rPr>
              <w:t>Telehealth crisis items begin with location and safe contact, then direct risk assessment, current duties, local resources, proportionate action, handoff verification, and documentation.</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TRANSFERABLE REPAIR RULE:  </w:t>
            </w:r>
            <w:r>
              <w:rPr>
                <w:rFonts w:ascii="Liberation Sans" w:hAnsi="Liberation Sans"/>
                <w:b w:val="0"/>
                <w:i w:val="0"/>
                <w:color w:val="1E2D38"/>
                <w:sz w:val="18"/>
              </w:rPr>
              <w:t>Confirm exact location and a safe contact method, assess threat behaviorally, identify who is exposed, apply current protection and reporting duties, mobilize local resources proportionately, verify continuity, and document.</w:t>
            </w:r>
          </w:p>
        </w:tc>
      </w:tr>
    </w:tbl>
    <w:p>
      <w:pPr>
        <w:spacing w:after="40"/>
      </w:pPr>
    </w:p>
    <w:p>
      <w:pPr>
        <w:pStyle w:val="Heading2"/>
        <w:keepNext/>
      </w:pPr>
      <w:r>
        <w:t>Controlled Metadata</w:t>
      </w:r>
    </w:p>
    <w:tbl>
      <w:tblPr>
        <w:tblW w:type="dxa" w:w="93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1750"/>
        <w:gridCol w:w="2930"/>
        <w:gridCol w:w="1750"/>
        <w:gridCol w:w="2930"/>
      </w:tblGrid>
      <w:tr>
        <w:trPr>
          <w:cantSplit/>
          <w:tblHeader w:val="true"/>
        </w:trPr>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Primary domain</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D5</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Secondary alignment</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D1 / D6</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Blueprint task</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Respond to risk, privacy, and emergency needs in teletherapy</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Workbook objective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6</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Item type</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Integrated Clinical Reasoning</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Difficulty</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Difficult</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Key position</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Remediation code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R8</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Chapter / tool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Ch5 / TELESAFE</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Source control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Candidate Bank v1.0</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F2F4F7"/>
          </w:tcPr>
          <w:p>
            <w:pPr>
              <w:spacing w:after="0" w:line="252" w:lineRule="auto"/>
            </w:pPr>
            <w:r/>
            <w:r>
              <w:rPr>
                <w:rFonts w:ascii="Liberation Sans" w:hAnsi="Liberation Sans"/>
                <w:b/>
                <w:i w:val="0"/>
                <w:color w:val="12385B"/>
                <w:sz w:val="18"/>
              </w:rPr>
              <w:t xml:space="preserve">CURRENCY NOTE:  </w:t>
            </w:r>
            <w:r>
              <w:rPr>
                <w:rFonts w:ascii="Liberation Sans" w:hAnsi="Liberation Sans"/>
                <w:b w:val="0"/>
                <w:i w:val="0"/>
                <w:color w:val="1E2D38"/>
                <w:sz w:val="18"/>
              </w:rPr>
              <w:t>Minor consent, domestic or family violence, mandated reporting, duty to protect, emergency services, safe communication, and jurisdictional telehealth duties require current local protocols and qualified consultation.</w:t>
            </w:r>
          </w:p>
        </w:tc>
      </w:tr>
    </w:tbl>
    <w:p>
      <w:pPr>
        <w:spacing w:after="40"/>
      </w:pPr>
    </w:p>
    <w:p>
      <w:pPr>
        <w:pStyle w:val="Heading1"/>
        <w:keepNext/>
      </w:pPr>
      <w:r>
        <w:t>Item 13 - Controlled Rationale</w:t>
      </w:r>
    </w:p>
    <w:p>
      <w:pPr>
        <w:keepNext/>
        <w:spacing w:before="0" w:after="80" w:line="252" w:lineRule="auto"/>
        <w:jc w:val="left"/>
      </w:pPr>
      <w:r>
        <w:rPr>
          <w:rFonts w:ascii="Liberation Sans" w:hAnsi="Liberation Sans"/>
          <w:b/>
          <w:i w:val="0"/>
          <w:color w:val="12385B"/>
          <w:sz w:val="18"/>
        </w:rPr>
        <w:t>Stem: Which review BEST supports selection of a client-messaging platform?</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Map data flow and access, applicable contracts and safeguards, subcontractors, retention, client controls, incident duties, and integration with records and risk management.</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Choose the platform with the largest behavioral-health customer base because broad adoption establishes legal fitness, vendor accountability, and clinical reliability.</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Use any platform that encrypts messages in transit because one technical safeguard resolves all privacy, retention, and vendor concerns.</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Ask clients to accept all platform risks so the therapist and organization no longer need to evaluate the service.</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CORRECT ANSWER:  </w:t>
            </w:r>
            <w:r>
              <w:rPr>
                <w:rFonts w:ascii="Liberation Sans" w:hAnsi="Liberation Sans"/>
                <w:b w:val="0"/>
                <w:i w:val="0"/>
                <w:color w:val="1E2D38"/>
                <w:sz w:val="18"/>
              </w:rPr>
              <w:t>A</w:t>
            </w:r>
          </w:p>
        </w:tc>
      </w:tr>
    </w:tbl>
    <w:p>
      <w:pPr>
        <w:spacing w:after="40"/>
      </w:pPr>
    </w:p>
    <w:p>
      <w:pPr>
        <w:spacing w:after="120" w:line="252" w:lineRule="auto"/>
      </w:pPr>
      <w:r>
        <w:rPr>
          <w:rFonts w:ascii="Liberation Sans" w:hAnsi="Liberation Sans"/>
          <w:b/>
          <w:i w:val="0"/>
          <w:color w:val="12385B"/>
          <w:sz w:val="19"/>
        </w:rPr>
        <w:t xml:space="preserve">Why the keyed option is best: </w:t>
      </w:r>
      <w:r>
        <w:rPr>
          <w:rFonts w:ascii="Liberation Sans" w:hAnsi="Liberation Sans"/>
          <w:b w:val="0"/>
          <w:i w:val="0"/>
          <w:color w:val="1E2D38"/>
          <w:sz w:val="19"/>
        </w:rPr>
        <w:t>Option A evaluates the platform as an information system rather than equating one feature with compliance. Mapping data flows, users, vendors and subcontractors, contracts, retention, client controls, incident duties, record integration, and ongoing risk is the defensible selection process.</w:t>
      </w:r>
    </w:p>
    <w:p>
      <w:pPr>
        <w:pStyle w:val="Heading2"/>
        <w:keepNext/>
      </w:pPr>
      <w:r>
        <w:t>Option-by-Option Rationales</w:t>
      </w:r>
    </w:p>
    <w:p>
      <w:pPr>
        <w:spacing w:before="0" w:after="60" w:line="252"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Correct. It examines the full lifecycle of sensitive information and the organizational controls needed for privacy, security, records, client choice, incident response, and accountability.</w:t>
      </w:r>
    </w:p>
    <w:p>
      <w:pPr>
        <w:spacing w:before="0" w:after="60" w:line="252"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Popularity-equals-fitness trap. A large behavioral-health customer base does not prove that the platform fits this practice's legal coverage, data uses, contracts, safeguards, access needs, or risk profile.</w:t>
      </w:r>
    </w:p>
    <w:p>
      <w:pPr>
        <w:spacing w:before="0" w:after="60" w:line="252"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Single-safeguard trap. Encryption in transit is useful but does not resolve identity, access, storage, backups, retention, vendor reuse, subcontractors, breach response, or record integration.</w:t>
      </w:r>
    </w:p>
    <w:p>
      <w:pPr>
        <w:spacing w:before="0" w:after="60" w:line="252"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Risk-waiver trap. Client acceptance cannot transfer the therapist's or organization's responsibility to evaluate the platform and use appropriate safeguards.</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AF1F7"/>
          </w:tcPr>
          <w:p>
            <w:pPr>
              <w:spacing w:after="0" w:line="252" w:lineRule="auto"/>
            </w:pPr>
            <w:r/>
            <w:r>
              <w:rPr>
                <w:rFonts w:ascii="Liberation Sans" w:hAnsi="Liberation Sans"/>
                <w:b/>
                <w:i w:val="0"/>
                <w:color w:val="12385B"/>
                <w:sz w:val="18"/>
              </w:rPr>
              <w:t xml:space="preserve">CTA EXAM STRATEGY:  </w:t>
            </w:r>
            <w:r>
              <w:rPr>
                <w:rFonts w:ascii="Liberation Sans" w:hAnsi="Liberation Sans"/>
                <w:b w:val="0"/>
                <w:i w:val="0"/>
                <w:color w:val="1E2D38"/>
                <w:sz w:val="18"/>
              </w:rPr>
              <w:t>Technology-vendor items reward lifecycle analysis: purpose, data flow, access, contracts, safeguards, retention, client controls, incidents, integration, and review.</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TRANSFERABLE REPAIR RULE:  </w:t>
            </w:r>
            <w:r>
              <w:rPr>
                <w:rFonts w:ascii="Liberation Sans" w:hAnsi="Liberation Sans"/>
                <w:b w:val="0"/>
                <w:i w:val="0"/>
                <w:color w:val="1E2D38"/>
                <w:sz w:val="18"/>
              </w:rPr>
              <w:t>Map what data enters, where it moves, who can access or reuse it, what contracts and safeguards apply, how long it remains, how incidents are handled, how it enters the record, and how risk is monitored.</w:t>
            </w:r>
          </w:p>
        </w:tc>
      </w:tr>
    </w:tbl>
    <w:p>
      <w:pPr>
        <w:spacing w:after="40"/>
      </w:pPr>
    </w:p>
    <w:p>
      <w:pPr>
        <w:pStyle w:val="Heading2"/>
        <w:keepNext/>
      </w:pPr>
      <w:r>
        <w:t>Controlled Metadata</w:t>
      </w:r>
    </w:p>
    <w:tbl>
      <w:tblPr>
        <w:tblW w:type="dxa" w:w="93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1750"/>
        <w:gridCol w:w="2930"/>
        <w:gridCol w:w="1750"/>
        <w:gridCol w:w="2930"/>
      </w:tblGrid>
      <w:tr>
        <w:trPr>
          <w:cantSplit/>
          <w:tblHeader w:val="true"/>
        </w:trPr>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Primary domain</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D6</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Secondary alignment</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D3</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Blueprint task</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Select secure platform, vendor, EHR, and data practices</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Workbook objective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7</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Item type</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Application</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Difficulty</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Easy</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Key position</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A</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Remediation code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R9</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Chapter / tool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Ch5 / TELESAFE</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Source control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Candidate Bank v1.0</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F2F4F7"/>
          </w:tcPr>
          <w:p>
            <w:pPr>
              <w:spacing w:after="0" w:line="252" w:lineRule="auto"/>
            </w:pPr>
            <w:r/>
            <w:r>
              <w:rPr>
                <w:rFonts w:ascii="Liberation Sans" w:hAnsi="Liberation Sans"/>
                <w:b/>
                <w:i w:val="0"/>
                <w:color w:val="12385B"/>
                <w:sz w:val="18"/>
              </w:rPr>
              <w:t xml:space="preserve">CURRENCY NOTE:  </w:t>
            </w:r>
            <w:r>
              <w:rPr>
                <w:rFonts w:ascii="Liberation Sans" w:hAnsi="Liberation Sans"/>
                <w:b w:val="0"/>
                <w:i w:val="0"/>
                <w:color w:val="1E2D38"/>
                <w:sz w:val="18"/>
              </w:rPr>
              <w:t>HIPAA coverage, business-associate status, state health-privacy law, FTC rules, vendor contracts, breach notification, retention, accessibility, and security expectations must be checked for the actual platform and practice.</w:t>
            </w:r>
          </w:p>
        </w:tc>
      </w:tr>
    </w:tbl>
    <w:p>
      <w:pPr>
        <w:spacing w:after="40"/>
      </w:pPr>
    </w:p>
    <w:p>
      <w:pPr>
        <w:pStyle w:val="Heading1"/>
        <w:keepNext/>
      </w:pPr>
      <w:r>
        <w:t>Item 14 - Controlled Rationale</w:t>
      </w:r>
    </w:p>
    <w:p>
      <w:pPr>
        <w:keepNext/>
        <w:spacing w:before="0" w:after="80" w:line="252" w:lineRule="auto"/>
        <w:jc w:val="left"/>
      </w:pPr>
      <w:r>
        <w:rPr>
          <w:rFonts w:ascii="Liberation Sans" w:hAnsi="Liberation Sans"/>
          <w:b/>
          <w:i w:val="0"/>
          <w:color w:val="12385B"/>
          <w:sz w:val="18"/>
        </w:rPr>
        <w:t>Stem: A current client comments on the therapist's public personal social-media post. The therapist replies, “I am proud of the progress you have made,” and the exchange is visible to others. What is the BEST next response?</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Leave the exchange online because the client initiated contact and therefore waived confidentiality for that post and the therapist's limited reply.</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Stop public acknowledgment, reduce exposure when feasible, address the impact with the client privately, document as needed, and strengthen boundaries and settings.</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Post a second reply stating that the therapist cannot confirm whether the person is a client and reminding all followers not to discuss care publicly.</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Block the client without discussion and terminate treatment because any online interaction creates an unavoidable multiple relationship.</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CORRECT ANSWER:  </w:t>
            </w:r>
            <w:r>
              <w:rPr>
                <w:rFonts w:ascii="Liberation Sans" w:hAnsi="Liberation Sans"/>
                <w:b w:val="0"/>
                <w:i w:val="0"/>
                <w:color w:val="1E2D38"/>
                <w:sz w:val="18"/>
              </w:rPr>
              <w:t>B</w:t>
            </w:r>
          </w:p>
        </w:tc>
      </w:tr>
    </w:tbl>
    <w:p>
      <w:pPr>
        <w:spacing w:after="40"/>
      </w:pPr>
    </w:p>
    <w:p>
      <w:pPr>
        <w:spacing w:after="120" w:line="252" w:lineRule="auto"/>
      </w:pPr>
      <w:r>
        <w:rPr>
          <w:rFonts w:ascii="Liberation Sans" w:hAnsi="Liberation Sans"/>
          <w:b/>
          <w:i w:val="0"/>
          <w:color w:val="12385B"/>
          <w:sz w:val="19"/>
        </w:rPr>
        <w:t xml:space="preserve">Why the keyed option is best: </w:t>
      </w:r>
      <w:r>
        <w:rPr>
          <w:rFonts w:ascii="Liberation Sans" w:hAnsi="Liberation Sans"/>
          <w:b w:val="0"/>
          <w:i w:val="0"/>
          <w:color w:val="1E2D38"/>
          <w:sz w:val="19"/>
        </w:rPr>
        <w:t>Option B stops further public confirmation, reduces the visible exposure when feasible, repairs the impact privately with the client, documents according to the event and setting, and strengthens social-media boundaries and controls. The client's public comment does not waive the therapist's independent confidentiality duty.</w:t>
      </w:r>
    </w:p>
    <w:p>
      <w:pPr>
        <w:pStyle w:val="Heading2"/>
        <w:keepNext/>
      </w:pPr>
      <w:r>
        <w:t>Option-by-Option Rationales</w:t>
      </w:r>
    </w:p>
    <w:p>
      <w:pPr>
        <w:spacing w:before="0" w:after="60" w:line="252"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Client-initiated-waiver trap. A client may disclose their own experience, but that does not authorize the therapist to confirm the treatment relationship or discuss progress publicly.</w:t>
      </w:r>
    </w:p>
    <w:p>
      <w:pPr>
        <w:spacing w:before="0" w:after="60" w:line="252"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Correct. It ends the public acknowledgment, mitigates exposure, addresses the rupture privately, documents as appropriate, and reduces recurrence through clearer boundaries and settings.</w:t>
      </w:r>
    </w:p>
    <w:p>
      <w:pPr>
        <w:spacing w:before="0" w:after="60" w:line="252"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Denial-by-confirmation trap. A second public reply can prolong or amplify the connection, even if framed as a general disclaimer about client status.</w:t>
      </w:r>
    </w:p>
    <w:p>
      <w:pPr>
        <w:spacing w:before="0" w:after="60" w:line="252"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Automatic-termination trap. Blocking and termination may be disproportionate, can avoid repair, and may create abandonment or continuity concerns; the response should match the actual risk.</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AF1F7"/>
          </w:tcPr>
          <w:p>
            <w:pPr>
              <w:spacing w:after="0" w:line="252" w:lineRule="auto"/>
            </w:pPr>
            <w:r/>
            <w:r>
              <w:rPr>
                <w:rFonts w:ascii="Liberation Sans" w:hAnsi="Liberation Sans"/>
                <w:b/>
                <w:i w:val="0"/>
                <w:color w:val="12385B"/>
                <w:sz w:val="18"/>
              </w:rPr>
              <w:t xml:space="preserve">CTA EXAM STRATEGY:  </w:t>
            </w:r>
            <w:r>
              <w:rPr>
                <w:rFonts w:ascii="Liberation Sans" w:hAnsi="Liberation Sans"/>
                <w:b w:val="0"/>
                <w:i w:val="0"/>
                <w:color w:val="1E2D38"/>
                <w:sz w:val="18"/>
              </w:rPr>
              <w:t>For public online interactions, do not confirm the therapeutic relationship; stop exposure, mitigate, repair privately, document proportionately, and strengthen preventive controls.</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TRANSFERABLE REPAIR RULE:  </w:t>
            </w:r>
            <w:r>
              <w:rPr>
                <w:rFonts w:ascii="Liberation Sans" w:hAnsi="Liberation Sans"/>
                <w:b w:val="0"/>
                <w:i w:val="0"/>
                <w:color w:val="1E2D38"/>
                <w:sz w:val="18"/>
              </w:rPr>
              <w:t>Separate personal and professional use, stop public acknowledgment, preserve necessary evidence, reduce exposure, assess confidentiality and safety impact, contact the client privately, document, and revise boundaries and settings.</w:t>
            </w:r>
          </w:p>
        </w:tc>
      </w:tr>
    </w:tbl>
    <w:p>
      <w:pPr>
        <w:spacing w:after="40"/>
      </w:pPr>
    </w:p>
    <w:p>
      <w:pPr>
        <w:pStyle w:val="Heading2"/>
        <w:keepNext/>
      </w:pPr>
      <w:r>
        <w:t>Controlled Metadata</w:t>
      </w:r>
    </w:p>
    <w:tbl>
      <w:tblPr>
        <w:tblW w:type="dxa" w:w="93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1750"/>
        <w:gridCol w:w="2930"/>
        <w:gridCol w:w="1750"/>
        <w:gridCol w:w="2930"/>
      </w:tblGrid>
      <w:tr>
        <w:trPr>
          <w:cantSplit/>
          <w:tblHeader w:val="true"/>
        </w:trPr>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Primary domain</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D6</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Secondary alignment</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D1</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Blueprint task</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Manage social-media boundaries and digital confidentiality</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Workbook objective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5 and 7</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Item type</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Scenario-Based</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Difficulty</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Difficult</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Key position</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B</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Remediation code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R9</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Chapter / tool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Ch5 / TELESAFE</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Source control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Candidate Bank v1.0</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F2F4F7"/>
          </w:tcPr>
          <w:p>
            <w:pPr>
              <w:spacing w:after="0" w:line="252" w:lineRule="auto"/>
            </w:pPr>
            <w:r/>
            <w:r>
              <w:rPr>
                <w:rFonts w:ascii="Liberation Sans" w:hAnsi="Liberation Sans"/>
                <w:b/>
                <w:i w:val="0"/>
                <w:color w:val="12385B"/>
                <w:sz w:val="18"/>
              </w:rPr>
              <w:t xml:space="preserve">CURRENCY NOTE:  </w:t>
            </w:r>
            <w:r>
              <w:rPr>
                <w:rFonts w:ascii="Liberation Sans" w:hAnsi="Liberation Sans"/>
                <w:b w:val="0"/>
                <w:i w:val="0"/>
                <w:color w:val="1E2D38"/>
                <w:sz w:val="18"/>
              </w:rPr>
              <w:t>Social-media confidentiality, testimonials, records, incident response, platform deletion, advertising, boundary policies, and termination duties depend on current law, ethics, and organizational procedures.</w:t>
            </w:r>
          </w:p>
        </w:tc>
      </w:tr>
    </w:tbl>
    <w:p>
      <w:pPr>
        <w:spacing w:after="40"/>
      </w:pPr>
    </w:p>
    <w:p>
      <w:pPr>
        <w:pStyle w:val="Heading1"/>
        <w:keepNext/>
      </w:pPr>
      <w:r>
        <w:t>Item 15 - Controlled Rationale</w:t>
      </w:r>
    </w:p>
    <w:p>
      <w:pPr>
        <w:keepNext/>
        <w:spacing w:before="0" w:after="80" w:line="252" w:lineRule="auto"/>
        <w:jc w:val="left"/>
      </w:pPr>
      <w:r>
        <w:rPr>
          <w:rFonts w:ascii="Liberation Sans" w:hAnsi="Liberation Sans"/>
          <w:b/>
          <w:i w:val="0"/>
          <w:color w:val="12385B"/>
          <w:sz w:val="18"/>
        </w:rPr>
        <w:t>Stem: A group practice enables an AI transcription service during a couple session. The only notice is a general website privacy statement; one partner objects, and the vendor may retain data for product improvement. What should the therapist do NEXT?</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Continue because the practice selected the service and a general privacy statement covers later technology changes made for documentation efficiency.</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Record only the objecting partner's statements manually while allowing the service to capture the other partner and the therapist.</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Pause the service, clarify recording and data flow, verify consent requirements for affected participants, assess vendor terms, offer alternatives, minimize data, and document.</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Ask the vendor to decide whether the objection is legally sufficient because it controls the transcript and its product-improvement uses.</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CORRECT ANSWER:  </w:t>
            </w:r>
            <w:r>
              <w:rPr>
                <w:rFonts w:ascii="Liberation Sans" w:hAnsi="Liberation Sans"/>
                <w:b w:val="0"/>
                <w:i w:val="0"/>
                <w:color w:val="1E2D38"/>
                <w:sz w:val="18"/>
              </w:rPr>
              <w:t>C</w:t>
            </w:r>
          </w:p>
        </w:tc>
      </w:tr>
    </w:tbl>
    <w:p>
      <w:pPr>
        <w:spacing w:after="40"/>
      </w:pPr>
    </w:p>
    <w:p>
      <w:pPr>
        <w:spacing w:after="120" w:line="252" w:lineRule="auto"/>
      </w:pPr>
      <w:r>
        <w:rPr>
          <w:rFonts w:ascii="Liberation Sans" w:hAnsi="Liberation Sans"/>
          <w:b/>
          <w:i w:val="0"/>
          <w:color w:val="12385B"/>
          <w:sz w:val="19"/>
        </w:rPr>
        <w:t xml:space="preserve">Why the keyed option is best: </w:t>
      </w:r>
      <w:r>
        <w:rPr>
          <w:rFonts w:ascii="Liberation Sans" w:hAnsi="Liberation Sans"/>
          <w:b w:val="0"/>
          <w:i w:val="0"/>
          <w:color w:val="1E2D38"/>
          <w:sz w:val="19"/>
        </w:rPr>
        <w:t>Option C pauses the AI transcription before more couple information is captured. It defines the recording and third-party data flow, verifies notice and consent or written authorization requirements for every affected participant, evaluates vendor retention and product-improvement use, offers a workable alternative, minimizes data, and documents the decision.</w:t>
      </w:r>
    </w:p>
    <w:p>
      <w:pPr>
        <w:pStyle w:val="Heading2"/>
        <w:keepNext/>
      </w:pPr>
      <w:r>
        <w:t>Option-by-Option Rationales</w:t>
      </w:r>
    </w:p>
    <w:p>
      <w:pPr>
        <w:spacing w:before="0" w:after="60" w:line="252"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General-notice trap. A broad website statement may not provide specific informed consent or written recording authorization and does not explain later vendor retention or product-improvement use.</w:t>
      </w:r>
    </w:p>
    <w:p>
      <w:pPr>
        <w:spacing w:before="0" w:after="60" w:line="252"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Selective-capture trap. The service cannot ethically isolate one participant's statements simply because the other objects, and the objection concerns the shared session, recording process, and vendor data flow.</w:t>
      </w:r>
    </w:p>
    <w:p>
      <w:pPr>
        <w:spacing w:before="0" w:after="60" w:line="252"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Correct. It pauses collection, makes the technology and data lifecycle understandable, checks all required consent, offers alternatives, limits data, and records the human decision.</w:t>
      </w:r>
    </w:p>
    <w:p>
      <w:pPr>
        <w:spacing w:before="0" w:after="60" w:line="252"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Vendor-as-authority trap. The vendor cannot decide whether clinical consent, privacy, recording, professional, or jurisdictional requirements are satisfied for the therapist and clients.</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AF1F7"/>
          </w:tcPr>
          <w:p>
            <w:pPr>
              <w:spacing w:after="0" w:line="252" w:lineRule="auto"/>
            </w:pPr>
            <w:r/>
            <w:r>
              <w:rPr>
                <w:rFonts w:ascii="Liberation Sans" w:hAnsi="Liberation Sans"/>
                <w:b/>
                <w:i w:val="0"/>
                <w:color w:val="12385B"/>
                <w:sz w:val="18"/>
              </w:rPr>
              <w:t xml:space="preserve">CTA EXAM STRATEGY:  </w:t>
            </w:r>
            <w:r>
              <w:rPr>
                <w:rFonts w:ascii="Liberation Sans" w:hAnsi="Liberation Sans"/>
                <w:b w:val="0"/>
                <w:i w:val="0"/>
                <w:color w:val="1E2D38"/>
                <w:sz w:val="18"/>
              </w:rPr>
              <w:t>AI transcription items favor pausing collection, defining purpose and data flow, checking participant-specific consent and recording authority, assessing vendor use, offering alternatives, minimizing data, and documenting.</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TRANSFERABLE REPAIR RULE:  </w:t>
            </w:r>
            <w:r>
              <w:rPr>
                <w:rFonts w:ascii="Liberation Sans" w:hAnsi="Liberation Sans"/>
                <w:b w:val="0"/>
                <w:i w:val="0"/>
                <w:color w:val="1E2D38"/>
                <w:sz w:val="18"/>
              </w:rPr>
              <w:t>Use HUMAN: hold the therapist accountable, understand purpose and data flow, minimize access, ask what notice and authorization are required, inspect retention and reuse, offer a non-AI alternative, and document ongoing review.</w:t>
            </w:r>
          </w:p>
        </w:tc>
      </w:tr>
    </w:tbl>
    <w:p>
      <w:pPr>
        <w:spacing w:after="40"/>
      </w:pPr>
    </w:p>
    <w:p>
      <w:pPr>
        <w:pStyle w:val="Heading2"/>
        <w:keepNext/>
      </w:pPr>
      <w:r>
        <w:t>Controlled Metadata</w:t>
      </w:r>
    </w:p>
    <w:tbl>
      <w:tblPr>
        <w:tblW w:type="dxa" w:w="93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1750"/>
        <w:gridCol w:w="2930"/>
        <w:gridCol w:w="1750"/>
        <w:gridCol w:w="2930"/>
      </w:tblGrid>
      <w:tr>
        <w:trPr>
          <w:cantSplit/>
          <w:tblHeader w:val="true"/>
        </w:trPr>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Primary domain</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D6</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Secondary alignment</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D1 / D3</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Blueprint task</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Obtain consent and govern AI transcription data flow</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Workbook objective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7 and 8</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Item type</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Scenario-Based</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Difficulty</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Moderate</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Key position</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Remediation code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R10</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Chapter / tool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Ch6 / HUMAN</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Source control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Candidate Bank v1.0</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F2F4F7"/>
          </w:tcPr>
          <w:p>
            <w:pPr>
              <w:spacing w:after="0" w:line="252" w:lineRule="auto"/>
            </w:pPr>
            <w:r/>
            <w:r>
              <w:rPr>
                <w:rFonts w:ascii="Liberation Sans" w:hAnsi="Liberation Sans"/>
                <w:b/>
                <w:i w:val="0"/>
                <w:color w:val="12385B"/>
                <w:sz w:val="18"/>
              </w:rPr>
              <w:t xml:space="preserve">CURRENCY NOTE:  </w:t>
            </w:r>
            <w:r>
              <w:rPr>
                <w:rFonts w:ascii="Liberation Sans" w:hAnsi="Liberation Sans"/>
                <w:b w:val="0"/>
                <w:i w:val="0"/>
                <w:color w:val="1E2D38"/>
                <w:sz w:val="18"/>
              </w:rPr>
              <w:t>Recording consent, third-party observation, biometric or voice data, vendor training, retention, business-associate duties, health-privacy law, and AI-specific rules vary by jurisdiction and platform.</w:t>
            </w:r>
          </w:p>
        </w:tc>
      </w:tr>
    </w:tbl>
    <w:p>
      <w:pPr>
        <w:spacing w:after="40"/>
      </w:pPr>
    </w:p>
    <w:p>
      <w:pPr>
        <w:pStyle w:val="Heading1"/>
        <w:keepNext/>
      </w:pPr>
      <w:r>
        <w:t>Item 16 - Controlled Rationale</w:t>
      </w:r>
    </w:p>
    <w:p>
      <w:pPr>
        <w:keepNext/>
        <w:spacing w:before="0" w:after="80" w:line="252" w:lineRule="auto"/>
        <w:jc w:val="left"/>
      </w:pPr>
      <w:r>
        <w:rPr>
          <w:rFonts w:ascii="Liberation Sans" w:hAnsi="Liberation Sans"/>
          <w:b/>
          <w:i w:val="0"/>
          <w:color w:val="12385B"/>
          <w:sz w:val="18"/>
        </w:rPr>
        <w:t>Stem: An AI-assisted assessment flags a multilingual couple as “low engagement” largely because their written responses in English are brief. What is the BEST use of this output?</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Treat the score as an objective fact because standardized automation is less biased than clinical judgment.</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Exclude language context so every couple is evaluated by the same input rules and the automated score remains standardized across cases.</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Increase the severity rating because brief responses may conceal risk and the tool should be interpreted conservatively when data are incomplete.</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Review source data, language and access context, tool limitations, possible disparate error, and the couple's meaning; then document an independent assessment.</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CORRECT ANSWER:  </w:t>
            </w:r>
            <w:r>
              <w:rPr>
                <w:rFonts w:ascii="Liberation Sans" w:hAnsi="Liberation Sans"/>
                <w:b w:val="0"/>
                <w:i w:val="0"/>
                <w:color w:val="1E2D38"/>
                <w:sz w:val="18"/>
              </w:rPr>
              <w:t>D</w:t>
            </w:r>
          </w:p>
        </w:tc>
      </w:tr>
    </w:tbl>
    <w:p>
      <w:pPr>
        <w:spacing w:after="40"/>
      </w:pPr>
    </w:p>
    <w:p>
      <w:pPr>
        <w:spacing w:after="120" w:line="252" w:lineRule="auto"/>
      </w:pPr>
      <w:r>
        <w:rPr>
          <w:rFonts w:ascii="Liberation Sans" w:hAnsi="Liberation Sans"/>
          <w:b/>
          <w:i w:val="0"/>
          <w:color w:val="12385B"/>
          <w:sz w:val="19"/>
        </w:rPr>
        <w:t xml:space="preserve">Why the keyed option is best: </w:t>
      </w:r>
      <w:r>
        <w:rPr>
          <w:rFonts w:ascii="Liberation Sans" w:hAnsi="Liberation Sans"/>
          <w:b w:val="0"/>
          <w:i w:val="0"/>
          <w:color w:val="1E2D38"/>
          <w:sz w:val="19"/>
        </w:rPr>
        <w:t>Option D treats the automated label as a hypothesis requiring source and bias review, not as an objective conclusion. Language access, response format, training data, measurement limits, disparate error, and the couple's own meaning must inform an independent assessment and documented human judgment.</w:t>
      </w:r>
    </w:p>
    <w:p>
      <w:pPr>
        <w:pStyle w:val="Heading2"/>
        <w:keepNext/>
      </w:pPr>
      <w:r>
        <w:t>Option-by-Option Rationales</w:t>
      </w:r>
    </w:p>
    <w:p>
      <w:pPr>
        <w:spacing w:before="0" w:after="60" w:line="252"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Automation-objectivity trap. Standardization does not eliminate biased inputs, training data, construct mismatch, measurement error, or unequal impact.</w:t>
      </w:r>
    </w:p>
    <w:p>
      <w:pPr>
        <w:spacing w:before="0" w:after="60" w:line="252"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Sameness-equals-fairness trap. Ignoring language and access context can preserve a biased measurement process and misinterpret brief English responses as low engagement.</w:t>
      </w:r>
    </w:p>
    <w:p>
      <w:pPr>
        <w:spacing w:before="0" w:after="60" w:line="252"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Conservative-severity trap. Increasing severity without evidence does not correct incomplete data or bias; it can amplify the tool's error and create downstream harm.</w:t>
      </w:r>
    </w:p>
    <w:p>
      <w:pPr>
        <w:spacing w:before="0" w:after="60" w:line="252"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Correct. It verifies the source information, incorporates language and access context, tests limitations and disparate error, asks the couple, and records an independent clinical conclusion.</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AF1F7"/>
          </w:tcPr>
          <w:p>
            <w:pPr>
              <w:spacing w:after="0" w:line="252" w:lineRule="auto"/>
            </w:pPr>
            <w:r/>
            <w:r>
              <w:rPr>
                <w:rFonts w:ascii="Liberation Sans" w:hAnsi="Liberation Sans"/>
                <w:b/>
                <w:i w:val="0"/>
                <w:color w:val="12385B"/>
                <w:sz w:val="18"/>
              </w:rPr>
              <w:t xml:space="preserve">CTA EXAM STRATEGY:  </w:t>
            </w:r>
            <w:r>
              <w:rPr>
                <w:rFonts w:ascii="Liberation Sans" w:hAnsi="Liberation Sans"/>
                <w:b w:val="0"/>
                <w:i w:val="0"/>
                <w:color w:val="1E2D38"/>
                <w:sz w:val="18"/>
              </w:rPr>
              <w:t>When an AI output conflicts with context, inspect the source data, construct, population, limitations, bias, unequal impact, and client meaning before making an independent decision.</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TRANSFERABLE REPAIR RULE:  </w:t>
            </w:r>
            <w:r>
              <w:rPr>
                <w:rFonts w:ascii="Liberation Sans" w:hAnsi="Liberation Sans"/>
                <w:b w:val="0"/>
                <w:i w:val="0"/>
                <w:color w:val="1E2D38"/>
                <w:sz w:val="18"/>
              </w:rPr>
              <w:t>Define the tool's purpose, verify inputs and source evidence, test language and access effects, examine validity and disparate error, seek client meaning, correct downstream use, and document human review.</w:t>
            </w:r>
          </w:p>
        </w:tc>
      </w:tr>
    </w:tbl>
    <w:p>
      <w:pPr>
        <w:spacing w:after="40"/>
      </w:pPr>
    </w:p>
    <w:p>
      <w:pPr>
        <w:pStyle w:val="Heading2"/>
        <w:keepNext/>
      </w:pPr>
      <w:r>
        <w:t>Controlled Metadata</w:t>
      </w:r>
    </w:p>
    <w:tbl>
      <w:tblPr>
        <w:tblW w:type="dxa" w:w="93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1750"/>
        <w:gridCol w:w="2930"/>
        <w:gridCol w:w="1750"/>
        <w:gridCol w:w="2930"/>
      </w:tblGrid>
      <w:tr>
        <w:trPr>
          <w:cantSplit/>
          <w:tblHeader w:val="true"/>
        </w:trPr>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Primary domain</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D2</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Secondary alignment</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D1 / D6</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Blueprint task</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Review AI-assisted assessment output for bias and accuracy</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Workbook objective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8</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Item type</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Application</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Difficulty</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Easy</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Key position</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Remediation code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R10</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Chapter / tool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Ch6 / HUMAN</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Source control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Candidate Bank v1.0</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F2F4F7"/>
          </w:tcPr>
          <w:p>
            <w:pPr>
              <w:spacing w:after="0" w:line="252" w:lineRule="auto"/>
            </w:pPr>
            <w:r/>
            <w:r>
              <w:rPr>
                <w:rFonts w:ascii="Liberation Sans" w:hAnsi="Liberation Sans"/>
                <w:b/>
                <w:i w:val="0"/>
                <w:color w:val="12385B"/>
                <w:sz w:val="18"/>
              </w:rPr>
              <w:t xml:space="preserve">CURRENCY NOTE:  </w:t>
            </w:r>
            <w:r>
              <w:rPr>
                <w:rFonts w:ascii="Liberation Sans" w:hAnsi="Liberation Sans"/>
                <w:b w:val="0"/>
                <w:i w:val="0"/>
                <w:color w:val="1E2D38"/>
                <w:sz w:val="18"/>
              </w:rPr>
              <w:t>AI assessment validation, discrimination and accessibility law, language access, informed consent, vendor representations, record correction, and professional competence require current source and jurisdiction review.</w:t>
            </w:r>
          </w:p>
        </w:tc>
      </w:tr>
    </w:tbl>
    <w:p>
      <w:pPr>
        <w:spacing w:after="40"/>
      </w:pPr>
    </w:p>
    <w:p>
      <w:pPr>
        <w:pStyle w:val="Heading1"/>
        <w:keepNext/>
      </w:pPr>
      <w:r>
        <w:t>Item 17 - Controlled Rationale</w:t>
      </w:r>
    </w:p>
    <w:p>
      <w:pPr>
        <w:keepNext/>
        <w:spacing w:before="0" w:after="80" w:line="252" w:lineRule="auto"/>
        <w:jc w:val="left"/>
      </w:pPr>
      <w:r>
        <w:rPr>
          <w:rFonts w:ascii="Liberation Sans" w:hAnsi="Liberation Sans"/>
          <w:b/>
          <w:i w:val="0"/>
          <w:color w:val="12385B"/>
          <w:sz w:val="18"/>
        </w:rPr>
        <w:t>Stem: An AI treatment-support tool recommends terminating a family for missed appointments but does not account for disability access, transportation failures, or the family's stated goals. What should the therapist do NEXT?</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Reassess safety, benefit, barriers, access, goals, and continuity; verify the output and bias risk; involve the family in the plan; and document human review.</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Follow the recommendation because consistent automated attendance rules are more defensible than individualized exceptions based on contextual barriers.</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Ignore the tool without documenting the error because automated advice that is not followed cannot affect the record or future care.</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Tell the family that the vendor ended treatment, offer the vendor's explanation, and direct the family to appeal through the software company.</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CORRECT ANSWER:  </w:t>
            </w:r>
            <w:r>
              <w:rPr>
                <w:rFonts w:ascii="Liberation Sans" w:hAnsi="Liberation Sans"/>
                <w:b w:val="0"/>
                <w:i w:val="0"/>
                <w:color w:val="1E2D38"/>
                <w:sz w:val="18"/>
              </w:rPr>
              <w:t>A</w:t>
            </w:r>
          </w:p>
        </w:tc>
      </w:tr>
    </w:tbl>
    <w:p>
      <w:pPr>
        <w:spacing w:after="40"/>
      </w:pPr>
    </w:p>
    <w:p>
      <w:pPr>
        <w:spacing w:after="120" w:line="252" w:lineRule="auto"/>
      </w:pPr>
      <w:r>
        <w:rPr>
          <w:rFonts w:ascii="Liberation Sans" w:hAnsi="Liberation Sans"/>
          <w:b/>
          <w:i w:val="0"/>
          <w:color w:val="12385B"/>
          <w:sz w:val="19"/>
        </w:rPr>
        <w:t xml:space="preserve">Why the keyed option is best: </w:t>
      </w:r>
      <w:r>
        <w:rPr>
          <w:rFonts w:ascii="Liberation Sans" w:hAnsi="Liberation Sans"/>
          <w:b w:val="0"/>
          <w:i w:val="0"/>
          <w:color w:val="1E2D38"/>
          <w:sz w:val="19"/>
        </w:rPr>
        <w:t>Option A restores the clinical decision to the therapist and family. It reassesses safety, benefit, barriers, access, goals, and continuity; checks the automated recommendation for missing context and bias; involves the family; and documents how human review changed or rejected the output.</w:t>
      </w:r>
    </w:p>
    <w:p>
      <w:pPr>
        <w:pStyle w:val="Heading2"/>
        <w:keepNext/>
      </w:pPr>
      <w:r>
        <w:t>Option-by-Option Rationales</w:t>
      </w:r>
    </w:p>
    <w:p>
      <w:pPr>
        <w:spacing w:before="0" w:after="60" w:line="252"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Correct. It integrates safety, goals, access, contextual barriers, bias review, family participation, continuity, and documented human accountability before deciding whether treatment should change.</w:t>
      </w:r>
    </w:p>
    <w:p>
      <w:pPr>
        <w:spacing w:before="0" w:after="60" w:line="252"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Consistency-equals-fairness trap. Uniform automated attendance rules can reproduce inequity and cannot override individualized clinical judgment, accessibility duties, goals, or continuity needs.</w:t>
      </w:r>
    </w:p>
    <w:p>
      <w:pPr>
        <w:spacing w:before="0" w:after="60" w:line="252"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Silent-disregard trap. Ignoring the recommendation without documenting the error leaves the tool's limitations, possible downstream reuse, record impact, and governance problem unaddressed.</w:t>
      </w:r>
    </w:p>
    <w:p>
      <w:pPr>
        <w:spacing w:before="0" w:after="60" w:line="252"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Vendor-decides-care trap. A software company does not hold the therapist's treatment, consent, termination, referral, or continuity responsibility and should not be presented as the clinical decision-maker.</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AF1F7"/>
          </w:tcPr>
          <w:p>
            <w:pPr>
              <w:spacing w:after="0" w:line="252" w:lineRule="auto"/>
            </w:pPr>
            <w:r/>
            <w:r>
              <w:rPr>
                <w:rFonts w:ascii="Liberation Sans" w:hAnsi="Liberation Sans"/>
                <w:b/>
                <w:i w:val="0"/>
                <w:color w:val="12385B"/>
                <w:sz w:val="18"/>
              </w:rPr>
              <w:t xml:space="preserve">CTA EXAM STRATEGY:  </w:t>
            </w:r>
            <w:r>
              <w:rPr>
                <w:rFonts w:ascii="Liberation Sans" w:hAnsi="Liberation Sans"/>
                <w:b w:val="0"/>
                <w:i w:val="0"/>
                <w:color w:val="1E2D38"/>
                <w:sz w:val="18"/>
              </w:rPr>
              <w:t>AI treatment recommendations are inputs, not decisions; choose the option that verifies data and bias, restores client goals and context, protects continuity, and documents human accountability.</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TRANSFERABLE REPAIR RULE:  </w:t>
            </w:r>
            <w:r>
              <w:rPr>
                <w:rFonts w:ascii="Liberation Sans" w:hAnsi="Liberation Sans"/>
                <w:b w:val="0"/>
                <w:i w:val="0"/>
                <w:color w:val="1E2D38"/>
                <w:sz w:val="18"/>
              </w:rPr>
              <w:t>Reassess the client system and safety, identify missing context and access barriers, verify the output, test bias and accuracy, involve the client or family, make the independent decision, correct downstream effects, and document monitoring.</w:t>
            </w:r>
          </w:p>
        </w:tc>
      </w:tr>
    </w:tbl>
    <w:p>
      <w:pPr>
        <w:spacing w:after="40"/>
      </w:pPr>
    </w:p>
    <w:p>
      <w:pPr>
        <w:pStyle w:val="Heading2"/>
        <w:keepNext/>
      </w:pPr>
      <w:r>
        <w:t>Controlled Metadata</w:t>
      </w:r>
    </w:p>
    <w:tbl>
      <w:tblPr>
        <w:tblW w:type="dxa" w:w="93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1750"/>
        <w:gridCol w:w="2930"/>
        <w:gridCol w:w="1750"/>
        <w:gridCol w:w="2930"/>
      </w:tblGrid>
      <w:tr>
        <w:trPr>
          <w:cantSplit/>
          <w:tblHeader w:val="true"/>
        </w:trPr>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c>
          <w:tcPr>
            <w:tcW w:type="dxa" w:w="17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Field</w:t>
            </w:r>
          </w:p>
        </w:tc>
        <w:tc>
          <w:tcPr>
            <w:tcW w:type="dxa" w:w="293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Value</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Primary domain</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D3</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Secondary alignment</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D1 / D4 / D6</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Blueprint task</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Retain human judgment in an AI-assisted treatment decision</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Workbook objective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8</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Item type</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Integrated Clinical Reasoning</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Difficulty</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Moderate</w:t>
            </w:r>
          </w:p>
        </w:tc>
      </w:tr>
      <w:tr>
        <w:trPr>
          <w:cantSplit/>
        </w:trPr>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Key position</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A</w:t>
            </w:r>
          </w:p>
        </w:tc>
        <w:tc>
          <w:tcPr>
            <w:tcW w:type="dxa" w:w="17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Remediation code</w:t>
            </w:r>
          </w:p>
        </w:tc>
        <w:tc>
          <w:tcPr>
            <w:tcW w:type="dxa" w:w="293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R10</w:t>
            </w:r>
          </w:p>
        </w:tc>
      </w:tr>
      <w:tr>
        <w:trPr>
          <w:cantSplit/>
        </w:trPr>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Chapter / tool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Ch6 / HUMAN</w:t>
            </w:r>
          </w:p>
        </w:tc>
        <w:tc>
          <w:tcPr>
            <w:tcW w:type="dxa" w:w="17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Source control</w:t>
            </w:r>
          </w:p>
        </w:tc>
        <w:tc>
          <w:tcPr>
            <w:tcW w:type="dxa" w:w="293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Candidate Bank v1.0</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F2F4F7"/>
          </w:tcPr>
          <w:p>
            <w:pPr>
              <w:spacing w:after="0" w:line="252" w:lineRule="auto"/>
            </w:pPr>
            <w:r/>
            <w:r>
              <w:rPr>
                <w:rFonts w:ascii="Liberation Sans" w:hAnsi="Liberation Sans"/>
                <w:b/>
                <w:i w:val="0"/>
                <w:color w:val="12385B"/>
                <w:sz w:val="18"/>
              </w:rPr>
              <w:t xml:space="preserve">CURRENCY NOTE:  </w:t>
            </w:r>
            <w:r>
              <w:rPr>
                <w:rFonts w:ascii="Liberation Sans" w:hAnsi="Liberation Sans"/>
                <w:b w:val="0"/>
                <w:i w:val="0"/>
                <w:color w:val="1E2D38"/>
                <w:sz w:val="18"/>
              </w:rPr>
              <w:t>AI-supported treatment, disability access, discrimination, informed consent, termination, referral, continuity, documentation, and vendor governance require current law, ethics, organizational controls, and human oversight.</w:t>
            </w:r>
          </w:p>
        </w:tc>
      </w:tr>
    </w:tbl>
    <w:p>
      <w:pPr>
        <w:spacing w:after="40"/>
      </w:pPr>
    </w:p>
    <w:p>
      <w:pPr>
        <w:pStyle w:val="Heading1"/>
        <w:keepNext/>
      </w:pPr>
      <w:r>
        <w:t>Controlled Remediation Supports</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AF1F7"/>
          </w:tcPr>
          <w:p>
            <w:pPr>
              <w:spacing w:after="0" w:line="252" w:lineRule="auto"/>
            </w:pPr>
            <w:r/>
            <w:r>
              <w:rPr>
                <w:rFonts w:ascii="Liberation Sans" w:hAnsi="Liberation Sans"/>
                <w:b/>
                <w:i w:val="0"/>
                <w:color w:val="12385B"/>
                <w:sz w:val="18"/>
              </w:rPr>
              <w:t xml:space="preserve">REVIEW SEQUENCE:  </w:t>
            </w:r>
            <w:r>
              <w:rPr>
                <w:rFonts w:ascii="Liberation Sans" w:hAnsi="Liberation Sans"/>
                <w:b w:val="0"/>
                <w:i w:val="0"/>
                <w:color w:val="1E2D38"/>
                <w:sz w:val="18"/>
              </w:rPr>
              <w:t>Use the reasoning-error profile, domain review, and low-confidence worksheet together. Remediate the decision rule—not only the item—and document the evidence that supports a retake.</w:t>
            </w:r>
          </w:p>
        </w:tc>
      </w:tr>
    </w:tbl>
    <w:p>
      <w:pPr>
        <w:spacing w:after="40"/>
      </w:pPr>
    </w:p>
    <w:p>
      <w:pPr>
        <w:pStyle w:val="Heading2"/>
        <w:keepNext/>
      </w:pPr>
      <w:r>
        <w:t>Reasoning-Error Code Profile</w:t>
      </w:r>
    </w:p>
    <w:tbl>
      <w:tblPr>
        <w:tblW w:type="dxa" w:w="93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720"/>
        <w:gridCol w:w="2300"/>
        <w:gridCol w:w="1200"/>
        <w:gridCol w:w="5140"/>
      </w:tblGrid>
      <w:tr>
        <w:trPr>
          <w:cantSplit/>
          <w:tblHeader w:val="true"/>
        </w:trPr>
        <w:tc>
          <w:tcPr>
            <w:tcW w:type="dxa" w:w="72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Code</w:t>
            </w:r>
          </w:p>
        </w:tc>
        <w:tc>
          <w:tcPr>
            <w:tcW w:type="dxa" w:w="230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Reasoning pattern</w:t>
            </w:r>
          </w:p>
        </w:tc>
        <w:tc>
          <w:tcPr>
            <w:tcW w:type="dxa" w:w="120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Bank items</w:t>
            </w:r>
          </w:p>
        </w:tc>
        <w:tc>
          <w:tcPr>
            <w:tcW w:type="dxa" w:w="514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Repair action</w:t>
            </w:r>
          </w:p>
        </w:tc>
      </w:tr>
      <w:tr>
        <w:trPr>
          <w:cantSplit/>
        </w:trPr>
        <w:tc>
          <w:tcPr>
            <w:tcW w:type="dxa" w:w="72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R1</w:t>
            </w:r>
          </w:p>
        </w:tc>
        <w:tc>
          <w:tcPr>
            <w:tcW w:type="dxa" w:w="23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Law, ethics, policy, or jurisdiction collapsed</w:t>
            </w:r>
          </w:p>
        </w:tc>
        <w:tc>
          <w:tcPr>
            <w:tcW w:type="dxa" w:w="12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1-2</w:t>
            </w:r>
          </w:p>
        </w:tc>
        <w:tc>
          <w:tcPr>
            <w:tcW w:type="dxa" w:w="514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Separate every source of authority, identify the current jurisdiction and role, verify controlling requirements, address conflicts responsibly, consult when needed, and document the decision.</w:t>
            </w:r>
          </w:p>
        </w:tc>
      </w:tr>
      <w:tr>
        <w:trPr>
          <w:cantSplit/>
        </w:trPr>
        <w:tc>
          <w:tcPr>
            <w:tcW w:type="dxa" w:w="72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R2</w:t>
            </w:r>
          </w:p>
        </w:tc>
        <w:tc>
          <w:tcPr>
            <w:tcW w:type="dxa" w:w="23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Client, treatment unit, role, or consent unclear</w:t>
            </w:r>
          </w:p>
        </w:tc>
        <w:tc>
          <w:tcPr>
            <w:tcW w:type="dxa" w:w="12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3</w:t>
            </w:r>
          </w:p>
        </w:tc>
        <w:tc>
          <w:tcPr>
            <w:tcW w:type="dxa" w:w="514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Clarify who the client is, each person's role and authority, understandable disclosures, voluntariness, risks, alternatives, information policy, and ongoing documented consent.</w:t>
            </w:r>
          </w:p>
        </w:tc>
      </w:tr>
      <w:tr>
        <w:trPr>
          <w:cantSplit/>
        </w:trPr>
        <w:tc>
          <w:tcPr>
            <w:tcW w:type="dxa" w:w="72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R3</w:t>
            </w:r>
          </w:p>
        </w:tc>
        <w:tc>
          <w:tcPr>
            <w:tcW w:type="dxa" w:w="23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Confidentiality, privilege, authorization, or disclosure confused</w:t>
            </w:r>
          </w:p>
        </w:tc>
        <w:tc>
          <w:tcPr>
            <w:tcW w:type="dxa" w:w="12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4-5</w:t>
            </w:r>
          </w:p>
        </w:tc>
        <w:tc>
          <w:tcPr>
            <w:tcW w:type="dxa" w:w="514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Identify the information, holder and recipient, purpose, authorization, privilege, subpoena or order, exception, least-disclosing response, and current law.</w:t>
            </w:r>
          </w:p>
        </w:tc>
      </w:tr>
      <w:tr>
        <w:trPr>
          <w:cantSplit/>
        </w:trPr>
        <w:tc>
          <w:tcPr>
            <w:tcW w:type="dxa" w:w="72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R4</w:t>
            </w:r>
          </w:p>
        </w:tc>
        <w:tc>
          <w:tcPr>
            <w:tcW w:type="dxa" w:w="23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Record accuracy, access, correction, retention, or breach failure</w:t>
            </w:r>
          </w:p>
        </w:tc>
        <w:tc>
          <w:tcPr>
            <w:tcW w:type="dxa" w:w="12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6-7</w:t>
            </w:r>
          </w:p>
        </w:tc>
        <w:tc>
          <w:tcPr>
            <w:tcW w:type="dxa" w:w="514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Preserve source and chronology, correct transparently, protect third-party information, verify access and retention rules, secure the record, repair downstream effects, and document continuity.</w:t>
            </w:r>
          </w:p>
        </w:tc>
      </w:tr>
      <w:tr>
        <w:trPr>
          <w:cantSplit/>
        </w:trPr>
        <w:tc>
          <w:tcPr>
            <w:tcW w:type="dxa" w:w="72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R5</w:t>
            </w:r>
          </w:p>
        </w:tc>
        <w:tc>
          <w:tcPr>
            <w:tcW w:type="dxa" w:w="23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Billing, fee, coding, collection, or referral-integrity error</w:t>
            </w:r>
          </w:p>
        </w:tc>
        <w:tc>
          <w:tcPr>
            <w:tcW w:type="dxa" w:w="12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8</w:t>
            </w:r>
          </w:p>
        </w:tc>
        <w:tc>
          <w:tcPr>
            <w:tcW w:type="dxa" w:w="514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Use truthful service and payer representations, disclose financial terms, avoid improper remuneration, limit collection disclosures, correct inaccuracies, and document the business decision.</w:t>
            </w:r>
          </w:p>
        </w:tc>
      </w:tr>
      <w:tr>
        <w:trPr>
          <w:cantSplit/>
        </w:trPr>
        <w:tc>
          <w:tcPr>
            <w:tcW w:type="dxa" w:w="72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R6</w:t>
            </w:r>
          </w:p>
        </w:tc>
        <w:tc>
          <w:tcPr>
            <w:tcW w:type="dxa" w:w="23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Boundary, conflict, competence, or legal-role error</w:t>
            </w:r>
          </w:p>
        </w:tc>
        <w:tc>
          <w:tcPr>
            <w:tcW w:type="dxa" w:w="12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9</w:t>
            </w:r>
          </w:p>
        </w:tc>
        <w:tc>
          <w:tcPr>
            <w:tcW w:type="dxa" w:w="514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Clarify role and power, assess exploitation or impairment risk, remain within competence and authority, separate incompatible services, consult, use safeguards, and refer or withdraw responsibly.</w:t>
            </w:r>
          </w:p>
        </w:tc>
      </w:tr>
      <w:tr>
        <w:trPr>
          <w:cantSplit/>
        </w:trPr>
        <w:tc>
          <w:tcPr>
            <w:tcW w:type="dxa" w:w="72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R7</w:t>
            </w:r>
          </w:p>
        </w:tc>
        <w:tc>
          <w:tcPr>
            <w:tcW w:type="dxa" w:w="23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Advertising, testimonial, credential, or public-statement error</w:t>
            </w:r>
          </w:p>
        </w:tc>
        <w:tc>
          <w:tcPr>
            <w:tcW w:type="dxa" w:w="12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10</w:t>
            </w:r>
          </w:p>
        </w:tc>
        <w:tc>
          <w:tcPr>
            <w:tcW w:type="dxa" w:w="514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Make claims accurate and supportable, represent status and specialty honestly, avoid undue influence, correct third-party misinformation, protect confidentiality, and monitor public materials.</w:t>
            </w:r>
          </w:p>
        </w:tc>
      </w:tr>
      <w:tr>
        <w:trPr>
          <w:cantSplit/>
        </w:trPr>
        <w:tc>
          <w:tcPr>
            <w:tcW w:type="dxa" w:w="72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R8</w:t>
            </w:r>
          </w:p>
        </w:tc>
        <w:tc>
          <w:tcPr>
            <w:tcW w:type="dxa" w:w="23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Teletherapy jurisdiction, fit, access, or emergency step missed</w:t>
            </w:r>
          </w:p>
        </w:tc>
        <w:tc>
          <w:tcPr>
            <w:tcW w:type="dxa" w:w="12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11-12</w:t>
            </w:r>
          </w:p>
        </w:tc>
        <w:tc>
          <w:tcPr>
            <w:tcW w:type="dxa" w:w="514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Verify locations and authority, assess fit, access and privacy, obtain specific consent, identify local resources, create safe backup and emergency plans, and document continuity.</w:t>
            </w:r>
          </w:p>
        </w:tc>
      </w:tr>
      <w:tr>
        <w:trPr>
          <w:cantSplit/>
        </w:trPr>
        <w:tc>
          <w:tcPr>
            <w:tcW w:type="dxa" w:w="72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R9</w:t>
            </w:r>
          </w:p>
        </w:tc>
        <w:tc>
          <w:tcPr>
            <w:tcW w:type="dxa" w:w="23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Platform, EHR, vendor, social-media, or data-security failure</w:t>
            </w:r>
          </w:p>
        </w:tc>
        <w:tc>
          <w:tcPr>
            <w:tcW w:type="dxa" w:w="12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13-14</w:t>
            </w:r>
          </w:p>
        </w:tc>
        <w:tc>
          <w:tcPr>
            <w:tcW w:type="dxa" w:w="514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Map data flow and access, minimize information, evaluate safeguards and contracts, separate personal and professional use, control storage and communication, respond to incidents, and monitor risk.</w:t>
            </w:r>
          </w:p>
        </w:tc>
      </w:tr>
      <w:tr>
        <w:trPr>
          <w:cantSplit/>
        </w:trPr>
        <w:tc>
          <w:tcPr>
            <w:tcW w:type="dxa" w:w="72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R10</w:t>
            </w:r>
          </w:p>
        </w:tc>
        <w:tc>
          <w:tcPr>
            <w:tcW w:type="dxa" w:w="23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AI, recording, transcription, bias, or human-oversight failure</w:t>
            </w:r>
          </w:p>
        </w:tc>
        <w:tc>
          <w:tcPr>
            <w:tcW w:type="dxa" w:w="12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15-17</w:t>
            </w:r>
          </w:p>
        </w:tc>
        <w:tc>
          <w:tcPr>
            <w:tcW w:type="dxa" w:w="514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Define purpose, verify notice and consent, limit data, evaluate vendor use, test accuracy and bias, retain independent human judgment, correct downstream errors, document review, and monitor impact.</w:t>
            </w:r>
          </w:p>
        </w:tc>
      </w:tr>
    </w:tbl>
    <w:p>
      <w:pPr>
        <w:spacing w:after="40"/>
      </w:pPr>
    </w:p>
    <w:p>
      <w:pPr>
        <w:pStyle w:val="Heading2"/>
        <w:keepNext/>
      </w:pPr>
      <w:r>
        <w:t>Domain and Confidence Review</w:t>
      </w:r>
    </w:p>
    <w:tbl>
      <w:tblPr>
        <w:tblW w:type="dxa" w:w="93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4200"/>
        <w:gridCol w:w="1420"/>
        <w:gridCol w:w="1440"/>
        <w:gridCol w:w="2300"/>
      </w:tblGrid>
      <w:tr>
        <w:trPr>
          <w:cantSplit/>
          <w:tblHeader w:val="true"/>
        </w:trPr>
        <w:tc>
          <w:tcPr>
            <w:tcW w:type="dxa" w:w="420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Primary domain</w:t>
            </w:r>
          </w:p>
        </w:tc>
        <w:tc>
          <w:tcPr>
            <w:tcW w:type="dxa" w:w="142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Items</w:t>
            </w:r>
          </w:p>
        </w:tc>
        <w:tc>
          <w:tcPr>
            <w:tcW w:type="dxa" w:w="144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Correct</w:t>
            </w:r>
          </w:p>
        </w:tc>
        <w:tc>
          <w:tcPr>
            <w:tcW w:type="dxa" w:w="230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Review priority</w:t>
            </w:r>
          </w:p>
        </w:tc>
      </w:tr>
      <w:tr>
        <w:trPr>
          <w:cantSplit/>
        </w:trPr>
        <w:tc>
          <w:tcPr>
            <w:tcW w:type="dxa" w:w="42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D1 - Practice of Systemic Therapy</w:t>
            </w:r>
          </w:p>
        </w:tc>
        <w:tc>
          <w:tcPr>
            <w:tcW w:type="dxa" w:w="142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3</w:t>
            </w:r>
          </w:p>
        </w:tc>
        <w:tc>
          <w:tcPr>
            <w:tcW w:type="dxa" w:w="144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____ / 1</w:t>
            </w:r>
          </w:p>
        </w:tc>
        <w:tc>
          <w:tcPr>
            <w:tcW w:type="dxa" w:w="23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____________________</w:t>
            </w:r>
          </w:p>
        </w:tc>
      </w:tr>
      <w:tr>
        <w:trPr>
          <w:cantSplit/>
        </w:trPr>
        <w:tc>
          <w:tcPr>
            <w:tcW w:type="dxa" w:w="42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D2 - Assessing, Hypothesizing, Diagnosing</w:t>
            </w:r>
          </w:p>
        </w:tc>
        <w:tc>
          <w:tcPr>
            <w:tcW w:type="dxa" w:w="142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16</w:t>
            </w:r>
          </w:p>
        </w:tc>
        <w:tc>
          <w:tcPr>
            <w:tcW w:type="dxa" w:w="144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____ / 1</w:t>
            </w:r>
          </w:p>
        </w:tc>
        <w:tc>
          <w:tcPr>
            <w:tcW w:type="dxa" w:w="23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____________________</w:t>
            </w:r>
          </w:p>
        </w:tc>
      </w:tr>
      <w:tr>
        <w:trPr>
          <w:cantSplit/>
        </w:trPr>
        <w:tc>
          <w:tcPr>
            <w:tcW w:type="dxa" w:w="42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D3 - Designing and Conducting Treatment</w:t>
            </w:r>
          </w:p>
        </w:tc>
        <w:tc>
          <w:tcPr>
            <w:tcW w:type="dxa" w:w="142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17</w:t>
            </w:r>
          </w:p>
        </w:tc>
        <w:tc>
          <w:tcPr>
            <w:tcW w:type="dxa" w:w="144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____ / 1</w:t>
            </w:r>
          </w:p>
        </w:tc>
        <w:tc>
          <w:tcPr>
            <w:tcW w:type="dxa" w:w="23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____________________</w:t>
            </w:r>
          </w:p>
        </w:tc>
      </w:tr>
      <w:tr>
        <w:trPr>
          <w:cantSplit/>
        </w:trPr>
        <w:tc>
          <w:tcPr>
            <w:tcW w:type="dxa" w:w="42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D4 - Evaluating Ongoing Process and Terminating</w:t>
            </w:r>
          </w:p>
        </w:tc>
        <w:tc>
          <w:tcPr>
            <w:tcW w:type="dxa" w:w="142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7</w:t>
            </w:r>
          </w:p>
        </w:tc>
        <w:tc>
          <w:tcPr>
            <w:tcW w:type="dxa" w:w="144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____ / 1</w:t>
            </w:r>
          </w:p>
        </w:tc>
        <w:tc>
          <w:tcPr>
            <w:tcW w:type="dxa" w:w="23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____________________</w:t>
            </w:r>
          </w:p>
        </w:tc>
      </w:tr>
      <w:tr>
        <w:trPr>
          <w:cantSplit/>
        </w:trPr>
        <w:tc>
          <w:tcPr>
            <w:tcW w:type="dxa" w:w="42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D5 - Managing Crisis Situations</w:t>
            </w:r>
          </w:p>
        </w:tc>
        <w:tc>
          <w:tcPr>
            <w:tcW w:type="dxa" w:w="142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12</w:t>
            </w:r>
          </w:p>
        </w:tc>
        <w:tc>
          <w:tcPr>
            <w:tcW w:type="dxa" w:w="144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____ / 1</w:t>
            </w:r>
          </w:p>
        </w:tc>
        <w:tc>
          <w:tcPr>
            <w:tcW w:type="dxa" w:w="23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____________________</w:t>
            </w:r>
          </w:p>
        </w:tc>
      </w:tr>
      <w:tr>
        <w:trPr>
          <w:cantSplit/>
        </w:trPr>
        <w:tc>
          <w:tcPr>
            <w:tcW w:type="dxa" w:w="42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D6 - Ethical, Legal, Professional Standards</w:t>
            </w:r>
          </w:p>
        </w:tc>
        <w:tc>
          <w:tcPr>
            <w:tcW w:type="dxa" w:w="142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1-2, 4-6, 8-11, 13-15</w:t>
            </w:r>
          </w:p>
        </w:tc>
        <w:tc>
          <w:tcPr>
            <w:tcW w:type="dxa" w:w="144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____ / 12</w:t>
            </w:r>
          </w:p>
        </w:tc>
        <w:tc>
          <w:tcPr>
            <w:tcW w:type="dxa" w:w="23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____________________</w:t>
            </w:r>
          </w:p>
        </w:tc>
      </w:tr>
    </w:tbl>
    <w:p>
      <w:pPr>
        <w:spacing w:after="40"/>
      </w:pPr>
    </w:p>
    <w:p>
      <w:pPr>
        <w:pStyle w:val="Heading2"/>
        <w:keepNext/>
      </w:pPr>
      <w:r>
        <w:t>Low-Confidence and Missed-Item Review</w:t>
      </w:r>
    </w:p>
    <w:tbl>
      <w:tblPr>
        <w:tblW w:type="dxa" w:w="93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850"/>
        <w:gridCol w:w="1850"/>
        <w:gridCol w:w="1200"/>
        <w:gridCol w:w="2690"/>
        <w:gridCol w:w="2770"/>
      </w:tblGrid>
      <w:tr>
        <w:trPr>
          <w:cantSplit/>
          <w:tblHeader w:val="true"/>
        </w:trPr>
        <w:tc>
          <w:tcPr>
            <w:tcW w:type="dxa" w:w="8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Item</w:t>
            </w:r>
          </w:p>
        </w:tc>
        <w:tc>
          <w:tcPr>
            <w:tcW w:type="dxa" w:w="18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Result / confidence</w:t>
            </w:r>
          </w:p>
        </w:tc>
        <w:tc>
          <w:tcPr>
            <w:tcW w:type="dxa" w:w="120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Error code</w:t>
            </w:r>
          </w:p>
        </w:tc>
        <w:tc>
          <w:tcPr>
            <w:tcW w:type="dxa" w:w="269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Why my option failed</w:t>
            </w:r>
          </w:p>
        </w:tc>
        <w:tc>
          <w:tcPr>
            <w:tcW w:type="dxa" w:w="277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Transfer rule</w:t>
            </w:r>
          </w:p>
        </w:tc>
      </w:tr>
      <w:tr>
        <w:trPr>
          <w:cantSplit/>
        </w:trPr>
        <w:tc>
          <w:tcPr>
            <w:tcW w:type="dxa" w:w="8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18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12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269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277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r>
      <w:tr>
        <w:trPr>
          <w:cantSplit/>
        </w:trPr>
        <w:tc>
          <w:tcPr>
            <w:tcW w:type="dxa" w:w="8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18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12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269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277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r>
      <w:tr>
        <w:trPr>
          <w:cantSplit/>
        </w:trPr>
        <w:tc>
          <w:tcPr>
            <w:tcW w:type="dxa" w:w="8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18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12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269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277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r>
      <w:tr>
        <w:trPr>
          <w:cantSplit/>
        </w:trPr>
        <w:tc>
          <w:tcPr>
            <w:tcW w:type="dxa" w:w="8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18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12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269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277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r>
      <w:tr>
        <w:trPr>
          <w:cantSplit/>
        </w:trPr>
        <w:tc>
          <w:tcPr>
            <w:tcW w:type="dxa" w:w="8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18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12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269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277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r>
      <w:tr>
        <w:trPr>
          <w:cantSplit/>
        </w:trPr>
        <w:tc>
          <w:tcPr>
            <w:tcW w:type="dxa" w:w="8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18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12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269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277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r>
      <w:tr>
        <w:trPr>
          <w:cantSplit/>
        </w:trPr>
        <w:tc>
          <w:tcPr>
            <w:tcW w:type="dxa" w:w="8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18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12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269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277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r>
      <w:tr>
        <w:trPr>
          <w:cantSplit/>
        </w:trPr>
        <w:tc>
          <w:tcPr>
            <w:tcW w:type="dxa" w:w="8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18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12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269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c>
          <w:tcPr>
            <w:tcW w:type="dxa" w:w="277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4"/>
              </w:rPr>
            </w:r>
          </w:p>
        </w:tc>
      </w:tr>
    </w:tbl>
    <w:p>
      <w:pPr>
        <w:spacing w:after="40"/>
      </w:pPr>
    </w:p>
    <w:p>
      <w:pPr>
        <w:pStyle w:val="Heading2"/>
        <w:keepNext/>
      </w:pPr>
      <w:r>
        <w:t>Readiness and Retake Plan</w:t>
      </w:r>
    </w:p>
    <w:p>
      <w:pPr>
        <w:keepNext/>
        <w:spacing w:before="0" w:after="30" w:line="252" w:lineRule="auto"/>
        <w:jc w:val="left"/>
      </w:pPr>
      <w:r>
        <w:rPr>
          <w:rFonts w:ascii="Liberation Sans" w:hAnsi="Liberation Sans"/>
          <w:b/>
          <w:i w:val="0"/>
          <w:color w:val="12385B"/>
          <w:sz w:val="18"/>
        </w:rPr>
        <w:t>Items requiring review:</w:t>
      </w:r>
    </w:p>
    <w:p>
      <w:pPr>
        <w:keepNext w:val="0"/>
        <w:spacing w:before="0" w:after="100" w:line="252" w:lineRule="auto"/>
        <w:jc w:val="left"/>
      </w:pPr>
      <w:r>
        <w:rPr>
          <w:rFonts w:ascii="Liberation Sans" w:hAnsi="Liberation Sans"/>
          <w:b w:val="0"/>
          <w:i w:val="0"/>
          <w:color w:val="5A6872"/>
          <w:sz w:val="18"/>
        </w:rPr>
        <w:t>________________________________________________________________________</w:t>
      </w:r>
    </w:p>
    <w:p>
      <w:pPr>
        <w:keepNext/>
        <w:spacing w:before="0" w:after="30" w:line="252" w:lineRule="auto"/>
        <w:jc w:val="left"/>
      </w:pPr>
      <w:r>
        <w:rPr>
          <w:rFonts w:ascii="Liberation Sans" w:hAnsi="Liberation Sans"/>
          <w:b/>
          <w:i w:val="0"/>
          <w:color w:val="12385B"/>
          <w:sz w:val="18"/>
        </w:rPr>
        <w:t>Most frequent reasoning pattern:</w:t>
      </w:r>
    </w:p>
    <w:p>
      <w:pPr>
        <w:keepNext w:val="0"/>
        <w:spacing w:before="0" w:after="100" w:line="252" w:lineRule="auto"/>
        <w:jc w:val="left"/>
      </w:pPr>
      <w:r>
        <w:rPr>
          <w:rFonts w:ascii="Liberation Sans" w:hAnsi="Liberation Sans"/>
          <w:b w:val="0"/>
          <w:i w:val="0"/>
          <w:color w:val="5A6872"/>
          <w:sz w:val="18"/>
        </w:rPr>
        <w:t>________________________________________________________________________</w:t>
      </w:r>
    </w:p>
    <w:p>
      <w:pPr>
        <w:keepNext/>
        <w:spacing w:before="0" w:after="30" w:line="252" w:lineRule="auto"/>
        <w:jc w:val="left"/>
      </w:pPr>
      <w:r>
        <w:rPr>
          <w:rFonts w:ascii="Liberation Sans" w:hAnsi="Liberation Sans"/>
          <w:b/>
          <w:i w:val="0"/>
          <w:color w:val="12385B"/>
          <w:sz w:val="18"/>
        </w:rPr>
        <w:t>Workbook chapter and CTA tool to revisit:</w:t>
      </w:r>
    </w:p>
    <w:p>
      <w:pPr>
        <w:keepNext w:val="0"/>
        <w:spacing w:before="0" w:after="100" w:line="252" w:lineRule="auto"/>
        <w:jc w:val="left"/>
      </w:pPr>
      <w:r>
        <w:rPr>
          <w:rFonts w:ascii="Liberation Sans" w:hAnsi="Liberation Sans"/>
          <w:b w:val="0"/>
          <w:i w:val="0"/>
          <w:color w:val="5A6872"/>
          <w:sz w:val="18"/>
        </w:rPr>
        <w:t>________________________________________________________________________</w:t>
      </w:r>
    </w:p>
    <w:p>
      <w:pPr>
        <w:keepNext/>
        <w:spacing w:before="0" w:after="30" w:line="252" w:lineRule="auto"/>
        <w:jc w:val="left"/>
      </w:pPr>
      <w:r>
        <w:rPr>
          <w:rFonts w:ascii="Liberation Sans" w:hAnsi="Liberation Sans"/>
          <w:b/>
          <w:i w:val="0"/>
          <w:color w:val="12385B"/>
          <w:sz w:val="18"/>
        </w:rPr>
        <w:t>One repair rule I can explain without notes:</w:t>
      </w:r>
    </w:p>
    <w:p>
      <w:pPr>
        <w:keepNext w:val="0"/>
        <w:spacing w:before="0" w:after="100" w:line="252" w:lineRule="auto"/>
        <w:jc w:val="left"/>
      </w:pPr>
      <w:r>
        <w:rPr>
          <w:rFonts w:ascii="Liberation Sans" w:hAnsi="Liberation Sans"/>
          <w:b w:val="0"/>
          <w:i w:val="0"/>
          <w:color w:val="5A6872"/>
          <w:sz w:val="18"/>
        </w:rPr>
        <w:t>________________________________________________________________________</w:t>
      </w:r>
    </w:p>
    <w:p>
      <w:pPr>
        <w:keepNext/>
        <w:spacing w:before="0" w:after="30" w:line="252" w:lineRule="auto"/>
        <w:jc w:val="left"/>
      </w:pPr>
      <w:r>
        <w:rPr>
          <w:rFonts w:ascii="Liberation Sans" w:hAnsi="Liberation Sans"/>
          <w:b/>
          <w:i w:val="0"/>
          <w:color w:val="12385B"/>
          <w:sz w:val="18"/>
        </w:rPr>
        <w:t>Practice action before retake:</w:t>
      </w:r>
    </w:p>
    <w:p>
      <w:pPr>
        <w:keepNext w:val="0"/>
        <w:spacing w:before="0" w:after="100" w:line="252" w:lineRule="auto"/>
        <w:jc w:val="left"/>
      </w:pPr>
      <w:r>
        <w:rPr>
          <w:rFonts w:ascii="Liberation Sans" w:hAnsi="Liberation Sans"/>
          <w:b w:val="0"/>
          <w:i w:val="0"/>
          <w:color w:val="5A6872"/>
          <w:sz w:val="18"/>
        </w:rPr>
        <w:t>________________________________________________________________________</w:t>
      </w:r>
    </w:p>
    <w:p>
      <w:pPr>
        <w:keepNext/>
        <w:spacing w:before="0" w:after="30" w:line="252" w:lineRule="auto"/>
        <w:jc w:val="left"/>
      </w:pPr>
      <w:r>
        <w:rPr>
          <w:rFonts w:ascii="Liberation Sans" w:hAnsi="Liberation Sans"/>
          <w:b/>
          <w:i w:val="0"/>
          <w:color w:val="12385B"/>
          <w:sz w:val="18"/>
        </w:rPr>
        <w:t>Evidence that I understand why each distractor fails:</w:t>
      </w:r>
    </w:p>
    <w:p>
      <w:pPr>
        <w:keepNext w:val="0"/>
        <w:spacing w:before="0" w:after="100" w:line="252" w:lineRule="auto"/>
        <w:jc w:val="left"/>
      </w:pPr>
      <w:r>
        <w:rPr>
          <w:rFonts w:ascii="Liberation Sans" w:hAnsi="Liberation Sans"/>
          <w:b w:val="0"/>
          <w:i w:val="0"/>
          <w:color w:val="5A6872"/>
          <w:sz w:val="18"/>
        </w:rPr>
        <w:t>________________________________________________________________________</w:t>
      </w:r>
    </w:p>
    <w:p>
      <w:pPr>
        <w:keepNext/>
        <w:spacing w:before="0" w:after="30" w:line="252" w:lineRule="auto"/>
        <w:jc w:val="left"/>
      </w:pPr>
      <w:r>
        <w:rPr>
          <w:rFonts w:ascii="Liberation Sans" w:hAnsi="Liberation Sans"/>
          <w:b/>
          <w:i w:val="0"/>
          <w:color w:val="12385B"/>
          <w:sz w:val="18"/>
        </w:rPr>
        <w:t>Retake date and time limit:</w:t>
      </w:r>
    </w:p>
    <w:p>
      <w:pPr>
        <w:keepNext w:val="0"/>
        <w:spacing w:before="0" w:after="100" w:line="252" w:lineRule="auto"/>
        <w:jc w:val="left"/>
      </w:pPr>
      <w:r>
        <w:rPr>
          <w:rFonts w:ascii="Liberation Sans" w:hAnsi="Liberation Sans"/>
          <w:b w:val="0"/>
          <w:i w:val="0"/>
          <w:color w:val="5A6872"/>
          <w:sz w:val="18"/>
        </w:rPr>
        <w:t>________________________________________________________________________</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READINESS GATE:  </w:t>
            </w:r>
            <w:r>
              <w:rPr>
                <w:rFonts w:ascii="Liberation Sans" w:hAnsi="Liberation Sans"/>
                <w:b w:val="0"/>
                <w:i w:val="0"/>
                <w:color w:val="1E2D38"/>
                <w:sz w:val="18"/>
              </w:rPr>
              <w:t>Do not rely on score alone. Before retaking, the learner should identify the controlling decision point; apply COMPASS, CONSENT, RECORD, TRUST, TELESAFE, or HUMAN as appropriate; explain why the keyed action comes first; describe every distractor defect; and state a transferable repair rule for each missed or low-confidence item.</w:t>
            </w:r>
          </w:p>
        </w:tc>
      </w:tr>
    </w:tbl>
    <w:p>
      <w:pPr>
        <w:spacing w:after="40"/>
      </w:pPr>
    </w:p>
    <w:p>
      <w:pPr>
        <w:pStyle w:val="Heading1"/>
        <w:keepNext/>
      </w:pPr>
      <w:r>
        <w:t>Current Official Sources and Control Notices</w:t>
      </w:r>
    </w:p>
    <w:p>
      <w:pPr>
        <w:keepNext w:val="0"/>
        <w:spacing w:before="0" w:after="140" w:line="252" w:lineRule="auto"/>
        <w:jc w:val="left"/>
      </w:pPr>
      <w:r>
        <w:rPr>
          <w:rFonts w:ascii="Liberation Sans" w:hAnsi="Liberation Sans"/>
          <w:b w:val="0"/>
          <w:i w:val="0"/>
          <w:color w:val="5A6872"/>
          <w:sz w:val="18"/>
        </w:rPr>
        <w:t>Source-control date: Verified August 3, 2026. Examination specifications, professional standards, laws, privacy and security requirements, technology conditions, and jurisdictional duties can change.</w:t>
      </w:r>
    </w:p>
    <w:p>
      <w:pPr>
        <w:spacing w:before="0" w:after="80" w:line="252" w:lineRule="auto"/>
      </w:pPr>
      <w:hyperlink r:id="rId14">
        <w:r>
          <w:rPr>
            <w:rFonts w:ascii="Liberation Sans" w:hAnsi="Liberation Sans"/>
            <w:color w:val="12385B"/>
            <w:u w:val="single"/>
            <w:sz w:val="19"/>
          </w:rPr>
          <w:t>AMFTRB Exam Reference</w:t>
        </w:r>
      </w:hyperlink>
      <w:r>
        <w:rPr>
          <w:rFonts w:ascii="Liberation Sans" w:hAnsi="Liberation Sans"/>
          <w:b w:val="0"/>
          <w:i w:val="0"/>
          <w:color w:val="1E2D38"/>
          <w:sz w:val="19"/>
        </w:rPr>
        <w:t xml:space="preserve"> - Current examination purpose, content-reference routing, candidate guidance, security, and official preparation boundaries.</w:t>
      </w:r>
    </w:p>
    <w:p>
      <w:pPr>
        <w:spacing w:before="0" w:after="80" w:line="252" w:lineRule="auto"/>
      </w:pPr>
      <w:hyperlink r:id="rId15">
        <w:r>
          <w:rPr>
            <w:rFonts w:ascii="Liberation Sans" w:hAnsi="Liberation Sans"/>
            <w:color w:val="12385B"/>
            <w:u w:val="single"/>
            <w:sz w:val="19"/>
          </w:rPr>
          <w:t>AMFTRB Handbook for Candidates</w:t>
        </w:r>
      </w:hyperlink>
      <w:r>
        <w:rPr>
          <w:rFonts w:ascii="Liberation Sans" w:hAnsi="Liberation Sans"/>
          <w:b w:val="0"/>
          <w:i w:val="0"/>
          <w:color w:val="1E2D38"/>
          <w:sz w:val="19"/>
        </w:rPr>
        <w:t xml:space="preserve"> - Current candidate-handbook access and examination-process guidance.</w:t>
      </w:r>
    </w:p>
    <w:p>
      <w:pPr>
        <w:spacing w:before="0" w:after="80" w:line="252" w:lineRule="auto"/>
      </w:pPr>
      <w:hyperlink r:id="rId16">
        <w:r>
          <w:rPr>
            <w:rFonts w:ascii="Liberation Sans" w:hAnsi="Liberation Sans"/>
            <w:color w:val="12385B"/>
            <w:u w:val="single"/>
            <w:sz w:val="19"/>
          </w:rPr>
          <w:t>AAMFT Code of Ethics - effective January 1, 2026</w:t>
        </w:r>
      </w:hyperlink>
      <w:r>
        <w:rPr>
          <w:rFonts w:ascii="Liberation Sans" w:hAnsi="Liberation Sans"/>
          <w:b w:val="0"/>
          <w:i w:val="0"/>
          <w:color w:val="1E2D38"/>
          <w:sz w:val="19"/>
        </w:rPr>
        <w:t xml:space="preserve"> - Current ethics standards for client welfare, consent, confidentiality, records, competence, technology, supervision, advertising, and accountability.</w:t>
      </w:r>
    </w:p>
    <w:p>
      <w:pPr>
        <w:spacing w:before="0" w:after="80" w:line="252" w:lineRule="auto"/>
      </w:pPr>
      <w:hyperlink r:id="rId17">
        <w:r>
          <w:rPr>
            <w:rFonts w:ascii="Liberation Sans" w:hAnsi="Liberation Sans"/>
            <w:color w:val="12385B"/>
            <w:u w:val="single"/>
            <w:sz w:val="19"/>
          </w:rPr>
          <w:t>HHS/OCR HIPAA and Telehealth</w:t>
        </w:r>
      </w:hyperlink>
      <w:r>
        <w:rPr>
          <w:rFonts w:ascii="Liberation Sans" w:hAnsi="Liberation Sans"/>
          <w:b w:val="0"/>
          <w:i w:val="0"/>
          <w:color w:val="1E2D38"/>
          <w:sz w:val="19"/>
        </w:rPr>
        <w:t xml:space="preserve"> - Current federal telehealth privacy and security resources for HIPAA-regulated entities.</w:t>
      </w:r>
    </w:p>
    <w:p>
      <w:pPr>
        <w:spacing w:before="0" w:after="80" w:line="252" w:lineRule="auto"/>
      </w:pPr>
      <w:hyperlink r:id="rId18">
        <w:r>
          <w:rPr>
            <w:rFonts w:ascii="Liberation Sans" w:hAnsi="Liberation Sans"/>
            <w:color w:val="12385B"/>
            <w:u w:val="single"/>
            <w:sz w:val="19"/>
          </w:rPr>
          <w:t>HHS/OCR Security Rule</w:t>
        </w:r>
      </w:hyperlink>
      <w:r>
        <w:rPr>
          <w:rFonts w:ascii="Liberation Sans" w:hAnsi="Liberation Sans"/>
          <w:b w:val="0"/>
          <w:i w:val="0"/>
          <w:color w:val="1E2D38"/>
          <w:sz w:val="19"/>
        </w:rPr>
        <w:t xml:space="preserve"> - Current administrative, physical, and technical safeguard framework for electronic protected health information.</w:t>
      </w:r>
    </w:p>
    <w:p>
      <w:pPr>
        <w:spacing w:before="0" w:after="80" w:line="252" w:lineRule="auto"/>
      </w:pPr>
      <w:hyperlink r:id="rId19">
        <w:r>
          <w:rPr>
            <w:rFonts w:ascii="Liberation Sans" w:hAnsi="Liberation Sans"/>
            <w:color w:val="12385B"/>
            <w:u w:val="single"/>
            <w:sz w:val="19"/>
          </w:rPr>
          <w:t>FTC Health Privacy and Health Breach Notification Rule</w:t>
        </w:r>
      </w:hyperlink>
      <w:r>
        <w:rPr>
          <w:rFonts w:ascii="Liberation Sans" w:hAnsi="Liberation Sans"/>
          <w:b w:val="0"/>
          <w:i w:val="0"/>
          <w:color w:val="1E2D38"/>
          <w:sz w:val="19"/>
        </w:rPr>
        <w:t xml:space="preserve"> - Current federal business guidance for health privacy and applicable breach-notification responsibilities outside or alongside HIPAA coverage.</w:t>
      </w:r>
    </w:p>
    <w:p>
      <w:pPr>
        <w:spacing w:before="0" w:after="80" w:line="252" w:lineRule="auto"/>
      </w:pPr>
      <w:hyperlink r:id="rId20">
        <w:r>
          <w:rPr>
            <w:rFonts w:ascii="Liberation Sans" w:hAnsi="Liberation Sans"/>
            <w:color w:val="12385B"/>
            <w:u w:val="single"/>
            <w:sz w:val="19"/>
          </w:rPr>
          <w:t>NIST AI Risk Management Framework</w:t>
        </w:r>
      </w:hyperlink>
      <w:r>
        <w:rPr>
          <w:rFonts w:ascii="Liberation Sans" w:hAnsi="Liberation Sans"/>
          <w:b w:val="0"/>
          <w:i w:val="0"/>
          <w:color w:val="1E2D38"/>
          <w:sz w:val="19"/>
        </w:rPr>
        <w:t xml:space="preserve"> - Voluntary risk-governance framework for trustworthy AI design, deployment, use, evaluation, and monitoring.</w:t>
      </w:r>
    </w:p>
    <w:p>
      <w:pPr>
        <w:spacing w:before="0" w:after="80" w:line="252" w:lineRule="auto"/>
      </w:pPr>
      <w:hyperlink r:id="rId21">
        <w:r>
          <w:rPr>
            <w:rFonts w:ascii="Liberation Sans" w:hAnsi="Liberation Sans"/>
            <w:color w:val="12385B"/>
            <w:u w:val="single"/>
            <w:sz w:val="19"/>
          </w:rPr>
          <w:t>NIST Generative AI Profile</w:t>
        </w:r>
      </w:hyperlink>
      <w:r>
        <w:rPr>
          <w:rFonts w:ascii="Liberation Sans" w:hAnsi="Liberation Sans"/>
          <w:b w:val="0"/>
          <w:i w:val="0"/>
          <w:color w:val="1E2D38"/>
          <w:sz w:val="19"/>
        </w:rPr>
        <w:t xml:space="preserve"> - Companion guidance addressing generative-AI risks, measurement, governance, and management.</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AF1F7"/>
          </w:tcPr>
          <w:p>
            <w:pPr>
              <w:spacing w:after="0" w:line="252" w:lineRule="auto"/>
            </w:pPr>
            <w:r/>
            <w:r>
              <w:rPr>
                <w:rFonts w:ascii="Liberation Sans" w:hAnsi="Liberation Sans"/>
                <w:b/>
                <w:i w:val="0"/>
                <w:color w:val="12385B"/>
                <w:sz w:val="18"/>
              </w:rPr>
              <w:t xml:space="preserve">OFFICIAL-SOURCE DISCLAIMER:  </w:t>
            </w:r>
            <w:r>
              <w:rPr>
                <w:rFonts w:ascii="Liberation Sans" w:hAnsi="Liberation Sans"/>
                <w:b w:val="0"/>
                <w:i w:val="0"/>
                <w:color w:val="1E2D38"/>
                <w:sz w:val="18"/>
              </w:rPr>
              <w:t>CTA is an independent educational resource and is not affiliated with or endorsed by AMFTRB, PTC, Prometric, AAMFT, HHS/OCR, FTC, NIST, any payer, technology or AI vendor, or any licensing board. These are original CTA practice items, not live, recalled, leaked, retired, proprietary, or memorized examination content.</w:t>
            </w:r>
          </w:p>
        </w:tc>
      </w:tr>
    </w:tbl>
    <w:p>
      <w:pPr>
        <w:spacing w:after="40"/>
      </w:pPr>
    </w:p>
    <w:p>
      <w:pPr>
        <w:pStyle w:val="Heading1"/>
        <w:keepNext/>
      </w:pPr>
      <w:r>
        <w:t>Controlled Access and Release Record</w:t>
      </w: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F2F4F7"/>
          </w:tcPr>
          <w:p>
            <w:pPr>
              <w:spacing w:after="0" w:line="252" w:lineRule="auto"/>
            </w:pPr>
            <w:r/>
            <w:r>
              <w:rPr>
                <w:rFonts w:ascii="Liberation Sans" w:hAnsi="Liberation Sans"/>
                <w:b/>
                <w:i w:val="0"/>
                <w:color w:val="12385B"/>
                <w:sz w:val="18"/>
              </w:rPr>
              <w:t xml:space="preserve">EDUCATIONAL USE AND OUTCOME NOTICE:  </w:t>
            </w:r>
            <w:r>
              <w:rPr>
                <w:rFonts w:ascii="Liberation Sans" w:hAnsi="Liberation Sans"/>
                <w:b w:val="0"/>
                <w:i w:val="0"/>
                <w:color w:val="1E2D38"/>
                <w:sz w:val="18"/>
              </w:rPr>
              <w:t>This file provides exam preparation only. It does not provide CE credit, legal advice, diagnosis, treatment, emergency services, supervision, or a substitute for current procedures and qualified consultation. Participation does not guarantee examination passage.</w:t>
            </w:r>
          </w:p>
        </w:tc>
      </w:tr>
    </w:tbl>
    <w:p>
      <w:pPr>
        <w:spacing w:after="40"/>
      </w:pPr>
    </w:p>
    <w:tbl>
      <w:tblPr>
        <w:tblW w:type="dxa" w:w="93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360"/>
      </w:tblGrid>
      <w:tr>
        <w:trPr>
          <w:cantSplit/>
          <w:tblHeader w:val="true"/>
        </w:trPr>
        <w:tc>
          <w:tcPr>
            <w:tcW w:type="dxa" w:w="93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ACCESS CONTROL:  </w:t>
            </w:r>
            <w:r>
              <w:rPr>
                <w:rFonts w:ascii="Liberation Sans" w:hAnsi="Liberation Sans"/>
                <w:b w:val="0"/>
                <w:i w:val="0"/>
                <w:color w:val="1E2D38"/>
                <w:sz w:val="18"/>
              </w:rPr>
              <w:t>Provide this controlled answer key only after the learner-facing attempt is complete. Store it separately from the candidate bank, limit distribution to authorized CTA personnel and approved instructors, and replace obsolete copies when a reviewed version is released.</w:t>
            </w:r>
          </w:p>
        </w:tc>
      </w:tr>
    </w:tbl>
    <w:p>
      <w:pPr>
        <w:spacing w:after="40"/>
      </w:pPr>
    </w:p>
    <w:tbl>
      <w:tblPr>
        <w:tblW w:type="dxa" w:w="93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2300"/>
        <w:gridCol w:w="7060"/>
      </w:tblGrid>
      <w:tr>
        <w:trPr>
          <w:cantSplit/>
          <w:tblHeader w:val="true"/>
        </w:trPr>
        <w:tc>
          <w:tcPr>
            <w:tcW w:type="dxa" w:w="230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Control field</w:t>
            </w:r>
          </w:p>
        </w:tc>
        <w:tc>
          <w:tcPr>
            <w:tcW w:type="dxa" w:w="706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Controlled value</w:t>
            </w:r>
          </w:p>
        </w:tc>
      </w:tr>
      <w:tr>
        <w:trPr>
          <w:cantSplit/>
        </w:trPr>
        <w:tc>
          <w:tcPr>
            <w:tcW w:type="dxa" w:w="23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Document</w:t>
            </w:r>
          </w:p>
        </w:tc>
        <w:tc>
          <w:tcPr>
            <w:tcW w:type="dxa" w:w="706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Workbook 12 Controlled Answer Key and Detailed Rationales</w:t>
            </w:r>
          </w:p>
        </w:tc>
      </w:tr>
      <w:tr>
        <w:trPr>
          <w:cantSplit/>
        </w:trPr>
        <w:tc>
          <w:tcPr>
            <w:tcW w:type="dxa" w:w="23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Version / source-control date</w:t>
            </w:r>
          </w:p>
        </w:tc>
        <w:tc>
          <w:tcPr>
            <w:tcW w:type="dxa" w:w="706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v1.0 / August 3, 2026</w:t>
            </w:r>
          </w:p>
        </w:tc>
      </w:tr>
      <w:tr>
        <w:trPr>
          <w:cantSplit/>
        </w:trPr>
        <w:tc>
          <w:tcPr>
            <w:tcW w:type="dxa" w:w="23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Release condition</w:t>
            </w:r>
          </w:p>
        </w:tc>
        <w:tc>
          <w:tcPr>
            <w:tcW w:type="dxa" w:w="706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Candidate attempt completed and recorded before access</w:t>
            </w:r>
          </w:p>
        </w:tc>
      </w:tr>
      <w:tr>
        <w:trPr>
          <w:cantSplit/>
        </w:trPr>
        <w:tc>
          <w:tcPr>
            <w:tcW w:type="dxa" w:w="23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Review trigger</w:t>
            </w:r>
          </w:p>
        </w:tc>
        <w:tc>
          <w:tcPr>
            <w:tcW w:type="dxa" w:w="706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Before redistribution and whenever governing examination, ethics, legal, privacy, security, teletherapy, technology, or AI controls change</w:t>
            </w:r>
          </w:p>
        </w:tc>
      </w:tr>
    </w:tbl>
    <w:p>
      <w:pPr>
        <w:spacing w:after="40"/>
      </w:pPr>
    </w:p>
    <w:p>
      <w:pPr>
        <w:keepNext w:val="0"/>
        <w:spacing w:before="0" w:after="100" w:line="252" w:lineRule="auto"/>
        <w:jc w:val="left"/>
      </w:pPr>
      <w:r>
        <w:rPr>
          <w:rFonts w:ascii="Liberation Sans" w:hAnsi="Liberation Sans"/>
          <w:b w:val="0"/>
          <w:i w:val="0"/>
          <w:color w:val="12385B"/>
          <w:sz w:val="18"/>
        </w:rPr>
        <w:t>Authorized by: ____________________________________    Date: ____________________</w:t>
      </w:r>
    </w:p>
    <w:p>
      <w:pPr>
        <w:keepNext w:val="0"/>
        <w:spacing w:before="0" w:after="100" w:line="252" w:lineRule="auto"/>
        <w:jc w:val="left"/>
      </w:pPr>
      <w:r>
        <w:rPr>
          <w:rFonts w:ascii="Liberation Sans" w:hAnsi="Liberation Sans"/>
          <w:b w:val="0"/>
          <w:i w:val="0"/>
          <w:color w:val="12385B"/>
          <w:sz w:val="18"/>
        </w:rPr>
        <w:t>Distribution record / location: ___________________________________________________</w:t>
      </w:r>
    </w:p>
    <w:p>
      <w:pPr>
        <w:keepNext w:val="0"/>
        <w:spacing w:before="0" w:after="0" w:line="252" w:lineRule="auto"/>
        <w:jc w:val="left"/>
      </w:pPr>
      <w:r>
        <w:rPr>
          <w:rFonts w:ascii="Liberation Sans" w:hAnsi="Liberation Sans"/>
          <w:b w:val="0"/>
          <w:i w:val="0"/>
          <w:color w:val="12385B"/>
          <w:sz w:val="18"/>
        </w:rPr>
        <w:t>Superseded copy removed or archived:  Yes / No / Not applicable</w:t>
      </w:r>
    </w:p>
    <w:sectPr w:rsidR="00FC693F" w:rsidRPr="0006063C" w:rsidSect="00034616">
      <w:headerReference w:type="default" r:id="rId9"/>
      <w:footerReference w:type="default" r:id="rId10"/>
      <w:headerReference w:type="even"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872"/>
        <w:sz w:val="16"/>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872"/>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27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D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12385B"/>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b/>
      <w:bCs/>
      <w:color w:val="13A6A6"/>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238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line="264" w:lineRule="auto"/>
    </w:pPr>
    <w:rPr>
      <w:rFonts w:asciiTheme="majorHAnsi" w:eastAsiaTheme="majorEastAsia" w:hAnsiTheme="majorHAnsi" w:cstheme="majorBidi" w:ascii="Calibri" w:hAnsi="Calibri"/>
      <w:b w:val="0"/>
      <w:i/>
      <w:iCs/>
      <w:color w:val="13A6A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amftrb.org/exam-info/" TargetMode="External"/><Relationship Id="rId15" Type="http://schemas.openxmlformats.org/officeDocument/2006/relationships/hyperlink" Target="https://amftrb.org/handbook-for-candidates/" TargetMode="External"/><Relationship Id="rId16" Type="http://schemas.openxmlformats.org/officeDocument/2006/relationships/hyperlink" Target="https://www.aamft.org/common/Uploaded%20files/Legal%20Ethics/AAMFT%20Code%20of%20Ethics.pdf" TargetMode="External"/><Relationship Id="rId17" Type="http://schemas.openxmlformats.org/officeDocument/2006/relationships/hyperlink" Target="https://www.hhs.gov/hipaa/for-professionals/special-topics/telehealth/index.html" TargetMode="External"/><Relationship Id="rId18" Type="http://schemas.openxmlformats.org/officeDocument/2006/relationships/hyperlink" Target="https://www.hhs.gov/hipaa/for-professionals/security/index.html" TargetMode="External"/><Relationship Id="rId19" Type="http://schemas.openxmlformats.org/officeDocument/2006/relationships/hyperlink" Target="https://www.ftc.gov/business-guidance/privacy-security/health-privacy" TargetMode="External"/><Relationship Id="rId20" Type="http://schemas.openxmlformats.org/officeDocument/2006/relationships/hyperlink" Target="https://www.nist.gov/itl/ai-risk-management-framework" TargetMode="External"/><Relationship Id="rId21" Type="http://schemas.openxmlformats.org/officeDocument/2006/relationships/hyperlink" Target="https://www.nist.gov/publications/artificial-intelligence-risk-management-framework-generative-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12 - Controlled Answer Key and Detailed Rationales</dc:title>
  <dc:subject>Controlled answer key, detailed option rationales, remediation, and source controls; no CE credit</dc:subject>
  <dc:creator>Clinical Training and Supervision Academy</dc:creator>
  <cp:keywords>LMFT, AMFTRB, Workbook 12, controlled answer key, rationales, ethics, law, technology, teletherapy, AI</cp:keywords>
  <dc:description>Release only after the learner completes and records the first timed attempt.</dc:description>
  <cp:lastModifiedBy/>
  <cp:revision>1</cp:revision>
  <dcterms:created xsi:type="dcterms:W3CDTF">2013-12-23T23:15:00Z</dcterms:created>
  <dcterms:modified xsi:type="dcterms:W3CDTF">2013-12-23T23:15:00Z</dcterms:modified>
  <cp:category/>
</cp:coreProperties>
</file>