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1 CONTROLLED ASSESSMENT</w:t>
      </w:r>
    </w:p>
    <w:p>
      <w:pPr>
        <w:spacing w:before="160" w:after="80" w:line="240" w:lineRule="auto"/>
        <w:jc w:val="center"/>
      </w:pPr>
      <w:r>
        <w:rPr>
          <w:rFonts w:ascii="Liberation Sans" w:hAnsi="Liberation Sans" w:eastAsia="Liberation Sans"/>
          <w:b/>
          <w:i w:val="0"/>
          <w:color w:val="18365B"/>
          <w:sz w:val="40"/>
        </w:rPr>
        <w:t>Answer Key and Detailed Rationales</w:t>
      </w:r>
    </w:p>
    <w:p>
      <w:pPr>
        <w:spacing w:before="40" w:after="280" w:line="240" w:lineRule="auto"/>
        <w:jc w:val="center"/>
      </w:pPr>
      <w:r>
        <w:rPr>
          <w:rFonts w:ascii="Liberation Sans" w:hAnsi="Liberation Sans" w:eastAsia="Liberation Sans"/>
          <w:b/>
          <w:i w:val="0"/>
          <w:color w:val="18365B"/>
          <w:sz w:val="25"/>
        </w:rPr>
        <w:t>17-Question Practice Bank</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CONTROLLED FORM | Release only after the candidate form has been completed</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Controlled Use and Scoring</w:t>
            </w:r>
          </w:p>
        </w:tc>
      </w:tr>
    </w:tbl>
    <w:tbl>
      <w:tblPr>
        <w:tblW w:type="auto" w:w="0"/>
        <w:jc w:val="center"/>
        <w:tblLook w:firstColumn="1" w:firstRow="1" w:lastColumn="0" w:lastRow="0" w:noHBand="0" w:noVBand="1" w:val="04A0"/>
      </w:tblPr>
      <w:tblGrid>
        <w:gridCol w:w="10454"/>
      </w:tblGrid>
      <w:tr>
        <w:tc>
          <w:tcPr>
            <w:tcW w:type="dxa" w:w="10454"/>
            <w:shd w:fill="FDEDEC"/>
            <w:tcBorders>
              <w:top w:val="single" w:sz="10" w:color="C95555"/>
              <w:left w:val="single" w:sz="10" w:color="C95555"/>
              <w:bottom w:val="single" w:sz="10" w:color="C95555"/>
              <w:right w:val="single" w:sz="10" w:color="C95555"/>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CONTROL  </w:t>
            </w:r>
            <w:r>
              <w:rPr>
                <w:rFonts w:ascii="Liberation Sans" w:hAnsi="Liberation Sans" w:eastAsia="Liberation Sans"/>
                <w:b w:val="0"/>
                <w:i w:val="0"/>
                <w:color w:val="1F2937"/>
                <w:sz w:val="19"/>
              </w:rPr>
              <w:t>This document contains answers, complete option-by-option rationales, item metadata, CTA exam strategies, and remediation rules. It should remain protected until the learner has finalized the candidate form.</w:t>
            </w:r>
          </w:p>
        </w:tc>
      </w:tr>
    </w:tbl>
    <w:tbl>
      <w:tblPr>
        <w:tblW w:type="auto" w:w="0"/>
        <w:jc w:val="center"/>
        <w:tblLayout w:type="fixed"/>
        <w:tblLook w:firstColumn="1" w:firstRow="1" w:lastColumn="0" w:lastRow="0" w:noHBand="0" w:noVBand="1" w:val="04A0"/>
      </w:tblPr>
      <w:tblGrid>
        <w:gridCol w:w="792"/>
        <w:gridCol w:w="792"/>
        <w:gridCol w:w="792"/>
        <w:gridCol w:w="792"/>
        <w:gridCol w:w="792"/>
        <w:gridCol w:w="792"/>
        <w:gridCol w:w="792"/>
        <w:gridCol w:w="792"/>
        <w:gridCol w:w="792"/>
      </w:tblGrid>
      <w:t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COMPACT ANSWER KEY</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2</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3</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4</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5</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6</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7</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8</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9</w:t>
              <w:br/>
              <w:t>A</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10</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11</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12</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13</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14</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15</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16</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17</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r>
          </w:p>
        </w:tc>
      </w:tr>
    </w:tbl>
    <w:p>
      <w:pPr>
        <w:pStyle w:val="Heading2"/>
      </w:pPr>
      <w:r>
        <w:t>Approved Bank Controls</w:t>
      </w:r>
    </w:p>
    <w:tbl>
      <w:tblPr>
        <w:tblW w:type="auto" w:w="0"/>
        <w:jc w:val="center"/>
        <w:tblLayout w:type="fixed"/>
        <w:tblLook w:firstColumn="1" w:firstRow="1" w:lastColumn="0" w:lastRow="0" w:noHBand="0" w:noVBand="1" w:val="04A0"/>
      </w:tblPr>
      <w:tblGrid>
        <w:gridCol w:w="2448"/>
        <w:gridCol w:w="7920"/>
      </w:tblGrid>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Total</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17 original one-best-answer items</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Difficulty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5 Easy | 7 Moderate | 5 Difficult</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Type</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3 Knowledge/Recall | 5 Application | 6 Scenario-Based | 3 Integrated Clinical Reasoning</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Primary domains</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D1: 7 | D2: 2 | D3: 2 | D4: 2 | D5: 1 | D6: 3</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Answer positions</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A: 5 | B: 4 | C: 4 | D: 4</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Time practice</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Suggested 23 minutes; 80-second average used flexibly</w:t>
            </w:r>
          </w:p>
        </w:tc>
      </w:tr>
    </w:tbl>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PRODUCTION ALIGNMENT NOTE  </w:t>
            </w:r>
            <w:r>
              <w:rPr>
                <w:rFonts w:ascii="Liberation Sans" w:hAnsi="Liberation Sans" w:eastAsia="Liberation Sans"/>
                <w:b w:val="0"/>
                <w:i w:val="0"/>
                <w:color w:val="1F2937"/>
                <w:sz w:val="19"/>
              </w:rPr>
              <w:t>The approved content map contained two one-line allocation mismatches between its bank-level totals and item-by-item labels. Final production follows the approved bank-level controls: Item 7 is classified as Application/Moderate, and Item 8 is D4 primary with D1 Task 01.07 as secondary alignment. No question concept or answer key was changed to make these classifications.</w:t>
            </w:r>
          </w:p>
        </w:tc>
      </w:tr>
    </w:tbl>
    <w:p>
      <w:pPr>
        <w:pStyle w:val="Heading2"/>
      </w:pPr>
      <w:r>
        <w:t>Score and Domain Reflection</w:t>
      </w:r>
    </w:p>
    <w:p>
      <w:pPr>
        <w:spacing w:before="0" w:after="0" w:line="240" w:lineRule="auto"/>
      </w:pPr>
      <w:r>
        <w:rPr>
          <w:rFonts w:ascii="Liberation Sans" w:hAnsi="Liberation Sans" w:eastAsia="Liberation Sans"/>
          <w:b w:val="0"/>
          <w:i w:val="0"/>
          <w:color w:val="1F2937"/>
          <w:sz w:val="18"/>
        </w:rPr>
        <w:t>CTA raw scores are not official passing scores. Use accuracy, confidence, time, and error codes together to identify the next study action.</w:t>
      </w:r>
    </w:p>
    <w:tbl>
      <w:tblPr>
        <w:tblW w:type="auto" w:w="0"/>
        <w:jc w:val="center"/>
        <w:tblLayout w:type="fixed"/>
        <w:tblLook w:firstColumn="1" w:firstRow="1" w:lastColumn="0" w:lastRow="0" w:noHBand="0" w:noVBand="1" w:val="04A0"/>
      </w:tblPr>
      <w:tblGrid>
        <w:gridCol w:w="1296"/>
        <w:gridCol w:w="4608"/>
        <w:gridCol w:w="2160"/>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Domain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Items</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Raw Result</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Q1-Q7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7</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D2</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Q9-Q10</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D3</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Q11, Q16</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Q8, Q13</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D5</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Q14</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D6</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Q12, Q15, Q17</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3</w:t>
            </w:r>
          </w:p>
        </w:tc>
      </w:tr>
    </w:tbl>
    <w:p>
      <w:pPr>
        <w:pStyle w:val="Heading3"/>
      </w:pPr>
      <w:r>
        <w:t>CTA Instructional Score Bands</w:t>
      </w:r>
    </w:p>
    <w:tbl>
      <w:tblPr>
        <w:tblW w:type="auto" w:w="0"/>
        <w:jc w:val="center"/>
        <w:tblLayout w:type="fixed"/>
        <w:tblLook w:firstColumn="1" w:firstRow="1" w:lastColumn="0" w:lastRow="0" w:noHBand="0" w:noVBand="1" w:val="04A0"/>
      </w:tblPr>
      <w:tblGrid>
        <w:gridCol w:w="1224"/>
        <w:gridCol w:w="2520"/>
        <w:gridCol w:w="6624"/>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Raw Score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Interpretation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Recommended Action</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15-17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Strong Workbook 1 foundation</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Review low-confidence correct answers and any high-confidence miss.</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12-14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Developing consistency</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Revisit the relevant SYSTEM/TRAP steps and redo missed items without the key.</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9-11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Important reasoning gaps</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Study by error code, complete the workbook cases again, and retake with a fresh answer record.</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0-8</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Foundation needs reinforcement</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Return to Workbook 1 in sequence and practice one tool at a time before another timed attempt.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 Correct Answer A</w:t>
            </w:r>
            <w:r>
              <w:br/>
            </w:r>
            <w:r>
              <w:rPr>
                <w:rFonts w:ascii="Liberation Sans" w:hAnsi="Liberation Sans" w:eastAsia="Liberation Sans"/>
                <w:b w:val="0"/>
                <w:i w:val="0"/>
                <w:color w:val="FFFFFF"/>
                <w:sz w:val="18"/>
              </w:rPr>
              <w:t>CTA-LMFT-AMFTRB-WB01-Q01</w:t>
            </w:r>
          </w:p>
        </w:tc>
      </w:tr>
    </w:tbl>
    <w:p>
      <w:pPr>
        <w:keepNext/>
        <w:spacing w:before="100" w:after="60" w:line="240" w:lineRule="auto"/>
      </w:pPr>
      <w:r>
        <w:rPr>
          <w:rFonts w:ascii="Liberation Sans" w:hAnsi="Liberation Sans" w:eastAsia="Liberation Sans"/>
          <w:b/>
          <w:i w:val="0"/>
          <w:color w:val="18365B"/>
          <w:sz w:val="20"/>
        </w:rPr>
        <w:t>Which statement accurately describes the current AMFTRB National Examination structure?</w:t>
      </w:r>
    </w:p>
    <w:p>
      <w:pPr>
        <w:spacing w:before="0" w:after="40" w:line="240" w:lineRule="auto"/>
        <w:ind w:left="216" w:hanging="216"/>
      </w:pPr>
      <w:r>
        <w:rPr>
          <w:rFonts w:ascii="Liberation Sans" w:hAnsi="Liberation Sans" w:eastAsia="Liberation Sans"/>
          <w:b/>
          <w:i w:val="0"/>
          <w:color w:val="1A9A96"/>
          <w:sz w:val="18"/>
        </w:rPr>
        <w:t xml:space="preserve">A. </w:t>
      </w:r>
      <w:r>
        <w:rPr>
          <w:rFonts w:ascii="Liberation Sans" w:hAnsi="Liberation Sans" w:eastAsia="Liberation Sans"/>
          <w:b w:val="0"/>
          <w:i w:val="0"/>
          <w:color w:val="1F2937"/>
          <w:sz w:val="18"/>
        </w:rPr>
        <w:t>The examination contains 180 multiple-choice items, each with four options and one correct answer; all items count, and candidates have four hours.</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The examination contains 180 items with five options each, includes unscored items, and allows three and one-half hours.</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The examination contains 150 items organized into three case simulations and allows three hours.</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The examination contains 200 items in a mixture of true-false and multiple-choice formats and allows five hours.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Current examination mechanics and national-exam orientation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None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TASK, PACE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current official structure is 180 objective multiple-choice items, four options per item, one correct answer, all items counted, and four hours of testing time.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examination uses four options, not five; the current official overview states that all 180 items count; and the time limit is four hours.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national examination is not a three-case simulation examination and does not use a 150-item, three-hour structure.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examination is not a 200-item mixed-format test and does not use true-false items.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Learn the mechanics accurately, then use most study time for applied systemic and clinical reasoning rather than logistics.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exam mechanics are tested, use the current official structure and do not import assumptions from another profession or a legacy state examination.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2: Correct Answer B</w:t>
            </w:r>
            <w:r>
              <w:br/>
            </w:r>
            <w:r>
              <w:rPr>
                <w:rFonts w:ascii="Liberation Sans" w:hAnsi="Liberation Sans" w:eastAsia="Liberation Sans"/>
                <w:b w:val="0"/>
                <w:i w:val="0"/>
                <w:color w:val="FFFFFF"/>
                <w:sz w:val="18"/>
              </w:rPr>
              <w:t>CTA-LMFT-AMFTRB-WB01-Q02</w:t>
            </w:r>
          </w:p>
        </w:tc>
      </w:tr>
    </w:tbl>
    <w:p>
      <w:pPr>
        <w:keepNext/>
        <w:spacing w:before="100" w:after="60" w:line="240" w:lineRule="auto"/>
      </w:pPr>
      <w:r>
        <w:rPr>
          <w:rFonts w:ascii="Liberation Sans" w:hAnsi="Liberation Sans" w:eastAsia="Liberation Sans"/>
          <w:b/>
          <w:i w:val="0"/>
          <w:color w:val="18365B"/>
          <w:sz w:val="20"/>
        </w:rPr>
        <w:t>A candidate has answered 68 items after 90 minutes. Using the Workbook 1 flexible pacing method, which interpretation is MOST accurate?</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The candidate is substantially behind because item 90 should be completed by 90 minutes.</w:t>
      </w:r>
    </w:p>
    <w:p>
      <w:pPr>
        <w:spacing w:before="0" w:after="40" w:line="240" w:lineRule="auto"/>
        <w:ind w:left="216" w:hanging="216"/>
      </w:pPr>
      <w:r>
        <w:rPr>
          <w:rFonts w:ascii="Liberation Sans" w:hAnsi="Liberation Sans" w:eastAsia="Liberation Sans"/>
          <w:b/>
          <w:i w:val="0"/>
          <w:color w:val="1A9A96"/>
          <w:sz w:val="18"/>
        </w:rPr>
        <w:t xml:space="preserve">B. </w:t>
      </w:r>
      <w:r>
        <w:rPr>
          <w:rFonts w:ascii="Liberation Sans" w:hAnsi="Liberation Sans" w:eastAsia="Liberation Sans"/>
          <w:b w:val="0"/>
          <w:i w:val="0"/>
          <w:color w:val="1F2937"/>
          <w:sz w:val="18"/>
        </w:rPr>
        <w:t>The candidate is approximately on pace because 90 minutes supports about 68 items at the 80-second average; the candidate should continue using broad checkpoints rather than forcing equal time on every item.</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The candidate is too far ahead and should intentionally spend two minutes on each remaining item.</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Pacing cannot be evaluated until the candidate reaches the 120-minute checkpoint.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Flexible pacing and checkpoint monitoring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PACE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Item 90 is the approximate 120-minute checkpoint, not the 90-minute target.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Ninety minutes equals 5,400 seconds; divided by the 80-second average, that is 67.5 items. The candidate is essentially on pace and should preserve flexible decision-making.</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Being on pace does not justify artificially slowing down or using the same amount of time on every item.</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Broad pacing can be checked at any point, even though the workbook emphasizes the 45/90/135/180 item checkpoints.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Treat 80 seconds as an average budget. Shorter items create time for complex vignettes, and the goal is completion with adequate reasoning quality.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Calculate pace from elapsed time and completed items; do not confuse the 60-, 120-, and 180-minute checkpoints.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3: Correct Answer C</w:t>
            </w:r>
            <w:r>
              <w:br/>
            </w:r>
            <w:r>
              <w:rPr>
                <w:rFonts w:ascii="Liberation Sans" w:hAnsi="Liberation Sans" w:eastAsia="Liberation Sans"/>
                <w:b w:val="0"/>
                <w:i w:val="0"/>
                <w:color w:val="FFFFFF"/>
                <w:sz w:val="18"/>
              </w:rPr>
              <w:t>CTA-LMFT-AMFTRB-WB01-Q03</w:t>
            </w:r>
          </w:p>
        </w:tc>
      </w:tr>
    </w:tbl>
    <w:p>
      <w:pPr>
        <w:keepNext/>
        <w:spacing w:before="100" w:after="60" w:line="240" w:lineRule="auto"/>
      </w:pPr>
      <w:r>
        <w:rPr>
          <w:rFonts w:ascii="Liberation Sans" w:hAnsi="Liberation Sans" w:eastAsia="Liberation Sans"/>
          <w:b/>
          <w:i w:val="0"/>
          <w:color w:val="18365B"/>
          <w:sz w:val="20"/>
        </w:rPr>
        <w:t>A vignette states that the therapist has already completed intake, clarified the client and treatment unit, and found no acute safety concern. The final question asks what the therapist should do FIRST. Before comparing the options, which step is most useful?</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Restart the case mentally and select the action that ordinarily occurs at intake.</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Choose the most comprehensive treatment option, regardless of what has already occurred.</w:t>
      </w:r>
    </w:p>
    <w:p>
      <w:pPr>
        <w:spacing w:before="0" w:after="40" w:line="240" w:lineRule="auto"/>
        <w:ind w:left="216" w:hanging="216"/>
      </w:pPr>
      <w:r>
        <w:rPr>
          <w:rFonts w:ascii="Liberation Sans" w:hAnsi="Liberation Sans" w:eastAsia="Liberation Sans"/>
          <w:b/>
          <w:i w:val="0"/>
          <w:color w:val="1A9A96"/>
          <w:sz w:val="18"/>
        </w:rPr>
        <w:t xml:space="preserve">C. </w:t>
      </w:r>
      <w:r>
        <w:rPr>
          <w:rFonts w:ascii="Liberation Sans" w:hAnsi="Liberation Sans" w:eastAsia="Liberation Sans"/>
          <w:b w:val="0"/>
          <w:i w:val="0"/>
          <w:color w:val="1F2937"/>
          <w:sz w:val="18"/>
        </w:rPr>
        <w:t>Mark the actions already completed and translate FIRST as the earliest unmet action required by the current facts.</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Treat FIRST and NEXT as interchangeable because both ask for an immediate response.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Qualifier translation and stage identification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TASK, STAGE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Repeating completed steps is a common stage error and ignores the vignette timeline.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broadest or most comprehensive option may be mistimed and may skip the current task.</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FIRST must be interpreted within the current stage of care. The candidate should identify what has already happened and then select the earliest necessary action that remains.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FIRST and NEXT can overlap, but FIRST emphasizes the earliest priority while NEXT emphasizes sequence after completed actions.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Before reading options, translate the decision word and mark completed steps so attractive answers do not pull you backward or too far ahead.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Rewrite the final task in one sentence and identify the earliest unmet action, not the earliest action in a generic treatment sequence.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4: Correct Answer D</w:t>
            </w:r>
            <w:r>
              <w:br/>
            </w:r>
            <w:r>
              <w:rPr>
                <w:rFonts w:ascii="Liberation Sans" w:hAnsi="Liberation Sans" w:eastAsia="Liberation Sans"/>
                <w:b w:val="0"/>
                <w:i w:val="0"/>
                <w:color w:val="FFFFFF"/>
                <w:sz w:val="18"/>
              </w:rPr>
              <w:t>CTA-LMFT-AMFTRB-WB01-Q04</w:t>
            </w:r>
          </w:p>
        </w:tc>
      </w:tr>
    </w:tbl>
    <w:p>
      <w:pPr>
        <w:keepNext/>
        <w:spacing w:before="100" w:after="60" w:line="240" w:lineRule="auto"/>
      </w:pPr>
      <w:r>
        <w:rPr>
          <w:rFonts w:ascii="Liberation Sans" w:hAnsi="Liberation Sans" w:eastAsia="Liberation Sans"/>
          <w:b/>
          <w:i w:val="0"/>
          <w:color w:val="18365B"/>
          <w:sz w:val="20"/>
        </w:rPr>
        <w:t>A 14-year-old increasingly refuses school. One caregiver responds with severe consequences, while the other repeatedly allows the adolescent to stay home to reduce distress. The adolescent reports anxiety and relief when attendance is avoided. Which formulation BEST integrates individual and systemic perspectives?</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The adolescent is defiant and is the primary cause of the family problem.</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The caregivers caused the anxiety, so the adolescent’s individual symptoms are not clinically important.</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An anxiety diagnosis fully explains the school refusal and makes the family interaction pattern secondary.</w:t>
      </w:r>
    </w:p>
    <w:p>
      <w:pPr>
        <w:spacing w:before="0" w:after="40" w:line="240" w:lineRule="auto"/>
        <w:ind w:left="216" w:hanging="216"/>
      </w:pPr>
      <w:r>
        <w:rPr>
          <w:rFonts w:ascii="Liberation Sans" w:hAnsi="Liberation Sans" w:eastAsia="Liberation Sans"/>
          <w:b/>
          <w:i w:val="0"/>
          <w:color w:val="1A9A96"/>
          <w:sz w:val="18"/>
        </w:rPr>
        <w:t xml:space="preserve">D. </w:t>
      </w:r>
      <w:r>
        <w:rPr>
          <w:rFonts w:ascii="Liberation Sans" w:hAnsi="Liberation Sans" w:eastAsia="Liberation Sans"/>
          <w:b w:val="0"/>
          <w:i w:val="0"/>
          <w:color w:val="1F2937"/>
          <w:sz w:val="18"/>
        </w:rPr>
        <w:t>The adolescent’s anxiety and avoidance, the caregivers’ alternating rescue and punishment, and the school context may reciprocally maintain the pattern; individual symptoms and relational responses both require assessment.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Integration of individual and systemic perspectives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SYSTEM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This is linear and blame-based and does not account for reciprocal interaction or context.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Systemic reasoning does not erase individual symptoms or make caregivers the sole cause.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Diagnosis can inform assessment but does not by itself explain the interactional sequence or environmental reinforcement.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This formulation includes individual experience, reciprocal caregiver responses, the function of avoidance, and the larger school context without reducing the case to one cause.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A strong systemic answer describes reciprocal influence and context while preserving individual symptoms, safety, development, and medical needs.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Replace one-person causation with a sequence: who responds to what, what function the response serves, and how the pattern is reinforced.</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5: Correct Answer A</w:t>
            </w:r>
            <w:r>
              <w:br/>
            </w:r>
            <w:r>
              <w:rPr>
                <w:rFonts w:ascii="Liberation Sans" w:hAnsi="Liberation Sans" w:eastAsia="Liberation Sans"/>
                <w:b w:val="0"/>
                <w:i w:val="0"/>
                <w:color w:val="FFFFFF"/>
                <w:sz w:val="18"/>
              </w:rPr>
              <w:t>CTA-LMFT-AMFTRB-WB01-Q05</w:t>
            </w:r>
          </w:p>
        </w:tc>
      </w:tr>
    </w:tbl>
    <w:p>
      <w:pPr>
        <w:keepNext/>
        <w:spacing w:before="100" w:after="60" w:line="240" w:lineRule="auto"/>
      </w:pPr>
      <w:r>
        <w:rPr>
          <w:rFonts w:ascii="Liberation Sans" w:hAnsi="Liberation Sans" w:eastAsia="Liberation Sans"/>
          <w:b/>
          <w:i w:val="0"/>
          <w:color w:val="18365B"/>
          <w:sz w:val="20"/>
        </w:rPr>
        <w:t>An interracial couple reports conflict about money. One partner sends regular financial support to relatives abroad and describes immigration stress and family obligations. The other partner says the therapist keeps describing the issue only as “poor boundaries.” What is the therapist’s PRIMARY clinical task?</w:t>
      </w:r>
    </w:p>
    <w:p>
      <w:pPr>
        <w:spacing w:before="0" w:after="40" w:line="240" w:lineRule="auto"/>
        <w:ind w:left="216" w:hanging="216"/>
      </w:pPr>
      <w:r>
        <w:rPr>
          <w:rFonts w:ascii="Liberation Sans" w:hAnsi="Liberation Sans" w:eastAsia="Liberation Sans"/>
          <w:b/>
          <w:i w:val="0"/>
          <w:color w:val="1A9A96"/>
          <w:sz w:val="18"/>
        </w:rPr>
        <w:t xml:space="preserve">A. </w:t>
      </w:r>
      <w:r>
        <w:rPr>
          <w:rFonts w:ascii="Liberation Sans" w:hAnsi="Liberation Sans" w:eastAsia="Liberation Sans"/>
          <w:b w:val="0"/>
          <w:i w:val="0"/>
          <w:color w:val="1F2937"/>
          <w:sz w:val="18"/>
        </w:rPr>
        <w:t>Explore the cultural meaning of financial obligations, immigration stress, power, and each partner’s perspective while examining the therapist’s own assumptions before pathologizing the pattern.</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Teach a standard boundary rule first because family financial support is usually evidence of enmeshment.</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Ask the partner who appears more acculturated to explain the appropriate cultural norm.</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Avoid cultural and social-context information so the therapist can remain neutral.</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Culture, power, social context, and therapist assumptions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ASSUME, SYSTEM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Culture, power, migration, family obligation, and the therapist’s framing are clinically relevant data. Exploring them supports a more accurate and collaborative formulation.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Applying a universal boundary rule before understanding meaning risks stereotyping and premature pathologizing.</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One partner should not be positioned as the authority for an entire culture, and “acculturation” should not be assumed from appearance or behavior.</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Ignoring context is not neutrality; it can reinforce unexamined power and reduce formulation accuracy.</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Treat culture and power as clinical information, not as an optional add-on or a shortcut to a stereotype.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culture is relevant, ask about meaning, context, power, and preference before labeling a pattern dysfunctional.</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6: Correct Answer B</w:t>
            </w:r>
            <w:r>
              <w:br/>
            </w:r>
            <w:r>
              <w:rPr>
                <w:rFonts w:ascii="Liberation Sans" w:hAnsi="Liberation Sans" w:eastAsia="Liberation Sans"/>
                <w:b w:val="0"/>
                <w:i w:val="0"/>
                <w:color w:val="FFFFFF"/>
                <w:sz w:val="18"/>
              </w:rPr>
              <w:t>CTA-LMFT-AMFTRB-WB01-Q06</w:t>
            </w:r>
          </w:p>
        </w:tc>
      </w:tr>
    </w:tbl>
    <w:p>
      <w:pPr>
        <w:keepNext/>
        <w:spacing w:before="100" w:after="60" w:line="240" w:lineRule="auto"/>
      </w:pPr>
      <w:r>
        <w:rPr>
          <w:rFonts w:ascii="Liberation Sans" w:hAnsi="Liberation Sans" w:eastAsia="Liberation Sans"/>
          <w:b/>
          <w:i w:val="0"/>
          <w:color w:val="18365B"/>
          <w:sz w:val="20"/>
        </w:rPr>
        <w:t>During a family session, one adult repeatedly mocks another family member’s speech disability and says, “No one should have to listen to you.” The targeted family member becomes silent and visibly distressed. What should the therapist do FIRST?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Allow the exchange to continue so the therapist can observe the family’s natural interaction pattern.</w:t>
      </w:r>
    </w:p>
    <w:p>
      <w:pPr>
        <w:spacing w:before="0" w:after="40" w:line="240" w:lineRule="auto"/>
        <w:ind w:left="216" w:hanging="216"/>
      </w:pPr>
      <w:r>
        <w:rPr>
          <w:rFonts w:ascii="Liberation Sans" w:hAnsi="Liberation Sans" w:eastAsia="Liberation Sans"/>
          <w:b/>
          <w:i w:val="0"/>
          <w:color w:val="1A9A96"/>
          <w:sz w:val="18"/>
        </w:rPr>
        <w:t xml:space="preserve">B. </w:t>
      </w:r>
      <w:r>
        <w:rPr>
          <w:rFonts w:ascii="Liberation Sans" w:hAnsi="Liberation Sans" w:eastAsia="Liberation Sans"/>
          <w:b w:val="0"/>
          <w:i w:val="0"/>
          <w:color w:val="1F2937"/>
          <w:sz w:val="18"/>
        </w:rPr>
        <w:t>Interrupt the demeaning interaction, assess its impact and any immediate safety concern, and reestablish conditions for respectful participation before returning to the family’s presenting problem.</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Ask the targeted family member to communicate more assertively so the family can move forward.</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Terminate family therapy immediately because any demeaning statement makes relational treatment impossible.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Emotional safety, inclusion, and therapeutic conditions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SAFETY, UNDER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Observation does not require allowing active humiliation or emotional harm to continue unchecked.</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therapist must protect the therapeutic environment, assess impact and safety, and establish boundaries that permit meaningful participation.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This places responsibility on the targeted person and does not address the active demeaning behavior or power dynamic.</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Immediate termination is an over-response unless safety, appropriateness, or treatment feasibility cannot be restored after assessment and intervention.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Systemic neutrality does not mean passivity. Protect participation and assess harm before returning to pattern exploration.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a session interaction threatens inclusion or emotional safety, interrupt, assess, set conditions, and then formulate the pattern.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7: Correct Answer C</w:t>
            </w:r>
            <w:r>
              <w:br/>
            </w:r>
            <w:r>
              <w:rPr>
                <w:rFonts w:ascii="Liberation Sans" w:hAnsi="Liberation Sans" w:eastAsia="Liberation Sans"/>
                <w:b w:val="0"/>
                <w:i w:val="0"/>
                <w:color w:val="FFFFFF"/>
                <w:sz w:val="18"/>
              </w:rPr>
              <w:t>CTA-LMFT-AMFTRB-WB01-Q07</w:t>
            </w:r>
          </w:p>
        </w:tc>
      </w:tr>
    </w:tbl>
    <w:p>
      <w:pPr>
        <w:keepNext/>
        <w:spacing w:before="100" w:after="60" w:line="240" w:lineRule="auto"/>
      </w:pPr>
      <w:r>
        <w:rPr>
          <w:rFonts w:ascii="Liberation Sans" w:hAnsi="Liberation Sans" w:eastAsia="Liberation Sans"/>
          <w:b/>
          <w:i w:val="0"/>
          <w:color w:val="18365B"/>
          <w:sz w:val="20"/>
        </w:rPr>
        <w:t>An adult seeks “family therapy” for longstanding conflict with two siblings, but both siblings decline to attend. The adult asks the therapist to “fix the whole family.” Which response BEST defines the client system and a feasible treatment unit?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Refuse to begin treatment until every sibling agrees to participate.</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Automatically designate all siblings as clients and contact them for collateral information.</w:t>
      </w:r>
    </w:p>
    <w:p>
      <w:pPr>
        <w:spacing w:before="0" w:after="40" w:line="240" w:lineRule="auto"/>
        <w:ind w:left="216" w:hanging="216"/>
      </w:pPr>
      <w:r>
        <w:rPr>
          <w:rFonts w:ascii="Liberation Sans" w:hAnsi="Liberation Sans" w:eastAsia="Liberation Sans"/>
          <w:b/>
          <w:i w:val="0"/>
          <w:color w:val="1A9A96"/>
          <w:sz w:val="18"/>
        </w:rPr>
        <w:t xml:space="preserve">C. </w:t>
      </w:r>
      <w:r>
        <w:rPr>
          <w:rFonts w:ascii="Liberation Sans" w:hAnsi="Liberation Sans" w:eastAsia="Liberation Sans"/>
          <w:b w:val="0"/>
          <w:i w:val="0"/>
          <w:color w:val="1F2937"/>
          <w:sz w:val="18"/>
        </w:rPr>
        <w:t>Clarify who will be the client, the goals, consent and confidentiality boundaries, and work systemically with the attending adult while assessing whether future involvement of others is appropriate and voluntary.</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Treat the attending adult only as an isolated identified patient and avoid discussing relational patterns because the siblings are absent.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Client-system and treatment-unit definition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TASK, ASSUME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Systemic work can occur with an individual when the treatment unit and limits are clearly defined; full-family attendance is not always required.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Absent relatives do not automatically become clients, and contacting them requires role, consent, and confidentiality analysis.</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therapist can define the actual client and feasible treatment unit, establish boundaries, and maintain a systemic lens without misrepresenting who is receiving treatment.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Individual attendance does not require abandoning relational and systemic formulation.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Identify who is actually receiving services, who holds rights and responsibilities, and what treatment unit is feasible before assuming that every person in the system is a client.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Separate “client system” from “everyone discussed in therapy.” Define the legal/clinical client and the workable treatment unit explicitly.</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8: Correct Answer D</w:t>
            </w:r>
            <w:r>
              <w:br/>
            </w:r>
            <w:r>
              <w:rPr>
                <w:rFonts w:ascii="Liberation Sans" w:hAnsi="Liberation Sans" w:eastAsia="Liberation Sans"/>
                <w:b w:val="0"/>
                <w:i w:val="0"/>
                <w:color w:val="FFFFFF"/>
                <w:sz w:val="18"/>
              </w:rPr>
              <w:t>CTA-LMFT-AMFTRB-WB01-Q08</w:t>
            </w:r>
          </w:p>
        </w:tc>
      </w:tr>
    </w:tbl>
    <w:p>
      <w:pPr>
        <w:keepNext/>
        <w:spacing w:before="100" w:after="60" w:line="240" w:lineRule="auto"/>
      </w:pPr>
      <w:r>
        <w:rPr>
          <w:rFonts w:ascii="Liberation Sans" w:hAnsi="Liberation Sans" w:eastAsia="Liberation Sans"/>
          <w:b/>
          <w:i w:val="0"/>
          <w:color w:val="18365B"/>
          <w:sz w:val="20"/>
        </w:rPr>
        <w:t>After a teenager’s panic symptoms improve, the parents begin arguing more intensely during sessions. The therapist feels strongly pulled to make the teenager the focus again because the parental conflict feels chaotic. What should the therapist do NEXT?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Label the parents resistant and redirect treatment to the teenager’s remaining symptoms.</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Conclude that therapy destabilized the family and terminate treatment before conflict increases.</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Ignore the therapist’s reaction because only observable client behavior is clinically relevant.</w:t>
      </w:r>
    </w:p>
    <w:p>
      <w:pPr>
        <w:spacing w:before="0" w:after="40" w:line="240" w:lineRule="auto"/>
        <w:ind w:left="216" w:hanging="216"/>
      </w:pPr>
      <w:r>
        <w:rPr>
          <w:rFonts w:ascii="Liberation Sans" w:hAnsi="Liberation Sans" w:eastAsia="Liberation Sans"/>
          <w:b/>
          <w:i w:val="0"/>
          <w:color w:val="1A9A96"/>
          <w:sz w:val="18"/>
        </w:rPr>
        <w:t xml:space="preserve">D. </w:t>
      </w:r>
      <w:r>
        <w:rPr>
          <w:rFonts w:ascii="Liberation Sans" w:hAnsi="Liberation Sans" w:eastAsia="Liberation Sans"/>
          <w:b w:val="0"/>
          <w:i w:val="0"/>
          <w:color w:val="1F2937"/>
          <w:sz w:val="18"/>
        </w:rPr>
        <w:t>Use the symptom shift and the therapist’s reaction as process data, assess safety and alliance, explore how the family equilibrium is changing, and obtain consultation if needed before revising the treatment focus.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D4 - Evaluating Ongoing Process and Terminating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04.01 primary; 01.07 secondary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Process evaluation, family equilibrium, and therapist reaction as data</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SYSTEM, STAGE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This blames the parents and may restore the identified-patient focus without evaluating the changing system.</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Increased conflict may require assessment and plan revision, but it does not automatically mean treatment caused harm or must end.</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Therapist reactions can provide useful information when examined responsibly; they should not be acted out or treated as objective truth.</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therapist should evaluate the changing pattern, safety, alliance, and treatment process while using self-awareness and consultation to guide any revision.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When symptoms shift, ask what changed in the treatment system. Outcome data and therapist reactions can reveal a new treatment task.</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Use progress and countertransference as data to assess, consult, and revise—not as proof that a family member is resistant or that the original identified patient must return to center stage.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9: Correct Answer A</w:t>
            </w:r>
            <w:r>
              <w:br/>
            </w:r>
            <w:r>
              <w:rPr>
                <w:rFonts w:ascii="Liberation Sans" w:hAnsi="Liberation Sans" w:eastAsia="Liberation Sans"/>
                <w:b w:val="0"/>
                <w:i w:val="0"/>
                <w:color w:val="FFFFFF"/>
                <w:sz w:val="18"/>
              </w:rPr>
              <w:t>CTA-LMFT-AMFTRB-WB01-Q09</w:t>
            </w:r>
          </w:p>
        </w:tc>
      </w:tr>
    </w:tbl>
    <w:p>
      <w:pPr>
        <w:keepNext/>
        <w:spacing w:before="100" w:after="60" w:line="240" w:lineRule="auto"/>
      </w:pPr>
      <w:r>
        <w:rPr>
          <w:rFonts w:ascii="Liberation Sans" w:hAnsi="Liberation Sans" w:eastAsia="Liberation Sans"/>
          <w:b/>
          <w:i w:val="0"/>
          <w:color w:val="18365B"/>
          <w:sz w:val="20"/>
        </w:rPr>
        <w:t>A couple reports a sudden decrease in one partner’s sexual interest after that partner began working night shifts and started a new medication. The therapist is considering a sexual dysfunction diagnosis. Which information is MOST important to obtain before reaching that conclusion?</w:t>
      </w:r>
    </w:p>
    <w:p>
      <w:pPr>
        <w:spacing w:before="0" w:after="40" w:line="240" w:lineRule="auto"/>
        <w:ind w:left="216" w:hanging="216"/>
      </w:pPr>
      <w:r>
        <w:rPr>
          <w:rFonts w:ascii="Liberation Sans" w:hAnsi="Liberation Sans" w:eastAsia="Liberation Sans"/>
          <w:b/>
          <w:i w:val="0"/>
          <w:color w:val="1A9A96"/>
          <w:sz w:val="18"/>
        </w:rPr>
        <w:t xml:space="preserve">A. </w:t>
      </w:r>
      <w:r>
        <w:rPr>
          <w:rFonts w:ascii="Liberation Sans" w:hAnsi="Liberation Sans" w:eastAsia="Liberation Sans"/>
          <w:b w:val="0"/>
          <w:i w:val="0"/>
          <w:color w:val="1F2937"/>
          <w:sz w:val="18"/>
        </w:rPr>
        <w:t>The onset and course of the change; medication and medical factors; sleep, mood, substance use, distress, relationship context, and the partner’s own meaning and goals.</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The other partner’s opinion about whether the change is intentional.</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Whether the couple is willing to schedule sexual activity immediately.</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Whether the therapist believes the partner remains attracted to the relationship.</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Missing data before diagnostic or systemic conclusions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ASSUME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change may involve medical, medication, sleep, mood, substance, relational, and contextual factors. A diagnosis requires sufficient information and clinically significant distress or impairment.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other partner’s perspective may be relevant, but it cannot establish intent or replace assessment of the affected partner and health factors.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Scheduling activity is an intervention and is premature before assessment and formulation.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therapist’s belief is not evidence and risks replacing client data with assumption.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When a new symptom appears, identify medical, medication, substance, sleep, developmental, cultural, and relational information that could change the conclusion.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Do not convert one relational complaint into a diagnosis. List the missing data that must be gathered first.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10: Correct Answer B</w:t>
            </w:r>
            <w:r>
              <w:br/>
            </w:r>
            <w:r>
              <w:rPr>
                <w:rFonts w:ascii="Liberation Sans" w:hAnsi="Liberation Sans" w:eastAsia="Liberation Sans"/>
                <w:b w:val="0"/>
                <w:i w:val="0"/>
                <w:color w:val="FFFFFF"/>
                <w:sz w:val="18"/>
              </w:rPr>
              <w:t>CTA-LMFT-AMFTRB-WB01-Q10</w:t>
            </w:r>
          </w:p>
        </w:tc>
      </w:tr>
    </w:tbl>
    <w:p>
      <w:pPr>
        <w:keepNext/>
        <w:spacing w:before="100" w:after="60" w:line="240" w:lineRule="auto"/>
      </w:pPr>
      <w:r>
        <w:rPr>
          <w:rFonts w:ascii="Liberation Sans" w:hAnsi="Liberation Sans" w:eastAsia="Liberation Sans"/>
          <w:b/>
          <w:i w:val="0"/>
          <w:color w:val="18365B"/>
          <w:sz w:val="20"/>
        </w:rPr>
        <w:t>In couple sessions, one partner seeks reassurance by criticizing and asking repeated questions. The other partner withdraws to avoid escalation. The withdrawal increases the first partner’s fear and criticism. Which hypothesis BEST fits the available data?</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The pursuing partner causes the problem because criticism always produces withdrawal.</w:t>
      </w:r>
    </w:p>
    <w:p>
      <w:pPr>
        <w:spacing w:before="0" w:after="40" w:line="240" w:lineRule="auto"/>
        <w:ind w:left="216" w:hanging="216"/>
      </w:pPr>
      <w:r>
        <w:rPr>
          <w:rFonts w:ascii="Liberation Sans" w:hAnsi="Liberation Sans" w:eastAsia="Liberation Sans"/>
          <w:b/>
          <w:i w:val="0"/>
          <w:color w:val="1A9A96"/>
          <w:sz w:val="18"/>
        </w:rPr>
        <w:t xml:space="preserve">B. </w:t>
      </w:r>
      <w:r>
        <w:rPr>
          <w:rFonts w:ascii="Liberation Sans" w:hAnsi="Liberation Sans" w:eastAsia="Liberation Sans"/>
          <w:b w:val="0"/>
          <w:i w:val="0"/>
          <w:color w:val="1F2937"/>
          <w:sz w:val="18"/>
        </w:rPr>
        <w:t>Each partner’s protective strategy cues the other partner’s feared response, creating a reciprocal pursue-withdraw cycle whose meanings and context should be tested collaboratively.</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The withdrawing partner likely has a personality disorder that fully explains the relationship pattern.</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The pattern is normal conflict and does not require further assessment or treatment planning.</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02.01/02.04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Reciprocal systemic hypothesis from interaction data</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SYSTEM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sequence is reciprocal; assigning sole causation to one partner oversimplifies the pattern.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hypothesis identifies circular influence, protective function, and the need to test meanings and context rather than treating the formulation as proven fact.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A diagnosis cannot be inferred from one interactional pattern, and diagnosis alone would not explain the reciprocal sequence.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Common patterns can still produce significant distress and may require assessment and intervention.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A systemic hypothesis is relational, contextual, and revisable. It describes a sequence without turning the sequence into blame.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Write the pattern as A responds to B, B responds to A, and both responses reinforce the cycle.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11: Correct Answer C</w:t>
            </w:r>
            <w:r>
              <w:br/>
            </w:r>
            <w:r>
              <w:rPr>
                <w:rFonts w:ascii="Liberation Sans" w:hAnsi="Liberation Sans" w:eastAsia="Liberation Sans"/>
                <w:b w:val="0"/>
                <w:i w:val="0"/>
                <w:color w:val="FFFFFF"/>
                <w:sz w:val="18"/>
              </w:rPr>
              <w:t>CTA-LMFT-AMFTRB-WB01-Q11</w:t>
            </w:r>
          </w:p>
        </w:tc>
      </w:tr>
    </w:tbl>
    <w:p>
      <w:pPr>
        <w:keepNext/>
        <w:spacing w:before="100" w:after="60" w:line="240" w:lineRule="auto"/>
      </w:pPr>
      <w:r>
        <w:rPr>
          <w:rFonts w:ascii="Liberation Sans" w:hAnsi="Liberation Sans" w:eastAsia="Liberation Sans"/>
          <w:b/>
          <w:i w:val="0"/>
          <w:color w:val="18365B"/>
          <w:sz w:val="20"/>
        </w:rPr>
        <w:t>Assessment indicates escalating couple conflict but no current violence or coercive control. Both partners agree that interrupting escalation is the first priority, but measurable goals and a treatment structure have not yet been established. What should the therapist do NEXT?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Begin the most advanced experiential intervention available to create rapid change.</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Select the therapist’s preferred goal and assign communication homework immediately.</w:t>
      </w:r>
    </w:p>
    <w:p>
      <w:pPr>
        <w:spacing w:before="0" w:after="40" w:line="240" w:lineRule="auto"/>
        <w:ind w:left="216" w:hanging="216"/>
      </w:pPr>
      <w:r>
        <w:rPr>
          <w:rFonts w:ascii="Liberation Sans" w:hAnsi="Liberation Sans" w:eastAsia="Liberation Sans"/>
          <w:b/>
          <w:i w:val="0"/>
          <w:color w:val="1A9A96"/>
          <w:sz w:val="18"/>
        </w:rPr>
        <w:t xml:space="preserve">C. </w:t>
      </w:r>
      <w:r>
        <w:rPr>
          <w:rFonts w:ascii="Liberation Sans" w:hAnsi="Liberation Sans" w:eastAsia="Liberation Sans"/>
          <w:b w:val="0"/>
          <w:i w:val="0"/>
          <w:color w:val="1F2937"/>
          <w:sz w:val="18"/>
        </w:rPr>
        <w:t>Collaboratively specify measurable goals, treatment roles and structure, indicators of progress, and the rationale for the proposed approach before selecting specific interventions.</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Postpone treatment planning until all symptoms and relational patterns have been fully resolved.</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03.03/03.10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Treatment-plan sequencing and intervention rationale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STAGE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A named or advanced technique is premature without an agreed plan, rationale, and fit assessment.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Treatment design should be collaborative and grounded in assessment, not in therapist preference alone.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next task is to translate assessment and shared priorities into a collaborative, measurable, and clinically justified treatment plan.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Treatment planning guides change; it is not something completed after the problem is already resolved.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Move from assessment to collaborative goals and a defensible plan before selecting the technique that best fits the task.</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assessment is adequate but goals and structure are missing, plan before intervening.</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12: Correct Answer D</w:t>
            </w:r>
            <w:r>
              <w:br/>
            </w:r>
            <w:r>
              <w:rPr>
                <w:rFonts w:ascii="Liberation Sans" w:hAnsi="Liberation Sans" w:eastAsia="Liberation Sans"/>
                <w:b w:val="0"/>
                <w:i w:val="0"/>
                <w:color w:val="FFFFFF"/>
                <w:sz w:val="18"/>
              </w:rPr>
              <w:t>CTA-LMFT-AMFTRB-WB01-Q12</w:t>
            </w:r>
          </w:p>
        </w:tc>
      </w:tr>
    </w:tbl>
    <w:p>
      <w:pPr>
        <w:keepNext/>
        <w:spacing w:before="100" w:after="60" w:line="240" w:lineRule="auto"/>
      </w:pPr>
      <w:r>
        <w:rPr>
          <w:rFonts w:ascii="Liberation Sans" w:hAnsi="Liberation Sans" w:eastAsia="Liberation Sans"/>
          <w:b/>
          <w:i w:val="0"/>
          <w:color w:val="18365B"/>
          <w:sz w:val="20"/>
        </w:rPr>
        <w:t>An agency policy states that every employer-sponsored client must receive a detailed progress report sent to the employer, even when the client has not signed a separate authorization. A client has not agreed to that disclosure. What should the therapist do FIRST?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Follow the agency policy because the employer is paying for the service.</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Send a brief summary without the diagnosis because a shorter report does not require authority.</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Ask the supervisor to send the report so the therapist is no longer responsible for the disclosure.</w:t>
      </w:r>
    </w:p>
    <w:p>
      <w:pPr>
        <w:spacing w:before="0" w:after="40" w:line="240" w:lineRule="auto"/>
        <w:ind w:left="216" w:hanging="216"/>
      </w:pPr>
      <w:r>
        <w:rPr>
          <w:rFonts w:ascii="Liberation Sans" w:hAnsi="Liberation Sans" w:eastAsia="Liberation Sans"/>
          <w:b/>
          <w:i w:val="0"/>
          <w:color w:val="1A9A96"/>
          <w:sz w:val="18"/>
        </w:rPr>
        <w:t xml:space="preserve">D. </w:t>
      </w:r>
      <w:r>
        <w:rPr>
          <w:rFonts w:ascii="Liberation Sans" w:hAnsi="Liberation Sans" w:eastAsia="Liberation Sans"/>
          <w:b w:val="0"/>
          <w:i w:val="0"/>
          <w:color w:val="1F2937"/>
          <w:sz w:val="18"/>
        </w:rPr>
        <w:t>Identify the controlling confidentiality, legal, ethical, contractual, and informed-consent requirements; raise the policy conflict; and avoid disclosure unless a valid basis and appropriate scope are established.</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Agency policy versus controlling confidentiality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TASK, SCOPE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Payment does not automatically eliminate confidentiality or create authority for a detailed disclosure.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Reducing the amount does not cure the absence of a valid basis for disclosure.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Delegating the act does not eliminate the therapist’s professional responsibility or resolve the underlying conflict.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A workplace policy cannot by itself override controlling law, ethics, informed consent, or confidentiality duties. The therapist should clarify authority and scope before any disclosure.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When policy conflicts with a higher standard, identify the controlling authority before acting and use consultation to clarify application—not to transfer responsibility.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Do not disclose first and research later. Verify authority, purpose, recipient, and minimum necessary scope.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13: Correct Answer A</w:t>
            </w:r>
            <w:r>
              <w:br/>
            </w:r>
            <w:r>
              <w:rPr>
                <w:rFonts w:ascii="Liberation Sans" w:hAnsi="Liberation Sans" w:eastAsia="Liberation Sans"/>
                <w:b w:val="0"/>
                <w:i w:val="0"/>
                <w:color w:val="FFFFFF"/>
                <w:sz w:val="18"/>
              </w:rPr>
              <w:t>CTA-LMFT-AMFTRB-WB01-Q13</w:t>
            </w:r>
          </w:p>
        </w:tc>
      </w:tr>
    </w:tbl>
    <w:p>
      <w:pPr>
        <w:keepNext/>
        <w:spacing w:before="100" w:after="60" w:line="240" w:lineRule="auto"/>
      </w:pPr>
      <w:r>
        <w:rPr>
          <w:rFonts w:ascii="Liberation Sans" w:hAnsi="Liberation Sans" w:eastAsia="Liberation Sans"/>
          <w:b/>
          <w:i w:val="0"/>
          <w:color w:val="18365B"/>
          <w:sz w:val="20"/>
        </w:rPr>
        <w:t>After eight sessions, a couple’s symptom scores show slight improvement, but one partner reports feeling misunderstood by the therapist. Attendance has been inconsistent because of childcare problems. The therapist is considering switching immediately to a more confrontational method. What should the therapist do NEXT?</w:t>
      </w:r>
    </w:p>
    <w:p>
      <w:pPr>
        <w:spacing w:before="0" w:after="40" w:line="240" w:lineRule="auto"/>
        <w:ind w:left="216" w:hanging="216"/>
      </w:pPr>
      <w:r>
        <w:rPr>
          <w:rFonts w:ascii="Liberation Sans" w:hAnsi="Liberation Sans" w:eastAsia="Liberation Sans"/>
          <w:b/>
          <w:i w:val="0"/>
          <w:color w:val="1A9A96"/>
          <w:sz w:val="18"/>
        </w:rPr>
        <w:t xml:space="preserve">A. </w:t>
      </w:r>
      <w:r>
        <w:rPr>
          <w:rFonts w:ascii="Liberation Sans" w:hAnsi="Liberation Sans" w:eastAsia="Liberation Sans"/>
          <w:b w:val="0"/>
          <w:i w:val="0"/>
          <w:color w:val="1F2937"/>
          <w:sz w:val="18"/>
        </w:rPr>
        <w:t>Review outcome, alliance, functioning, safety, implementation, and access data with the couple; address the rupture and barriers; revisit the formulation and goals; and then decide whether to revise, intensify, refer, or continue.</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Switch methods immediately because any incomplete improvement proves the current approach has failed.</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Continue the current plan unchanged because the symptom scores improved at least slightly.</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Terminate treatment for noncompliance because inconsistent attendance prevents meaningful work.</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D4 - Evaluating Ongoing Process and Terminating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04.02/04.03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Outcome, alliance, functioning, access, and plan revision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STAGE, UNDER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data are mixed and point to alliance and access concerns. The therapist should evaluate the treatment process collaboratively before choosing a revision or disposition.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Immediate intensification skips assessment of alliance, barriers, functioning, and the reasons for partial response.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Slight score improvement does not justify ignoring the reported rupture and implementation problems.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Labeling attendance as noncompliance overlooks access barriers and bypasses repair, accommodation, and continuity planning.</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Nonresponse is not one fact. Compare outcome, alliance, safety, functioning, access, implementation, and formulation before revising treatment.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progress data conflict, gather and integrate the full treatment-process picture before changing intensity, model, or provider.</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14: Correct Answer B</w:t>
            </w:r>
            <w:r>
              <w:br/>
            </w:r>
            <w:r>
              <w:rPr>
                <w:rFonts w:ascii="Liberation Sans" w:hAnsi="Liberation Sans" w:eastAsia="Liberation Sans"/>
                <w:b w:val="0"/>
                <w:i w:val="0"/>
                <w:color w:val="FFFFFF"/>
                <w:sz w:val="18"/>
              </w:rPr>
              <w:t>CTA-LMFT-AMFTRB-WB01-Q14</w:t>
            </w:r>
          </w:p>
        </w:tc>
      </w:tr>
    </w:tbl>
    <w:p>
      <w:pPr>
        <w:keepNext/>
        <w:spacing w:before="100" w:after="60" w:line="240" w:lineRule="auto"/>
      </w:pPr>
      <w:r>
        <w:rPr>
          <w:rFonts w:ascii="Liberation Sans" w:hAnsi="Liberation Sans" w:eastAsia="Liberation Sans"/>
          <w:b/>
          <w:i w:val="0"/>
          <w:color w:val="18365B"/>
          <w:sz w:val="20"/>
        </w:rPr>
        <w:t>During a conjoint session, one partner says, “I bought a handgun yesterday. Soon none of this will matter.” The other partner reports that the client recently gave away valued possessions. What should the therapist do FIRST?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Ask the partner to monitor the client at home and continue the couple session.</w:t>
      </w:r>
    </w:p>
    <w:p>
      <w:pPr>
        <w:spacing w:before="0" w:after="40" w:line="240" w:lineRule="auto"/>
        <w:ind w:left="216" w:hanging="216"/>
      </w:pPr>
      <w:r>
        <w:rPr>
          <w:rFonts w:ascii="Liberation Sans" w:hAnsi="Liberation Sans" w:eastAsia="Liberation Sans"/>
          <w:b/>
          <w:i w:val="0"/>
          <w:color w:val="1A9A96"/>
          <w:sz w:val="18"/>
        </w:rPr>
        <w:t xml:space="preserve">B. </w:t>
      </w:r>
      <w:r>
        <w:rPr>
          <w:rFonts w:ascii="Liberation Sans" w:hAnsi="Liberation Sans" w:eastAsia="Liberation Sans"/>
          <w:b w:val="0"/>
          <w:i w:val="0"/>
          <w:color w:val="1F2937"/>
          <w:sz w:val="18"/>
        </w:rPr>
        <w:t>Conduct a direct suicide-risk assessment, including ideation, plan, intent, access to the firearm, recent behavior, protective factors, and immediate safety needs, and use the findings to determine the level of care and next protective steps.</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Call law enforcement automatically without asking additional questions.</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Interpret the statement as a relationship protest and explore the couple’s communication cycle.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D5 - Managing Crisis Situations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05.02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Direct suicide-risk assessment and level-of-care sequencing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SAFETY, OVER, UNDER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information supports an immediate professional risk assessment; informal partner monitoring cannot substitute for that assessment.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Lethal-means access, escape language, and giving away possessions require direct assessment and rapid determination of safety and level of care.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Emergency intervention may become necessary, but automatic escalation without assessment can be premature unless the situation itself makes assessment impossible or immediate action is required.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Relational meaning may be explored later, but it cannot replace direct assessment of a potentially lethal risk.</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When supported suicide indicators and lethal means appear, move from inference to direct assessment before returning to routine relational work.</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Match action to assessed acuity: do not minimize supported danger, and do not choose an irreversible emergency response without evaluating the facts when assessment is possible.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15: Correct Answer C</w:t>
            </w:r>
            <w:r>
              <w:br/>
            </w:r>
            <w:r>
              <w:rPr>
                <w:rFonts w:ascii="Liberation Sans" w:hAnsi="Liberation Sans" w:eastAsia="Liberation Sans"/>
                <w:b w:val="0"/>
                <w:i w:val="0"/>
                <w:color w:val="FFFFFF"/>
                <w:sz w:val="18"/>
              </w:rPr>
              <w:t>CTA-LMFT-AMFTRB-WB01-Q15</w:t>
            </w:r>
          </w:p>
        </w:tc>
      </w:tr>
    </w:tbl>
    <w:p>
      <w:pPr>
        <w:keepNext/>
        <w:spacing w:before="100" w:after="60" w:line="240" w:lineRule="auto"/>
      </w:pPr>
      <w:r>
        <w:rPr>
          <w:rFonts w:ascii="Liberation Sans" w:hAnsi="Liberation Sans" w:eastAsia="Liberation Sans"/>
          <w:b/>
          <w:i w:val="0"/>
          <w:color w:val="18365B"/>
          <w:sz w:val="20"/>
        </w:rPr>
        <w:t>In family therapy, a 17-year-old has slept about two hours per night for several days, is unusually energized and impulsive, and began these changes soon after an antidepressant dose increase. The parent asks the therapist to decide whether the medication should be stopped. Which response is BEST?</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Tell the parent to stop the medication immediately because the timing suggests an adverse effect.</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Continue the family session and focus on household boundaries because medication decisions are outside the therapist’s role.</w:t>
      </w:r>
    </w:p>
    <w:p>
      <w:pPr>
        <w:spacing w:before="0" w:after="40" w:line="240" w:lineRule="auto"/>
        <w:ind w:left="216" w:hanging="216"/>
      </w:pPr>
      <w:r>
        <w:rPr>
          <w:rFonts w:ascii="Liberation Sans" w:hAnsi="Liberation Sans" w:eastAsia="Liberation Sans"/>
          <w:b/>
          <w:i w:val="0"/>
          <w:color w:val="1A9A96"/>
          <w:sz w:val="18"/>
        </w:rPr>
        <w:t xml:space="preserve">C. </w:t>
      </w:r>
      <w:r>
        <w:rPr>
          <w:rFonts w:ascii="Liberation Sans" w:hAnsi="Liberation Sans" w:eastAsia="Liberation Sans"/>
          <w:b w:val="0"/>
          <w:i w:val="0"/>
          <w:color w:val="1F2937"/>
          <w:sz w:val="18"/>
        </w:rPr>
        <w:t>Assess acute safety, impairment, and medical urgency; facilitate prompt evaluation by the prescriber or another appropriate medical professional; coordinate within authorization and setting requirements; and avoid directing the medication change.</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Diagnose bipolar disorder and advise the prescriber that the medication should be permanently discontinued.</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06.05/06.12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Medication-related change, safety, scope, consultation, and coordination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SCOPE, SAFETY</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situation requires urgent medical evaluation, but directing medication discontinuation exceeds the therapist’s role and may create additional risk.</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Scope limits do not justify ignoring a potentially serious health and safety change.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therapist should assess immediate risk and functioning, support urgent medical/prescriber evaluation, coordinate appropriately, and remain within professional scope.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The available facts do not establish a definitive diagnosis, and the therapist should not direct a permanent medication decision.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Protect health before routine therapy, coordinate with the appropriate professional, and stay within the MFT role.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medication and acute behavioral change intersect, assess urgency, facilitate medical evaluation, communicate within authorization, and do not prescribe.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16: Correct Answer D</w:t>
            </w:r>
            <w:r>
              <w:br/>
            </w:r>
            <w:r>
              <w:rPr>
                <w:rFonts w:ascii="Liberation Sans" w:hAnsi="Liberation Sans" w:eastAsia="Liberation Sans"/>
                <w:b w:val="0"/>
                <w:i w:val="0"/>
                <w:color w:val="FFFFFF"/>
                <w:sz w:val="18"/>
              </w:rPr>
              <w:t>CTA-LMFT-AMFTRB-WB01-Q16</w:t>
            </w:r>
          </w:p>
        </w:tc>
      </w:tr>
    </w:tbl>
    <w:p>
      <w:pPr>
        <w:keepNext/>
        <w:spacing w:before="100" w:after="60" w:line="240" w:lineRule="auto"/>
      </w:pPr>
      <w:r>
        <w:rPr>
          <w:rFonts w:ascii="Liberation Sans" w:hAnsi="Liberation Sans" w:eastAsia="Liberation Sans"/>
          <w:b/>
          <w:i w:val="0"/>
          <w:color w:val="18365B"/>
          <w:sz w:val="20"/>
        </w:rPr>
        <w:t>A treatment manual recommends written cognitive-restructuring homework. A family with limited literacy, language differences, and high in-session arousal agrees with the treatment goal but repeatedly cannot use the worksheets. Which intervention decision BEST reflects sound treatment design?</w:t>
      </w:r>
    </w:p>
    <w:p>
      <w:pPr>
        <w:spacing w:before="0" w:after="40" w:line="240" w:lineRule="auto"/>
        <w:ind w:left="216" w:hanging="216"/>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Continue the same homework and add consequences for noncompletion so the intervention remains faithful to the manual.</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Abandon evidence-informed practice and let the family select any activity, whether or not it fits the formulation.</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Choose the most popular family-therapy technique available online because popularity indicates effectiveness.</w:t>
      </w:r>
    </w:p>
    <w:p>
      <w:pPr>
        <w:spacing w:before="0" w:after="40" w:line="240" w:lineRule="auto"/>
        <w:ind w:left="216" w:hanging="216"/>
      </w:pPr>
      <w:r>
        <w:rPr>
          <w:rFonts w:ascii="Liberation Sans" w:hAnsi="Liberation Sans" w:eastAsia="Liberation Sans"/>
          <w:b/>
          <w:i w:val="0"/>
          <w:color w:val="1A9A96"/>
          <w:sz w:val="18"/>
        </w:rPr>
        <w:t xml:space="preserve">D. </w:t>
      </w:r>
      <w:r>
        <w:rPr>
          <w:rFonts w:ascii="Liberation Sans" w:hAnsi="Liberation Sans" w:eastAsia="Liberation Sans"/>
          <w:b w:val="0"/>
          <w:i w:val="0"/>
          <w:color w:val="1F2937"/>
          <w:sz w:val="18"/>
        </w:rPr>
        <w:t>Select or adapt an evidence-informed intervention that remains consistent with the shared formulation, theory, goals, readiness, language, and access needs; explain the rationale and monitor the family’s response.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03.08/03.09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Theory-consistent, evidence-informed, accessible intervention selection and rationale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ASSUME, STAGE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Fidelity does not require ignoring accessibility and clinical fit; punitive consequences may worsen alliance and do not address the barrier.</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Collaboration matters, but treatment still requires professional reasoning, evidence, and a defensible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Popularity is not a substitute for theory, evidence, assessment, cultural fit, or accessibility.</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Effective treatment design integrates theory, evidence, client context, access, readiness, collaboration, and ongoing response monitoring.</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Choose the intervention that fits the formulation and client system—not the one that is most familiar, rigidly manualized, or fashionable.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When an intervention is inaccessible, adapt the delivery while preserving the change mechanism, rationale, and outcome monitoring.</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17: Correct Answer A</w:t>
            </w:r>
            <w:r>
              <w:br/>
            </w:r>
            <w:r>
              <w:rPr>
                <w:rFonts w:ascii="Liberation Sans" w:hAnsi="Liberation Sans" w:eastAsia="Liberation Sans"/>
                <w:b w:val="0"/>
                <w:i w:val="0"/>
                <w:color w:val="FFFFFF"/>
                <w:sz w:val="18"/>
              </w:rPr>
              <w:t>CTA-LMFT-AMFTRB-WB01-Q17</w:t>
            </w:r>
          </w:p>
        </w:tc>
      </w:tr>
    </w:tbl>
    <w:p>
      <w:pPr>
        <w:keepNext/>
        <w:spacing w:before="100" w:after="60" w:line="240" w:lineRule="auto"/>
      </w:pPr>
      <w:r>
        <w:rPr>
          <w:rFonts w:ascii="Liberation Sans" w:hAnsi="Liberation Sans" w:eastAsia="Liberation Sans"/>
          <w:b/>
          <w:i w:val="0"/>
          <w:color w:val="18365B"/>
          <w:sz w:val="20"/>
        </w:rPr>
        <w:t>A multigenerational immigrant family has made little progress. Sessions are frequently missed because of shift work and transportation problems. Family members say the therapist’s examples ignore their religious and community values. The therapist notices growing irritation and thinks the family is “not committed.” What should the therapist do NEXT?</w:t>
      </w:r>
    </w:p>
    <w:p>
      <w:pPr>
        <w:spacing w:before="0" w:after="40" w:line="240" w:lineRule="auto"/>
        <w:ind w:left="216" w:hanging="216"/>
      </w:pPr>
      <w:r>
        <w:rPr>
          <w:rFonts w:ascii="Liberation Sans" w:hAnsi="Liberation Sans" w:eastAsia="Liberation Sans"/>
          <w:b/>
          <w:i w:val="0"/>
          <w:color w:val="1A9A96"/>
          <w:sz w:val="18"/>
        </w:rPr>
        <w:t xml:space="preserve">A. </w:t>
      </w:r>
      <w:r>
        <w:rPr>
          <w:rFonts w:ascii="Liberation Sans" w:hAnsi="Liberation Sans" w:eastAsia="Liberation Sans"/>
          <w:b w:val="0"/>
          <w:i w:val="0"/>
          <w:color w:val="1F2937"/>
          <w:sz w:val="18"/>
        </w:rPr>
        <w:t>Address the alliance and access concerns with the family; explore cultural and community meanings; examine the therapist’s reaction and possible bias; review outcome, goals, and formulation; obtain consultation as needed; and collaboratively revise the plan and continuity supports.</w:t>
      </w:r>
    </w:p>
    <w:p>
      <w:pPr>
        <w:spacing w:before="0" w:after="40" w:line="240" w:lineRule="auto"/>
        <w:ind w:left="216" w:hanging="216"/>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Document resistance and warn the family that another missed appointment will end treatment.</w:t>
      </w:r>
    </w:p>
    <w:p>
      <w:pPr>
        <w:spacing w:before="0" w:after="40" w:line="240" w:lineRule="auto"/>
        <w:ind w:left="216" w:hanging="216"/>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Avoid discussing culture or access and focus only on symptom reduction to preserve clinical neutrality.</w:t>
      </w:r>
    </w:p>
    <w:p>
      <w:pPr>
        <w:spacing w:before="0" w:after="40" w:line="240" w:lineRule="auto"/>
        <w:ind w:left="216" w:hanging="216"/>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Transfer the family immediately to a therapist who appears to share their background without discussing goals, fit, consent, or continuity.</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CTA-LMFT-AMFTRB-WB01-Q17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06.06/06.12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area</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Nonresponse, culture, access, therapist reaction, consultation, and accountable plan revision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SYSTEM, ASSUME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 xml:space="preserve">CORRECT. </w:t>
            </w:r>
            <w:r>
              <w:rPr>
                <w:rFonts w:ascii="Liberation Sans" w:hAnsi="Liberation Sans" w:eastAsia="Liberation Sans"/>
                <w:b w:val="0"/>
                <w:i w:val="0"/>
                <w:color w:val="1F2937"/>
                <w:sz w:val="17"/>
              </w:rPr>
              <w:t>Correct. The scenario requires integrated attention to alliance, social context, access, therapist self-awareness, outcomes, consultation, formulation, and collaborative treatment revision.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This labels the family and treats structural barriers as motivation problems without attempting repair or accommodation.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Ignoring culture and access can perpetuate the treatment mismatch and does not constitute neutrality.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 xml:space="preserve">Not best. </w:t>
            </w:r>
            <w:r>
              <w:rPr>
                <w:rFonts w:ascii="Liberation Sans" w:hAnsi="Liberation Sans" w:eastAsia="Liberation Sans"/>
                <w:b w:val="0"/>
                <w:i w:val="0"/>
                <w:color w:val="1F2937"/>
                <w:sz w:val="17"/>
              </w:rPr>
              <w:t>Incorrect. Referral may eventually be appropriate, but immediate identity-based transfer is assumptive and bypasses collaboration, competence analysis, and continuity planning.</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CTA EXAM STRATEGY  </w:t>
            </w:r>
            <w:r>
              <w:rPr>
                <w:rFonts w:ascii="Liberation Sans" w:hAnsi="Liberation Sans" w:eastAsia="Liberation Sans"/>
                <w:b w:val="0"/>
                <w:i w:val="0"/>
                <w:color w:val="1F2937"/>
                <w:sz w:val="19"/>
              </w:rPr>
              <w:t>When treatment is not working, evaluate the whole treatment system—including access, culture, alliance, therapist reactions, and the plan—before blaming or transferring.</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TRANSFERABLE REPAIR RULE  </w:t>
            </w:r>
            <w:r>
              <w:rPr>
                <w:rFonts w:ascii="Liberation Sans" w:hAnsi="Liberation Sans" w:eastAsia="Liberation Sans"/>
                <w:b w:val="0"/>
                <w:i w:val="0"/>
                <w:color w:val="1F2937"/>
                <w:sz w:val="19"/>
              </w:rPr>
              <w:t>Replace “not committed” with specific data: What barriers, meanings, ruptures, and treatment-fit problems have not yet been assessed or repaired?</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Final Remediation Plan</w:t>
            </w:r>
          </w:p>
        </w:tc>
      </w:tr>
    </w:tbl>
    <w:tbl>
      <w:tblPr>
        <w:tblW w:type="auto" w:w="0"/>
        <w:jc w:val="center"/>
        <w:tblLayout w:type="fixed"/>
        <w:tblLook w:firstColumn="1" w:firstRow="1" w:lastColumn="0" w:lastRow="0" w:noHBand="0" w:noVBand="1" w:val="04A0"/>
      </w:tblPr>
      <w:tblGrid>
        <w:gridCol w:w="1080"/>
        <w:gridCol w:w="3600"/>
        <w:gridCol w:w="5688"/>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Code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Meaning</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Repair Rule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TASK</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Misread decision word or final question</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Rewrite the task in one sentence before comparing options.</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STAGE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Repeated or skipped a step</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Mark completed actions and identify the immediate unmet decision.</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SYSTEM</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Used linear blame or ignored reciprocal context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Describe the sequence, function, and context without erasing individual needs.</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SAFETY</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Missed acute risk or health urgency</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Assess supported danger and health change before routine psychotherapy.</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SCOPE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Selected an action outside the MFT role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Protect safety, consult or coordinate, and remain within professional scope.</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ASSUME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Added facts or made a premature conclusion</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Separate established evidence from missing information.</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OVER</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Selected a more intrusive response than the facts support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Choose the least premature response that adequately protects the client system.</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UNDER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Minimized a supported concern</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Match response intensity to the actual risk, impairment, or duty.</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PACE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Overinvested time or threatened completion</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checkpoints, make a best-supported choice, and complete every item.</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CHANGE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Changed an answer without evidence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Change only for a specific misread fact, qualifier, role rule, or clearer comparison.</w:t>
            </w:r>
          </w:p>
        </w:tc>
      </w:tr>
    </w:tbl>
    <w:p>
      <w:pPr>
        <w:pStyle w:val="Heading2"/>
      </w:pPr>
      <w:r>
        <w:t>My Workbook 1 Repair Plan</w:t>
      </w:r>
    </w:p>
    <w:tbl>
      <w:tblPr>
        <w:tblW w:type="auto" w:w="0"/>
        <w:jc w:val="center"/>
        <w:tblLayout w:type="fixed"/>
        <w:tblLook w:firstColumn="1" w:firstRow="1" w:lastColumn="0" w:lastRow="0" w:noHBand="0" w:noVBand="1" w:val="04A0"/>
      </w:tblPr>
      <w:tblGrid>
        <w:gridCol w:w="2088"/>
        <w:gridCol w:w="2952"/>
        <w:gridCol w:w="3240"/>
        <w:gridCol w:w="2088"/>
      </w:tblGrid>
      <w:tr>
        <w:trPr>
          <w:tblHeader w:val="true"/>
        </w:trPr>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Priority Skill</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Evidence from My Work</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Next Practice Action</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Date / Result</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READINESS GATE  </w:t>
            </w:r>
            <w:r>
              <w:rPr>
                <w:rFonts w:ascii="Liberation Sans" w:hAnsi="Liberation Sans" w:eastAsia="Liberation Sans"/>
                <w:b w:val="0"/>
                <w:i w:val="0"/>
                <w:color w:val="1F2937"/>
                <w:sz w:val="19"/>
              </w:rPr>
              <w:t>Proceed when you can translate qualifiers, identify the client system and stage, formulate reciprocal patterns, protect safety and scope, eliminate TRAP distractors, and explain your answer with a transferable rule—not merely a letter.</w:t>
            </w:r>
          </w:p>
        </w:tc>
      </w:tr>
    </w:tbl>
    <w:p>
      <w:pPr>
        <w:pStyle w:val="Heading2"/>
      </w:pPr>
      <w:r>
        <w:t>Source and Integrity Notes</w:t>
      </w:r>
    </w:p>
    <w:p>
      <w:pPr>
        <w:pStyle w:val="ListBullet"/>
        <w:spacing w:before="0" w:after="40" w:line="240" w:lineRule="auto"/>
      </w:pPr>
      <w:r>
        <w:rPr>
          <w:rFonts w:ascii="Liberation Sans" w:hAnsi="Liberation Sans" w:eastAsia="Liberation Sans"/>
          <w:b w:val="0"/>
          <w:i w:val="0"/>
          <w:color w:val="1F2937"/>
          <w:sz w:val="17"/>
        </w:rPr>
        <w:t>Association of Marital &amp; Family Therapy Regulatory Boards. 2026 Handbook for Candidates, corrected/revised April 30, 2026.</w:t>
      </w:r>
    </w:p>
    <w:p>
      <w:pPr>
        <w:pStyle w:val="ListBullet"/>
        <w:spacing w:before="0" w:after="40" w:line="240" w:lineRule="auto"/>
      </w:pPr>
      <w:r>
        <w:rPr>
          <w:rFonts w:ascii="Liberation Sans" w:hAnsi="Liberation Sans" w:eastAsia="Liberation Sans"/>
          <w:b w:val="0"/>
          <w:i w:val="0"/>
          <w:color w:val="1F2937"/>
          <w:sz w:val="17"/>
        </w:rPr>
        <w:t>Association of Marital &amp; Family Therapy Regulatory Boards. Detailed Overview of the Examination in Marital and Family Therapy, reviewed July 2026.</w:t>
      </w:r>
    </w:p>
    <w:p>
      <w:pPr>
        <w:pStyle w:val="ListBullet"/>
        <w:spacing w:before="0" w:after="40" w:line="240" w:lineRule="auto"/>
      </w:pPr>
      <w:r>
        <w:rPr>
          <w:rFonts w:ascii="Liberation Sans" w:hAnsi="Liberation Sans" w:eastAsia="Liberation Sans"/>
          <w:b w:val="0"/>
          <w:i w:val="0"/>
          <w:color w:val="1F2937"/>
          <w:sz w:val="17"/>
        </w:rPr>
        <w:t>Clinical Training &amp; Supervision Academy. CTA LMFT AMFTRB Workbook 1 Master Content Map and 17-Question Item Blueprint, Version 1.0, July 2026.</w:t>
      </w:r>
    </w:p>
    <w:p>
      <w:pPr>
        <w:pStyle w:val="ListBullet"/>
        <w:spacing w:before="0" w:after="40" w:line="240" w:lineRule="auto"/>
      </w:pPr>
      <w:r>
        <w:rPr>
          <w:rFonts w:ascii="Liberation Sans" w:hAnsi="Liberation Sans" w:eastAsia="Liberation Sans"/>
          <w:b w:val="0"/>
          <w:i w:val="0"/>
          <w:color w:val="1F2937"/>
          <w:sz w:val="17"/>
        </w:rPr>
        <w:t>Clinical Training &amp; Supervision Academy. CTA LMFT AMFTRB Workbook 1 Student Workbook, Version 1.0, July 2026.</w:t>
      </w:r>
    </w:p>
    <w:p>
      <w:pPr>
        <w:spacing w:before="100" w:after="0" w:line="240" w:lineRule="auto"/>
      </w:pPr>
      <w:r>
        <w:rPr>
          <w:rFonts w:ascii="Liberation Sans" w:hAnsi="Liberation Sans" w:eastAsia="Liberation Sans"/>
          <w:b w:val="0"/>
          <w:i/>
          <w:color w:val="667085"/>
          <w:sz w:val="17"/>
        </w:rPr>
        <w:t>Integrity notice: All items in this bank are original CTA educational questions. No official AMFTRB or third-party sample question is reproduced. This resource supports readiness but does not guarantee passage, determine eligibility, or represent an official AMFTRB score.</w:t>
      </w:r>
    </w:p>
    <w:sectPr w:rsidR="00FC693F" w:rsidRPr="0006063C" w:rsidSect="00034616">
      <w:headerReference w:type="default" r:id="rId9"/>
      <w:footerReference w:type="default" r:id="rId10"/>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WB1 Rationales v1.0 | Page </w:t>
    </w:r>
    <w:r>
      <w:rPr>
        <w:rFonts w:ascii="Liberation Sans" w:hAnsi="Liberation Sans"/>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r>
          <w:r>
            <w:br/>
          </w:r>
          <w:r>
            <w:rPr>
              <w:rFonts w:ascii="Liberation Sans" w:hAnsi="Liberation Sans" w:eastAsia="Liberation Sans"/>
              <w:b w:val="0"/>
              <w:i w:val="0"/>
              <w:color w:val="18365B"/>
              <w:sz w:val="16"/>
            </w:rPr>
            <w:t>Workbook 1 - Controlled Answer Key and Detailed Rationales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 Answer Key and Detailed Rationales</dc:title>
  <dc:subject>Controlled rationale form</dc:subject>
  <dc:creator>Clinical Training &amp; Supervision Academy</dc:creator>
  <cp:keywords>CTA, LMFT, AMFTRB, exam preparation, Workbook 1</cp:keywords>
  <dc:description>Original CTA exam-preparation material. No CE credit.</dc:description>
  <cp:lastModifiedBy/>
  <cp:revision>1</cp:revision>
  <dcterms:created xsi:type="dcterms:W3CDTF">2013-12-23T23:15:00Z</dcterms:created>
  <dcterms:modified xsi:type="dcterms:W3CDTF">2013-12-23T23:15:00Z</dcterms:modified>
  <cp:category/>
</cp:coreProperties>
</file>