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2 CONTROLLED ASSESSMENT</w:t>
      </w:r>
    </w:p>
    <w:p>
      <w:pPr>
        <w:spacing w:before="160" w:after="80" w:line="240" w:lineRule="auto"/>
        <w:jc w:val="center"/>
      </w:pPr>
      <w:r>
        <w:rPr>
          <w:rFonts w:ascii="Liberation Sans" w:hAnsi="Liberation Sans" w:eastAsia="Liberation Sans"/>
          <w:b/>
          <w:i w:val="0"/>
          <w:color w:val="18365B"/>
          <w:sz w:val="40"/>
        </w:rPr>
        <w:t>Answer Key and Detailed Rationales</w:t>
      </w:r>
    </w:p>
    <w:p>
      <w:pPr>
        <w:spacing w:before="40" w:after="280" w:line="240" w:lineRule="auto"/>
        <w:jc w:val="center"/>
      </w:pPr>
      <w:r>
        <w:rPr>
          <w:rFonts w:ascii="Liberation Sans" w:hAnsi="Liberation Sans" w:eastAsia="Liberation Sans"/>
          <w:b/>
          <w:i w:val="0"/>
          <w:color w:val="18365B"/>
          <w:sz w:val="25"/>
        </w:rPr>
        <w:t>17-Question Practice Bank</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CONTROLLED FORM | Release only after the candidate form has been completed</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Controlled Use and Scoring</w:t>
            </w:r>
          </w:p>
        </w:tc>
      </w:tr>
    </w:tbl>
    <w:tbl>
      <w:tblPr>
        <w:tblW w:type="auto" w:w="0"/>
        <w:jc w:val="center"/>
        <w:tblLook w:firstColumn="1" w:firstRow="1" w:lastColumn="0" w:lastRow="0" w:noHBand="0" w:noVBand="1" w:val="04A0"/>
      </w:tblPr>
      <w:tblGrid>
        <w:gridCol w:w="10454"/>
      </w:tblGrid>
      <w:tr>
        <w:tc>
          <w:tcPr>
            <w:tcW w:type="dxa" w:w="10454"/>
            <w:shd w:fill="FDEDEC"/>
            <w:tcBorders>
              <w:top w:val="single" w:sz="10" w:color="C95555"/>
              <w:left w:val="single" w:sz="10" w:color="C95555"/>
              <w:bottom w:val="single" w:sz="10" w:color="C95555"/>
              <w:right w:val="single" w:sz="10" w:color="C95555"/>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CONTROL  </w:t>
            </w:r>
            <w:r>
              <w:rPr>
                <w:rFonts w:ascii="Liberation Sans" w:hAnsi="Liberation Sans" w:eastAsia="Liberation Sans"/>
                <w:b w:val="0"/>
                <w:i w:val="0"/>
                <w:color w:val="1F2937"/>
                <w:sz w:val="19"/>
              </w:rPr>
              <w:t>This document contains answers, complete option-by-option rationales, item metadata, CTA exam strategies, and remediation rules. It should remain protected until the learner has finalized the candidate form.</w:t>
            </w:r>
          </w:p>
        </w:tc>
      </w:tr>
    </w:tbl>
    <w:tbl>
      <w:tblPr>
        <w:tblW w:type="auto" w:w="0"/>
        <w:jc w:val="center"/>
        <w:tblLayout w:type="fixed"/>
        <w:tblLook w:firstColumn="1" w:firstRow="1" w:lastColumn="0" w:lastRow="0" w:noHBand="0" w:noVBand="1" w:val="04A0"/>
      </w:tblPr>
      <w:tblGrid>
        <w:gridCol w:w="792"/>
        <w:gridCol w:w="792"/>
        <w:gridCol w:w="792"/>
        <w:gridCol w:w="792"/>
        <w:gridCol w:w="792"/>
        <w:gridCol w:w="792"/>
        <w:gridCol w:w="792"/>
        <w:gridCol w:w="792"/>
        <w:gridCol w:w="792"/>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COMPACT ANSWER KEY</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2</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3</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4</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5</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6</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7</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8</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9</w:t>
              <w:br/>
              <w:t>A</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10</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11</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12</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13</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14</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15</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16</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17</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r>
          </w:p>
        </w:tc>
      </w:tr>
    </w:tbl>
    <w:p>
      <w:pPr>
        <w:pStyle w:val="Heading2"/>
      </w:pPr>
      <w:r>
        <w:t>Approved Bank Controls</w:t>
      </w:r>
    </w:p>
    <w:tbl>
      <w:tblPr>
        <w:tblW w:type="auto" w:w="0"/>
        <w:jc w:val="center"/>
        <w:tblLayout w:type="fixed"/>
        <w:tblLook w:firstColumn="1" w:firstRow="1" w:lastColumn="0" w:lastRow="0" w:noHBand="0" w:noVBand="1" w:val="04A0"/>
      </w:tblPr>
      <w:tblGrid>
        <w:gridCol w:w="2448"/>
        <w:gridCol w:w="7920"/>
      </w:tblGrid>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Total</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17 original one-best-answer items</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Difficulty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5 Easy | 7 Moderate | 5 Difficult</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Type</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3 Knowledge/Recall | 5 Application | 6 Scenario-Based | 3 Integrated Clinical Reasoning</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Primary domains</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D1: 10 | D6: 4 | D3: 2 | D4: 1</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Answer positions</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A: 5 | B: 4 | C: 4 | D: 4</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Time practice</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Suggested 23 minutes; 80-second average used flexibly</w:t>
            </w:r>
          </w:p>
        </w:tc>
      </w:tr>
    </w:tbl>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PRODUCTION ALIGNMENT NOTE  The final bank matches the approved Workbook 2 item-by-item blueprint: 5 Easy, 7 Moderate, 5 Difficult; 3 Knowledge, 5 Application, 6 Scenario-Based, and 3 Integrated items; D1=10, D6=4, D3=2, D4=1; A=5, B=4, C=4, D=4.</w:t>
            </w:r>
          </w:p>
        </w:tc>
      </w:tr>
    </w:tbl>
    <w:p>
      <w:pPr>
        <w:pStyle w:val="Heading2"/>
      </w:pPr>
      <w:r>
        <w:t>Score and Domain Reflection</w:t>
      </w:r>
    </w:p>
    <w:p>
      <w:pPr>
        <w:spacing w:before="0" w:after="0" w:line="240" w:lineRule="auto"/>
      </w:pPr>
      <w:r>
        <w:rPr>
          <w:rFonts w:ascii="Liberation Sans" w:hAnsi="Liberation Sans" w:eastAsia="Liberation Sans"/>
          <w:b w:val="0"/>
          <w:i w:val="0"/>
          <w:color w:val="1F2937"/>
          <w:sz w:val="18"/>
        </w:rPr>
        <w:t>CTA raw scores are not official passing scores. Use accuracy, confidence, time, and error codes together to identify the next study action.</w:t>
      </w:r>
    </w:p>
    <w:tbl>
      <w:tblPr>
        <w:tblW w:type="auto" w:w="0"/>
        <w:jc w:val="center"/>
        <w:tblLayout w:type="fixed"/>
        <w:tblLook w:firstColumn="1" w:firstRow="1" w:lastColumn="0" w:lastRow="0" w:noHBand="0" w:noVBand="1" w:val="04A0"/>
      </w:tblPr>
      <w:tblGrid>
        <w:gridCol w:w="1296"/>
        <w:gridCol w:w="4608"/>
        <w:gridCol w:w="2160"/>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Domain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Items</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Raw Result</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Q1-Q4, Q6-Q8, Q10, Q13-Q14</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10</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D3</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Q11, Q17</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D4</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Q16</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D6</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Q5, Q9, Q12, Q15</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4</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Integrated note</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Several items reinforce secondary domains; score each item once under its primary domain.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Total</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Q1-Q17</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17</w:t>
            </w:r>
          </w:p>
        </w:tc>
      </w:tr>
    </w:tbl>
    <w:p>
      <w:pPr>
        <w:pStyle w:val="Heading3"/>
      </w:pPr>
      <w:r>
        <w:t>CTA Instructional Score Bands</w:t>
      </w:r>
    </w:p>
    <w:tbl>
      <w:tblPr>
        <w:tblW w:type="auto" w:w="0"/>
        <w:jc w:val="center"/>
        <w:tblLayout w:type="fixed"/>
        <w:tblLook w:firstColumn="1" w:firstRow="1" w:lastColumn="0" w:lastRow="0" w:noHBand="0" w:noVBand="1" w:val="04A0"/>
      </w:tblPr>
      <w:tblGrid>
        <w:gridCol w:w="1224"/>
        <w:gridCol w:w="2520"/>
        <w:gridCol w:w="6624"/>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Raw Score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Interpretation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Recommended Action</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15-17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Strong Workbook 2 foundation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Review low-confidence correct answers and any high-confidence miss; rehearse the applicable Workbook 2 tool.</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12-14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Developing consistency</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Revisit CIRCLE/ALLIANCE/SELF/REPAIR and redo missed items without the key.</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9-11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Important reasoning gaps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Study by Workbook 2 error code, repeat the relevant case or worksheet, and retake with a fresh answer record.</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0-8</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Foundation needs reinforcement</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Workbook 2 in sequence and practice one reasoning tool at a time before another timed attempt.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 Correct Answer A | CTA-LMFT-AMFTRB-WB02-Q01</w:t>
            </w:r>
          </w:p>
        </w:tc>
      </w:tr>
    </w:tbl>
    <w:p>
      <w:pPr>
        <w:keepNext/>
        <w:spacing w:before="100" w:after="60" w:line="240" w:lineRule="auto"/>
      </w:pPr>
      <w:r>
        <w:rPr>
          <w:rFonts w:ascii="Liberation Sans" w:hAnsi="Liberation Sans" w:eastAsia="Liberation Sans"/>
          <w:b/>
          <w:i w:val="0"/>
          <w:color w:val="18365B"/>
          <w:sz w:val="20"/>
        </w:rPr>
        <w:t>A family reports that 16-year-old Lena stays up gaming, misses school, and hides her phone. Her father checks the device repeatedly and threatens confiscation; Lena then becomes more secretive and stays awake later. Which formulation most clearly reflects a systemic perspective?</w:t>
      </w:r>
    </w:p>
    <w:p>
      <w:pPr>
        <w:spacing w:before="0" w:after="40" w:line="240" w:lineRule="auto"/>
        <w:ind w:left="216" w:hanging="216"/>
      </w:pPr>
      <w:r>
        <w:rPr>
          <w:rFonts w:ascii="Liberation Sans" w:hAnsi="Liberation Sans" w:eastAsia="Liberation Sans"/>
          <w:b/>
          <w:i w:val="0"/>
          <w:color w:val="1A9A96"/>
          <w:sz w:val="18"/>
        </w:rPr>
        <w:t>A. The father’s escalating monitoring and Lena’s secrecy may reciprocally reinforce one another within a larger pattern involving school stress, sleep, autonomy, and family fear.</w:t>
      </w:r>
    </w:p>
    <w:p>
      <w:pPr>
        <w:spacing w:before="0" w:after="40" w:line="240" w:lineRule="auto"/>
        <w:ind w:left="216" w:hanging="216"/>
      </w:pPr>
      <w:r>
        <w:rPr>
          <w:rFonts w:ascii="Liberation Sans" w:hAnsi="Liberation Sans" w:eastAsia="Liberation Sans"/>
          <w:b/>
          <w:i w:val="0"/>
          <w:color w:val="1F2937"/>
          <w:sz w:val="18"/>
        </w:rPr>
        <w:t>B. Lena’s gaming is the sole cause of the family conflict and should be treated before any relational pattern is considered.</w:t>
      </w:r>
    </w:p>
    <w:p>
      <w:pPr>
        <w:spacing w:before="0" w:after="40" w:line="240" w:lineRule="auto"/>
        <w:ind w:left="216" w:hanging="216"/>
      </w:pPr>
      <w:r>
        <w:rPr>
          <w:rFonts w:ascii="Liberation Sans" w:hAnsi="Liberation Sans" w:eastAsia="Liberation Sans"/>
          <w:b/>
          <w:i w:val="0"/>
          <w:color w:val="1F2937"/>
          <w:sz w:val="18"/>
        </w:rPr>
        <w:t>C. The father is responsible for the entire problem because parental control always produces adolescent defiance.</w:t>
      </w:r>
    </w:p>
    <w:p>
      <w:pPr>
        <w:spacing w:before="0" w:after="40" w:line="240" w:lineRule="auto"/>
        <w:ind w:left="216" w:hanging="216"/>
      </w:pPr>
      <w:r>
        <w:rPr>
          <w:rFonts w:ascii="Liberation Sans" w:hAnsi="Liberation Sans" w:eastAsia="Liberation Sans"/>
          <w:b/>
          <w:i w:val="0"/>
          <w:color w:val="1F2937"/>
          <w:sz w:val="18"/>
        </w:rPr>
        <w:t>D. Because the problem is systemic, individual sleep, mood, and school-functioning concerns should not be assessed.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WB2-LO1 | K1, K3, K7 - systemic foundations, reciprocal influence, and context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LINEAR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describes a reciprocal sequence and includes individual, relational, and contextual factors without assigning one person as the single cause.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This reduces a multidetermined pattern to one behavior and postpones clinically relevant relational assessment.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Replacing adolescent blame with parent blame remains linear and does not test the sequence or its meanings.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Systemic formulation expands assessment; it does not erase individual symptoms, health needs, development, or functioning.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Look for a revisable description of reciprocal influence. A systemic answer widens the field of view without turning everyone into an equal cause of harm or ignoring individual needs.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Write the pattern as a sequence: who responds to what, how the response changes the next move, and which contextual factors reinforce the cycle.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2: Correct Answer B | CTA-LMFT-AMFTRB-WB02-Q02</w:t>
            </w:r>
          </w:p>
        </w:tc>
      </w:tr>
    </w:tbl>
    <w:p>
      <w:pPr>
        <w:keepNext/>
        <w:spacing w:before="100" w:after="60" w:line="240" w:lineRule="auto"/>
      </w:pPr>
      <w:r>
        <w:rPr>
          <w:rFonts w:ascii="Liberation Sans" w:hAnsi="Liberation Sans" w:eastAsia="Liberation Sans"/>
          <w:b/>
          <w:i w:val="0"/>
          <w:color w:val="18365B"/>
          <w:sz w:val="20"/>
        </w:rPr>
        <w:t>A therapist hypothesizes that one partner withdraws when criticism is anticipated and that the withdrawal intensifies the other partner’s pursuit. Which therapist statement is BEST aligned with that hypothesis?</w:t>
      </w:r>
    </w:p>
    <w:p>
      <w:pPr>
        <w:spacing w:before="0" w:after="40" w:line="240" w:lineRule="auto"/>
        <w:ind w:left="216" w:hanging="216"/>
      </w:pPr>
      <w:r>
        <w:rPr>
          <w:rFonts w:ascii="Liberation Sans" w:hAnsi="Liberation Sans" w:eastAsia="Liberation Sans"/>
          <w:b/>
          <w:i w:val="0"/>
          <w:color w:val="1F2937"/>
          <w:sz w:val="18"/>
        </w:rPr>
        <w:t>A. “The withdrawing partner needs to accept responsibility for causing the conflict.”</w:t>
      </w:r>
    </w:p>
    <w:p>
      <w:pPr>
        <w:spacing w:before="0" w:after="40" w:line="240" w:lineRule="auto"/>
        <w:ind w:left="216" w:hanging="216"/>
      </w:pPr>
      <w:r>
        <w:rPr>
          <w:rFonts w:ascii="Liberation Sans" w:hAnsi="Liberation Sans" w:eastAsia="Liberation Sans"/>
          <w:b/>
          <w:i w:val="0"/>
          <w:color w:val="1A9A96"/>
          <w:sz w:val="18"/>
        </w:rPr>
        <w:t>B. “Let us slow down the sequence and examine what each of you notices, fears, and does just before pursuit and withdrawal increase.”</w:t>
      </w:r>
    </w:p>
    <w:p>
      <w:pPr>
        <w:spacing w:before="0" w:after="40" w:line="240" w:lineRule="auto"/>
        <w:ind w:left="216" w:hanging="216"/>
      </w:pPr>
      <w:r>
        <w:rPr>
          <w:rFonts w:ascii="Liberation Sans" w:hAnsi="Liberation Sans" w:eastAsia="Liberation Sans"/>
          <w:b/>
          <w:i w:val="0"/>
          <w:color w:val="1F2937"/>
          <w:sz w:val="18"/>
        </w:rPr>
        <w:t>C. “Because the pattern is circular, neither partner’s behavior has any impact on the relationship.”</w:t>
      </w:r>
    </w:p>
    <w:p>
      <w:pPr>
        <w:spacing w:before="0" w:after="40" w:line="240" w:lineRule="auto"/>
        <w:ind w:left="216" w:hanging="216"/>
      </w:pPr>
      <w:r>
        <w:rPr>
          <w:rFonts w:ascii="Liberation Sans" w:hAnsi="Liberation Sans" w:eastAsia="Liberation Sans"/>
          <w:b/>
          <w:i w:val="0"/>
          <w:color w:val="1F2937"/>
          <w:sz w:val="18"/>
        </w:rPr>
        <w:t>D. “We should avoid discussing the relationship until the pursuing partner’s symptoms are eliminated.”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WB2-LO1 | K8-K10 - systemic model application and theory-practice consistency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LINEAR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contradicts the reciprocal hypothesis by returning to one-person causation and blame.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question explores the sequence, each partner’s meaning, and mutual influence in a manner consistent with the stated formulation.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Circularity does not mean behavior has no impact or that accountability disappears.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Individual symptoms may matter, but postponing relational inquiry is inconsistent with the systemic hypothesis already identified.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Check whether the therapist’s language and next action match the stated formulation. A reciprocal hypothesis should lead to sequence-focused, collaborative inquiry.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After naming a systemic hypothesis, select questions and interventions that examine interaction, meaning, context, and possible leverage rather than reverting to blame.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3: Correct Answer C | CTA-LMFT-AMFTRB-WB02-Q03</w:t>
            </w:r>
          </w:p>
        </w:tc>
      </w:tr>
    </w:tbl>
    <w:p>
      <w:pPr>
        <w:keepNext/>
        <w:spacing w:before="100" w:after="60" w:line="240" w:lineRule="auto"/>
      </w:pPr>
      <w:r>
        <w:rPr>
          <w:rFonts w:ascii="Liberation Sans" w:hAnsi="Liberation Sans" w:eastAsia="Liberation Sans"/>
          <w:b/>
          <w:i w:val="0"/>
          <w:color w:val="18365B"/>
          <w:sz w:val="20"/>
        </w:rPr>
        <w:t>During an intake, a young adult gives brief answers and looks toward a parent before speaking. The parent says, “You need to make him tell the truth.” What should the therapist do FIRST?</w:t>
      </w:r>
    </w:p>
    <w:p>
      <w:pPr>
        <w:spacing w:before="0" w:after="40" w:line="240" w:lineRule="auto"/>
        <w:ind w:left="216" w:hanging="216"/>
      </w:pPr>
      <w:r>
        <w:rPr>
          <w:rFonts w:ascii="Liberation Sans" w:hAnsi="Liberation Sans" w:eastAsia="Liberation Sans"/>
          <w:b/>
          <w:i w:val="0"/>
          <w:color w:val="1F2937"/>
          <w:sz w:val="18"/>
        </w:rPr>
        <w:t>A. Ask the parent to provide the full history while the young adult listens silently.</w:t>
      </w:r>
    </w:p>
    <w:p>
      <w:pPr>
        <w:spacing w:before="0" w:after="40" w:line="240" w:lineRule="auto"/>
        <w:ind w:left="216" w:hanging="216"/>
      </w:pPr>
      <w:r>
        <w:rPr>
          <w:rFonts w:ascii="Liberation Sans" w:hAnsi="Liberation Sans" w:eastAsia="Liberation Sans"/>
          <w:b/>
          <w:i w:val="0"/>
          <w:color w:val="1F2937"/>
          <w:sz w:val="18"/>
        </w:rPr>
        <w:t>B. Require the young adult to speak privately so the therapist can obtain complete disclosure.</w:t>
      </w:r>
    </w:p>
    <w:p>
      <w:pPr>
        <w:spacing w:before="0" w:after="40" w:line="240" w:lineRule="auto"/>
        <w:ind w:left="216" w:hanging="216"/>
      </w:pPr>
      <w:r>
        <w:rPr>
          <w:rFonts w:ascii="Liberation Sans" w:hAnsi="Liberation Sans" w:eastAsia="Liberation Sans"/>
          <w:b/>
          <w:i w:val="0"/>
          <w:color w:val="1A9A96"/>
          <w:sz w:val="18"/>
        </w:rPr>
        <w:t>C. Clarify the client and session roles, assess safety and voluntariness, explain relevant information boundaries, and ask what would make participation workable.</w:t>
      </w:r>
    </w:p>
    <w:p>
      <w:pPr>
        <w:spacing w:before="0" w:after="40" w:line="240" w:lineRule="auto"/>
        <w:ind w:left="216" w:hanging="216"/>
      </w:pPr>
      <w:r>
        <w:rPr>
          <w:rFonts w:ascii="Liberation Sans" w:hAnsi="Liberation Sans" w:eastAsia="Liberation Sans"/>
          <w:b/>
          <w:i w:val="0"/>
          <w:color w:val="1F2937"/>
          <w:sz w:val="18"/>
        </w:rPr>
        <w:t>D. Conclude that the young adult is resistant and assign a participation contract.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WB2-LO2 | alliance safety, voluntariness, role clarity, and participation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ALLY, FORCE,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Allowing one person to control the narrative may reinforce the power problem and does not assess whether the quieter participant can speak safely.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private meeting may later be useful, but requiring disclosure before clarifying roles, safety, choice, and boundaries is premature.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first establishes the conditions for safe, informed, and voluntary participation before pushing content or technique.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Minimal speech can reflect fear, uncertainty, coercion, access barriers, or low trust; labeling resistance adds an unsupported conclusion.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participation is constrained, attend before you invite more disclosure. Check safety, choice, role, access, and information expectations.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ALLIANCE: attend to safety and voluntariness, locate each person’s relationship to treatment, clarify roles, and then invite participation at a workable pace.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4: Correct Answer D | CTA-LMFT-AMFTRB-WB02-Q04</w:t>
            </w:r>
          </w:p>
        </w:tc>
      </w:tr>
    </w:tbl>
    <w:p>
      <w:pPr>
        <w:keepNext/>
        <w:spacing w:before="100" w:after="60" w:line="240" w:lineRule="auto"/>
      </w:pPr>
      <w:r>
        <w:rPr>
          <w:rFonts w:ascii="Liberation Sans" w:hAnsi="Liberation Sans" w:eastAsia="Liberation Sans"/>
          <w:b/>
          <w:i w:val="0"/>
          <w:color w:val="18365B"/>
          <w:sz w:val="20"/>
        </w:rPr>
        <w:t>In the first couple session, each partner asks the therapist to decide who is right. One says, “You need to hold my spouse accountable,” while the other says, “You already sound biased.” Which response BEST supports joining with the client system?</w:t>
      </w:r>
    </w:p>
    <w:p>
      <w:pPr>
        <w:spacing w:before="0" w:after="40" w:line="240" w:lineRule="auto"/>
        <w:ind w:left="216" w:hanging="216"/>
      </w:pPr>
      <w:r>
        <w:rPr>
          <w:rFonts w:ascii="Liberation Sans" w:hAnsi="Liberation Sans" w:eastAsia="Liberation Sans"/>
          <w:b/>
          <w:i w:val="0"/>
          <w:color w:val="1F2937"/>
          <w:sz w:val="18"/>
        </w:rPr>
        <w:t>A. Promise to remain completely neutral and avoid naming any harmful behavior throughout treatment.</w:t>
      </w:r>
    </w:p>
    <w:p>
      <w:pPr>
        <w:spacing w:before="0" w:after="40" w:line="240" w:lineRule="auto"/>
        <w:ind w:left="216" w:hanging="216"/>
      </w:pPr>
      <w:r>
        <w:rPr>
          <w:rFonts w:ascii="Liberation Sans" w:hAnsi="Liberation Sans" w:eastAsia="Liberation Sans"/>
          <w:b/>
          <w:i w:val="0"/>
          <w:color w:val="1F2937"/>
          <w:sz w:val="18"/>
        </w:rPr>
        <w:t>B. Tell both partners that they are equally responsible for every problem so neither feels singled out.</w:t>
      </w:r>
    </w:p>
    <w:p>
      <w:pPr>
        <w:spacing w:before="0" w:after="40" w:line="240" w:lineRule="auto"/>
        <w:ind w:left="216" w:hanging="216"/>
      </w:pPr>
      <w:r>
        <w:rPr>
          <w:rFonts w:ascii="Liberation Sans" w:hAnsi="Liberation Sans" w:eastAsia="Liberation Sans"/>
          <w:b/>
          <w:i w:val="0"/>
          <w:color w:val="1F2937"/>
          <w:sz w:val="18"/>
        </w:rPr>
        <w:t>C. Ask each partner to argue the case while the therapist withholds all reactions until the end of the session.</w:t>
      </w:r>
    </w:p>
    <w:p>
      <w:pPr>
        <w:spacing w:before="0" w:after="40" w:line="240" w:lineRule="auto"/>
        <w:ind w:left="216" w:hanging="216"/>
      </w:pPr>
      <w:r>
        <w:rPr>
          <w:rFonts w:ascii="Liberation Sans" w:hAnsi="Liberation Sans" w:eastAsia="Liberation Sans"/>
          <w:b/>
          <w:i w:val="0"/>
          <w:color w:val="1A9A96"/>
          <w:sz w:val="18"/>
        </w:rPr>
        <w:t>D. Acknowledge both concerns, clarify that fairness does not require false equivalence, and invite each partner’s goals and experience of the interaction while monitoring safety and power.</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WB2-LO2 | joining, multiple alliances, role clarity, and false neutrality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ALLY,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Avoiding necessary professional positions can become false neutrality and may fail to protect relational safety.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Equalizing responsibility without assessment can obscure power, coercion, or different contributions to the pattern.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Unstructured argument is not the same as balanced participation and may intensify the rupture before safety and task are clarified.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acknowledges multiple alliances, preserves professional accountability, and begins collaborative assessment of goals, safety, power, and interaction.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Joining is not agreement with everyone and not mechanical neutrality. Choose the response that validates experience, clarifies the task, and keeps safety and power visible.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Map each participant’s goals and perception of the therapist, then establish a shared task without pretending that all behavior or responsibility is identical.</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5: Correct Answer A | CTA-LMFT-AMFTRB-WB02-Q05</w:t>
            </w:r>
          </w:p>
        </w:tc>
      </w:tr>
    </w:tbl>
    <w:p>
      <w:pPr>
        <w:keepNext/>
        <w:spacing w:before="100" w:after="60" w:line="240" w:lineRule="auto"/>
      </w:pPr>
      <w:r>
        <w:rPr>
          <w:rFonts w:ascii="Liberation Sans" w:hAnsi="Liberation Sans" w:eastAsia="Liberation Sans"/>
          <w:b/>
          <w:i w:val="0"/>
          <w:color w:val="18365B"/>
          <w:sz w:val="20"/>
        </w:rPr>
        <w:t>An MFT who has worked only with adults is asked to provide specialized reunification therapy in a highly contested court-involved family case. The therapist has no training or supervised experience in reunification work. What should the therapist do FIRST?</w:t>
      </w:r>
    </w:p>
    <w:p>
      <w:pPr>
        <w:spacing w:before="0" w:after="40" w:line="240" w:lineRule="auto"/>
        <w:ind w:left="216" w:hanging="216"/>
      </w:pPr>
      <w:r>
        <w:rPr>
          <w:rFonts w:ascii="Liberation Sans" w:hAnsi="Liberation Sans" w:eastAsia="Liberation Sans"/>
          <w:b/>
          <w:i w:val="0"/>
          <w:color w:val="1A9A96"/>
          <w:sz w:val="18"/>
        </w:rPr>
        <w:t>A. Identify the competence and role limits, obtain qualified consultation or training, and decline or refer the case if competent service cannot be established within an appropriate period.</w:t>
      </w:r>
    </w:p>
    <w:p>
      <w:pPr>
        <w:spacing w:before="0" w:after="40" w:line="240" w:lineRule="auto"/>
        <w:ind w:left="216" w:hanging="216"/>
      </w:pPr>
      <w:r>
        <w:rPr>
          <w:rFonts w:ascii="Liberation Sans" w:hAnsi="Liberation Sans" w:eastAsia="Liberation Sans"/>
          <w:b/>
          <w:i w:val="0"/>
          <w:color w:val="1F2937"/>
          <w:sz w:val="18"/>
        </w:rPr>
        <w:t>B. Accept the case because general family-therapy training automatically covers all court-involved services.</w:t>
      </w:r>
    </w:p>
    <w:p>
      <w:pPr>
        <w:spacing w:before="0" w:after="40" w:line="240" w:lineRule="auto"/>
        <w:ind w:left="216" w:hanging="216"/>
      </w:pPr>
      <w:r>
        <w:rPr>
          <w:rFonts w:ascii="Liberation Sans" w:hAnsi="Liberation Sans" w:eastAsia="Liberation Sans"/>
          <w:b/>
          <w:i w:val="0"/>
          <w:color w:val="1F2937"/>
          <w:sz w:val="18"/>
        </w:rPr>
        <w:t>C. Accept the case and learn the method from brief online summaries after treatment begins.</w:t>
      </w:r>
    </w:p>
    <w:p>
      <w:pPr>
        <w:spacing w:before="0" w:after="40" w:line="240" w:lineRule="auto"/>
        <w:ind w:left="216" w:hanging="216"/>
      </w:pPr>
      <w:r>
        <w:rPr>
          <w:rFonts w:ascii="Liberation Sans" w:hAnsi="Liberation Sans" w:eastAsia="Liberation Sans"/>
          <w:b/>
          <w:i w:val="0"/>
          <w:color w:val="1F2937"/>
          <w:sz w:val="18"/>
        </w:rPr>
        <w:t>D. Ask the referring attorney to define the treatment model and supervise the clinical work.</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WB2-LO6 | K70 - competence, consultation, supervision, training, and referral</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COMP</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must identify the actual competence gap and obtain proportional support or decline the role when safe and effective service cannot be provided.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General licensure or family-therapy experience does not establish competence for every specialized population, modality, or forensic role.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Brief self-study after accepting the case is not an adequate substitute for the training, supervision, and role clarity required by a specialized service.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An attorney may clarify the referral request but does not provide clinical supervision or transfer professional responsibility.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Separate authorization from competence. Being legally permitted to practice does not prove readiness for a specialized role.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Name the specific knowledge or skill gap, evaluate urgency and client risk, obtain qualified support, and refer when competence cannot be developed without compromising care.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6: Correct Answer B | CTA-LMFT-AMFTRB-WB02-Q06</w:t>
            </w:r>
          </w:p>
        </w:tc>
      </w:tr>
    </w:tbl>
    <w:p>
      <w:pPr>
        <w:keepNext/>
        <w:spacing w:before="100" w:after="60" w:line="240" w:lineRule="auto"/>
      </w:pPr>
      <w:r>
        <w:rPr>
          <w:rFonts w:ascii="Liberation Sans" w:hAnsi="Liberation Sans" w:eastAsia="Liberation Sans"/>
          <w:b/>
          <w:i w:val="0"/>
          <w:color w:val="18365B"/>
          <w:sz w:val="20"/>
        </w:rPr>
        <w:t>A partner in couple therapy experiences panic during escalating arguments. Which intervention MOST appropriately integrates an individual coping skill with the systemic treatment plan?</w:t>
      </w:r>
    </w:p>
    <w:p>
      <w:pPr>
        <w:spacing w:before="0" w:after="40" w:line="240" w:lineRule="auto"/>
        <w:ind w:left="216" w:hanging="216"/>
      </w:pPr>
      <w:r>
        <w:rPr>
          <w:rFonts w:ascii="Liberation Sans" w:hAnsi="Liberation Sans" w:eastAsia="Liberation Sans"/>
          <w:b/>
          <w:i w:val="0"/>
          <w:color w:val="1F2937"/>
          <w:sz w:val="18"/>
        </w:rPr>
        <w:t>A. Shift all treatment to the partner’s panic symptoms and stop examining the couple interaction.</w:t>
      </w:r>
    </w:p>
    <w:p>
      <w:pPr>
        <w:spacing w:before="0" w:after="40" w:line="240" w:lineRule="auto"/>
        <w:ind w:left="216" w:hanging="216"/>
      </w:pPr>
      <w:r>
        <w:rPr>
          <w:rFonts w:ascii="Liberation Sans" w:hAnsi="Liberation Sans" w:eastAsia="Liberation Sans"/>
          <w:b/>
          <w:i w:val="0"/>
          <w:color w:val="1A9A96"/>
          <w:sz w:val="18"/>
        </w:rPr>
        <w:t>B. Teach a brief regulation skill as a way to interrupt escalation, connect it to the shared relational goal, and monitor how both partners respond when the skill is used.</w:t>
      </w:r>
    </w:p>
    <w:p>
      <w:pPr>
        <w:spacing w:before="0" w:after="40" w:line="240" w:lineRule="auto"/>
        <w:ind w:left="216" w:hanging="216"/>
      </w:pPr>
      <w:r>
        <w:rPr>
          <w:rFonts w:ascii="Liberation Sans" w:hAnsi="Liberation Sans" w:eastAsia="Liberation Sans"/>
          <w:b/>
          <w:i w:val="0"/>
          <w:color w:val="1F2937"/>
          <w:sz w:val="18"/>
        </w:rPr>
        <w:t>C. Avoid individual skills because any one-person intervention is incompatible with systemic therapy.</w:t>
      </w:r>
    </w:p>
    <w:p>
      <w:pPr>
        <w:spacing w:before="0" w:after="40" w:line="240" w:lineRule="auto"/>
        <w:ind w:left="216" w:hanging="216"/>
      </w:pPr>
      <w:r>
        <w:rPr>
          <w:rFonts w:ascii="Liberation Sans" w:hAnsi="Liberation Sans" w:eastAsia="Liberation Sans"/>
          <w:b/>
          <w:i w:val="0"/>
          <w:color w:val="1F2937"/>
          <w:sz w:val="18"/>
        </w:rPr>
        <w:t>D. Teach the skill in secret individual meetings so the other partner cannot influence its use.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WB2-LO3 | K8-K10 - integration of individual interventions with systemic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UNIT, LINEAR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individual symptom requires care, but abandoning the identified treatment unit and reciprocal pattern is unnecessary.</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skill addresses individual arousal while remaining linked to the shared formulation, treatment goal, and cross-level effects within the couple system.</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Systemic practice can include individual methods when their purpose, treatment unit, and relational effects are clear.</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Hidden treatment structures can create alliance and informed-participation problems; privacy and format decisions require explicit clinical rationale and boundaries.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An individual intervention fits systemic treatment when it is linked to the formulation, shared goals, treatment structure, and observable effects on the larger system.</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LEVELS: name the treatment unit, identify the individual target, explain the relational purpose, and monitor how change at one level affects the others.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7: Correct Answer C | CTA-LMFT-AMFTRB-WB02-Q07</w:t>
            </w:r>
          </w:p>
        </w:tc>
      </w:tr>
    </w:tbl>
    <w:p>
      <w:pPr>
        <w:keepNext/>
        <w:spacing w:before="100" w:after="60" w:line="240" w:lineRule="auto"/>
      </w:pPr>
      <w:r>
        <w:rPr>
          <w:rFonts w:ascii="Liberation Sans" w:hAnsi="Liberation Sans" w:eastAsia="Liberation Sans"/>
          <w:b/>
          <w:i w:val="0"/>
          <w:color w:val="18365B"/>
          <w:sz w:val="20"/>
        </w:rPr>
        <w:t>A client says, “Previous therapists called my religious and extended-family obligations enmeshment. I do not trust that you will understand either.” Which response is BEST?</w:t>
      </w:r>
    </w:p>
    <w:p>
      <w:pPr>
        <w:spacing w:before="0" w:after="40" w:line="240" w:lineRule="auto"/>
        <w:ind w:left="216" w:hanging="216"/>
      </w:pPr>
      <w:r>
        <w:rPr>
          <w:rFonts w:ascii="Liberation Sans" w:hAnsi="Liberation Sans" w:eastAsia="Liberation Sans"/>
          <w:b/>
          <w:i w:val="0"/>
          <w:color w:val="1F2937"/>
          <w:sz w:val="18"/>
        </w:rPr>
        <w:t>A. “I have cultural-competence training, so you can be confident that I will not make that mistake.”</w:t>
      </w:r>
    </w:p>
    <w:p>
      <w:pPr>
        <w:spacing w:before="0" w:after="40" w:line="240" w:lineRule="auto"/>
        <w:ind w:left="216" w:hanging="216"/>
      </w:pPr>
      <w:r>
        <w:rPr>
          <w:rFonts w:ascii="Liberation Sans" w:hAnsi="Liberation Sans" w:eastAsia="Liberation Sans"/>
          <w:b/>
          <w:i w:val="0"/>
          <w:color w:val="1F2937"/>
          <w:sz w:val="18"/>
        </w:rPr>
        <w:t>B. “Family obligation is common in many cultures, so I already understand what it means for you.”</w:t>
      </w:r>
    </w:p>
    <w:p>
      <w:pPr>
        <w:spacing w:before="0" w:after="40" w:line="240" w:lineRule="auto"/>
        <w:ind w:left="216" w:hanging="216"/>
      </w:pPr>
      <w:r>
        <w:rPr>
          <w:rFonts w:ascii="Liberation Sans" w:hAnsi="Liberation Sans" w:eastAsia="Liberation Sans"/>
          <w:b/>
          <w:i w:val="0"/>
          <w:color w:val="1A9A96"/>
          <w:sz w:val="18"/>
        </w:rPr>
        <w:t>C. “I would like to understand how those obligations function in your life, what felt harmful in prior therapy, and what I should do differently so we can assess the relationship on your terms.”</w:t>
      </w:r>
    </w:p>
    <w:p>
      <w:pPr>
        <w:spacing w:before="0" w:after="40" w:line="240" w:lineRule="auto"/>
        <w:ind w:left="216" w:hanging="216"/>
      </w:pPr>
      <w:r>
        <w:rPr>
          <w:rFonts w:ascii="Liberation Sans" w:hAnsi="Liberation Sans" w:eastAsia="Liberation Sans"/>
          <w:b/>
          <w:i w:val="0"/>
          <w:color w:val="1F2937"/>
          <w:sz w:val="18"/>
        </w:rPr>
        <w:t>D. “To remain neutral, we should focus only on symptoms and avoid discussing religion or family expectations.”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WB2-LO4 | K22, K32-K34, K64-K66 - discrimination, multicultural identity, social context, and trust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CONTEXT,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Reassurance based on the therapist’s credentials centers intent and does not explore the client’s experience or needed repair.</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generic cultural statement still assumes meaning and may repeat the very stereotyping the client described.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asks rather than assumes, explores prior harm and current meaning, acknowledges therapist responsibility, and invites concrete alliance guidance.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Ignoring culture and religion is not neutral when those factors are central to trust, meaning, and the presenting concern.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Culturally responsive inquiry is specific to this client system. Choose curiosity, accountability, and collaborative meaning over expertise claims or group assumptions.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CONTEXT: ask which identities and experiences matter now, how they shape risk and trust, and what change in therapist behavior would improve fit.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8: Correct Answer D | CTA-LMFT-AMFTRB-WB02-Q08</w:t>
            </w:r>
          </w:p>
        </w:tc>
      </w:tr>
    </w:tbl>
    <w:p>
      <w:pPr>
        <w:keepNext/>
        <w:spacing w:before="100" w:after="60" w:line="240" w:lineRule="auto"/>
      </w:pPr>
      <w:r>
        <w:rPr>
          <w:rFonts w:ascii="Liberation Sans" w:hAnsi="Liberation Sans" w:eastAsia="Liberation Sans"/>
          <w:b/>
          <w:i w:val="0"/>
          <w:color w:val="18365B"/>
          <w:sz w:val="20"/>
        </w:rPr>
        <w:t>During several family sessions, the therapist feels unusually bored and begins thinking, “They are not motivated.” The family speaks calmly but gives nearly identical accounts and avoids disagreement. What is the PRIMARY clinical meaning of the therapist’s reaction?</w:t>
      </w:r>
    </w:p>
    <w:p>
      <w:pPr>
        <w:spacing w:before="0" w:after="40" w:line="240" w:lineRule="auto"/>
        <w:ind w:left="216" w:hanging="216"/>
      </w:pPr>
      <w:r>
        <w:rPr>
          <w:rFonts w:ascii="Liberation Sans" w:hAnsi="Liberation Sans" w:eastAsia="Liberation Sans"/>
          <w:b/>
          <w:i w:val="0"/>
          <w:color w:val="1F2937"/>
          <w:sz w:val="18"/>
        </w:rPr>
        <w:t>A. It proves the family is concealing information and should be confronted immediately.</w:t>
      </w:r>
    </w:p>
    <w:p>
      <w:pPr>
        <w:spacing w:before="0" w:after="40" w:line="240" w:lineRule="auto"/>
        <w:ind w:left="216" w:hanging="216"/>
      </w:pPr>
      <w:r>
        <w:rPr>
          <w:rFonts w:ascii="Liberation Sans" w:hAnsi="Liberation Sans" w:eastAsia="Liberation Sans"/>
          <w:b/>
          <w:i w:val="0"/>
          <w:color w:val="1F2937"/>
          <w:sz w:val="18"/>
        </w:rPr>
        <w:t>B. It shows the therapist is no longer competent to treat any family members.</w:t>
      </w:r>
    </w:p>
    <w:p>
      <w:pPr>
        <w:spacing w:before="0" w:after="40" w:line="240" w:lineRule="auto"/>
        <w:ind w:left="216" w:hanging="216"/>
      </w:pPr>
      <w:r>
        <w:rPr>
          <w:rFonts w:ascii="Liberation Sans" w:hAnsi="Liberation Sans" w:eastAsia="Liberation Sans"/>
          <w:b/>
          <w:i w:val="0"/>
          <w:color w:val="1F2937"/>
          <w:sz w:val="18"/>
        </w:rPr>
        <w:t>C. It should be ignored because therapist feelings are never relevant clinical information.</w:t>
      </w:r>
    </w:p>
    <w:p>
      <w:pPr>
        <w:spacing w:before="0" w:after="40" w:line="240" w:lineRule="auto"/>
        <w:ind w:left="216" w:hanging="216"/>
      </w:pPr>
      <w:r>
        <w:rPr>
          <w:rFonts w:ascii="Liberation Sans" w:hAnsi="Liberation Sans" w:eastAsia="Liberation Sans"/>
          <w:b/>
          <w:i w:val="0"/>
          <w:color w:val="1A9A96"/>
          <w:sz w:val="18"/>
        </w:rPr>
        <w:t>D. It may be process data about avoidance, homeostasis, or the therapist’s own expectations and should be examined before it shapes intervention.</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WB2-LO5 | K13, K31 - homeostasis, countertransference, and self of therapist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SELF</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therapist reaction is a signal to examine, not proof of deception or a basis for immediate confrontation.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One reaction does not establish global incompetence; the therapist should assess its source, impact, and support needs.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Therapist responses can provide useful data when they are monitored responsibly rather than acted out as fact.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reaction may reflect family-process information, therapist history or expectations, or both. It should prompt reflection, observation, and consultation as needed.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Treat therapist reactions as hypotheses. The best answer uses them as data while preserving uncertainty, accountability, and client-centered decision-making.</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SELF: signal, explore possible source, link to clinical risk, pause behavior, and obtain support before acting.</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9: Correct Answer A | CTA-LMFT-AMFTRB-WB02-Q09</w:t>
            </w:r>
          </w:p>
        </w:tc>
      </w:tr>
    </w:tbl>
    <w:p>
      <w:pPr>
        <w:keepNext/>
        <w:spacing w:before="100" w:after="60" w:line="240" w:lineRule="auto"/>
      </w:pPr>
      <w:r>
        <w:rPr>
          <w:rFonts w:ascii="Liberation Sans" w:hAnsi="Liberation Sans" w:eastAsia="Liberation Sans"/>
          <w:b/>
          <w:i w:val="0"/>
          <w:color w:val="18365B"/>
          <w:sz w:val="20"/>
        </w:rPr>
        <w:t>A therapist whose parent had a severe substance-use disorder becomes increasingly confrontational with a client who is uncertain about staying with a spouse in recovery. The therapist notices impatience and a strong urge to persuade the client to leave. What should the therapist do FIRST?</w:t>
      </w:r>
    </w:p>
    <w:p>
      <w:pPr>
        <w:spacing w:before="0" w:after="40" w:line="240" w:lineRule="auto"/>
        <w:ind w:left="216" w:hanging="216"/>
      </w:pPr>
      <w:r>
        <w:rPr>
          <w:rFonts w:ascii="Liberation Sans" w:hAnsi="Liberation Sans" w:eastAsia="Liberation Sans"/>
          <w:b/>
          <w:i w:val="0"/>
          <w:color w:val="1A9A96"/>
          <w:sz w:val="18"/>
        </w:rPr>
        <w:t>A. Pause the persuasive behavior, examine how personal history and values are affecting the work, assess impact on the alliance, and obtain consultation before deciding how to proceed.</w:t>
      </w:r>
    </w:p>
    <w:p>
      <w:pPr>
        <w:spacing w:before="0" w:after="40" w:line="240" w:lineRule="auto"/>
        <w:ind w:left="216" w:hanging="216"/>
      </w:pPr>
      <w:r>
        <w:rPr>
          <w:rFonts w:ascii="Liberation Sans" w:hAnsi="Liberation Sans" w:eastAsia="Liberation Sans"/>
          <w:b/>
          <w:i w:val="0"/>
          <w:color w:val="1F2937"/>
          <w:sz w:val="18"/>
        </w:rPr>
        <w:t>B. Disclose the therapist’s entire family history so the client understands the recommendation.</w:t>
      </w:r>
    </w:p>
    <w:p>
      <w:pPr>
        <w:spacing w:before="0" w:after="40" w:line="240" w:lineRule="auto"/>
        <w:ind w:left="216" w:hanging="216"/>
      </w:pPr>
      <w:r>
        <w:rPr>
          <w:rFonts w:ascii="Liberation Sans" w:hAnsi="Liberation Sans" w:eastAsia="Liberation Sans"/>
          <w:b/>
          <w:i w:val="0"/>
          <w:color w:val="1F2937"/>
          <w:sz w:val="18"/>
        </w:rPr>
        <w:t>C. Continue confronting the client because strong emotion confirms that the relationship is unsafe.</w:t>
      </w:r>
    </w:p>
    <w:p>
      <w:pPr>
        <w:spacing w:before="0" w:after="40" w:line="240" w:lineRule="auto"/>
        <w:ind w:left="216" w:hanging="216"/>
      </w:pPr>
      <w:r>
        <w:rPr>
          <w:rFonts w:ascii="Liberation Sans" w:hAnsi="Liberation Sans" w:eastAsia="Liberation Sans"/>
          <w:b/>
          <w:i w:val="0"/>
          <w:color w:val="1F2937"/>
          <w:sz w:val="18"/>
        </w:rPr>
        <w:t>D. Refer the client immediately without discussing the alliance, competence, continuity, or the client’s preferences.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WB2-LO5, WB2-LO6 | K31, K70 - therapist values, trauma activation, consultation, and client welfare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SELF, COMP</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first interrupts values-driven behavior, examines the reaction and its effect, and uses consultation to determine whether a stance adjustment, additional support, or referral is needed.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Extensive self-disclosure may burden the client and does not substitute for self-monitoring or consultation.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Strong therapist emotion is not reliable proof about the client’s relationship and should not control treatment.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Referral may eventually be appropriate, but an automatic transfer can repeat avoidance and bypass alliance repair, competence analysis, and continuity planning.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therapist history is shaping behavior, choose the response that changes professional conduct first. Do not turn personal certainty into clinical evidence.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Separate the therapist’s story from the client’s goals, pause coercive or avoidant action, consult, and select the least disruptive plan that restores competent care.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10: Correct Answer B | CTA-LMFT-AMFTRB-WB02-Q10</w:t>
            </w:r>
          </w:p>
        </w:tc>
      </w:tr>
    </w:tbl>
    <w:p>
      <w:pPr>
        <w:keepNext/>
        <w:spacing w:before="100" w:after="60" w:line="240" w:lineRule="auto"/>
      </w:pPr>
      <w:r>
        <w:rPr>
          <w:rFonts w:ascii="Liberation Sans" w:hAnsi="Liberation Sans" w:eastAsia="Liberation Sans"/>
          <w:b/>
          <w:i w:val="0"/>
          <w:color w:val="18365B"/>
          <w:sz w:val="20"/>
        </w:rPr>
        <w:t>In couple therapy, one partner says, “You always take my spouse’s side.” The other says, “You keep avoiding the harmful behavior to look neutral.” The therapist had planned to begin an emotionally intense enactment. What should the therapist do NEXT?</w:t>
      </w:r>
    </w:p>
    <w:p>
      <w:pPr>
        <w:spacing w:before="0" w:after="40" w:line="240" w:lineRule="auto"/>
        <w:ind w:left="216" w:hanging="216"/>
      </w:pPr>
      <w:r>
        <w:rPr>
          <w:rFonts w:ascii="Liberation Sans" w:hAnsi="Liberation Sans" w:eastAsia="Liberation Sans"/>
          <w:b/>
          <w:i w:val="0"/>
          <w:color w:val="1F2937"/>
          <w:sz w:val="18"/>
        </w:rPr>
        <w:t>A. Begin the enactment so the couple can experience the intervention before evaluating it.</w:t>
      </w:r>
    </w:p>
    <w:p>
      <w:pPr>
        <w:spacing w:before="0" w:after="40" w:line="240" w:lineRule="auto"/>
        <w:ind w:left="216" w:hanging="216"/>
      </w:pPr>
      <w:r>
        <w:rPr>
          <w:rFonts w:ascii="Liberation Sans" w:hAnsi="Liberation Sans" w:eastAsia="Liberation Sans"/>
          <w:b/>
          <w:i w:val="0"/>
          <w:color w:val="1A9A96"/>
          <w:sz w:val="18"/>
        </w:rPr>
        <w:t>B. Explore each partner’s experience of the therapist and the current task, assess safety and power, identify any therapist contribution, and agree on a specific adjustment before intensifying technique.</w:t>
      </w:r>
    </w:p>
    <w:p>
      <w:pPr>
        <w:spacing w:before="0" w:after="40" w:line="240" w:lineRule="auto"/>
        <w:ind w:left="216" w:hanging="216"/>
      </w:pPr>
      <w:r>
        <w:rPr>
          <w:rFonts w:ascii="Liberation Sans" w:hAnsi="Liberation Sans" w:eastAsia="Liberation Sans"/>
          <w:b/>
          <w:i w:val="0"/>
          <w:color w:val="1F2937"/>
          <w:sz w:val="18"/>
        </w:rPr>
        <w:t>C. Demonstrate neutrality by giving each partner exactly the same speaking time.</w:t>
      </w:r>
    </w:p>
    <w:p>
      <w:pPr>
        <w:spacing w:before="0" w:after="40" w:line="240" w:lineRule="auto"/>
        <w:ind w:left="216" w:hanging="216"/>
      </w:pPr>
      <w:r>
        <w:rPr>
          <w:rFonts w:ascii="Liberation Sans" w:hAnsi="Liberation Sans" w:eastAsia="Liberation Sans"/>
          <w:b/>
          <w:i w:val="0"/>
          <w:color w:val="1F2937"/>
          <w:sz w:val="18"/>
        </w:rPr>
        <w:t>D. Explain that both perceptions are incorrect because the therapist has no intention of siding.</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WB2-LO2, WB2-LO7 | multiple alliances, alliance split, power, and repair readiness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ALLY, RUPTURE,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Intensifying technique before addressing an active alliance split can increase risk and reduce participation.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evaluates multiple alliances, safety, power, and therapist influence, then makes a collaborative adjustment before returning to technique.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Equal time may be useful in some contexts, but it does not by itself address perceived siding, safety, or false neutrality.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Defending intent dismisses impact and blocks the information needed for repair.</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Alliance precedes intensity. When the therapist has become part of the problem, evaluate and repair before adding a more demanding intervention.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REPAIR: recognize the signal, explore impact, identify therapist contribution, adjust one observable behavior, and review the outcome.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11: Correct Answer C | CTA-LMFT-AMFTRB-WB02-Q11</w:t>
            </w:r>
          </w:p>
        </w:tc>
      </w:tr>
    </w:tbl>
    <w:p>
      <w:pPr>
        <w:keepNext/>
        <w:spacing w:before="100" w:after="60" w:line="240" w:lineRule="auto"/>
      </w:pPr>
      <w:r>
        <w:rPr>
          <w:rFonts w:ascii="Liberation Sans" w:hAnsi="Liberation Sans" w:eastAsia="Liberation Sans"/>
          <w:b/>
          <w:i w:val="0"/>
          <w:color w:val="18365B"/>
          <w:sz w:val="20"/>
        </w:rPr>
        <w:t>A family that initially participated actively has become quiet and has missed two sessions since the therapist introduced structured enactments. No acute safety concern is reported. Which response BEST evaluates and maintains the therapeutic alliance?</w:t>
      </w:r>
    </w:p>
    <w:p>
      <w:pPr>
        <w:spacing w:before="0" w:after="40" w:line="240" w:lineRule="auto"/>
        <w:ind w:left="216" w:hanging="216"/>
      </w:pPr>
      <w:r>
        <w:rPr>
          <w:rFonts w:ascii="Liberation Sans" w:hAnsi="Liberation Sans" w:eastAsia="Liberation Sans"/>
          <w:b/>
          <w:i w:val="0"/>
          <w:color w:val="1F2937"/>
          <w:sz w:val="18"/>
        </w:rPr>
        <w:t>A. Document resistance and continue the same intervention until the family complies.</w:t>
      </w:r>
    </w:p>
    <w:p>
      <w:pPr>
        <w:spacing w:before="0" w:after="40" w:line="240" w:lineRule="auto"/>
        <w:ind w:left="216" w:hanging="216"/>
      </w:pPr>
      <w:r>
        <w:rPr>
          <w:rFonts w:ascii="Liberation Sans" w:hAnsi="Liberation Sans" w:eastAsia="Liberation Sans"/>
          <w:b/>
          <w:i w:val="0"/>
          <w:color w:val="1F2937"/>
          <w:sz w:val="18"/>
        </w:rPr>
        <w:t>B. Discontinue the method permanently because any missed session proves poor fit.</w:t>
      </w:r>
    </w:p>
    <w:p>
      <w:pPr>
        <w:spacing w:before="0" w:after="40" w:line="240" w:lineRule="auto"/>
        <w:ind w:left="216" w:hanging="216"/>
      </w:pPr>
      <w:r>
        <w:rPr>
          <w:rFonts w:ascii="Liberation Sans" w:hAnsi="Liberation Sans" w:eastAsia="Liberation Sans"/>
          <w:b/>
          <w:i w:val="0"/>
          <w:color w:val="1A9A96"/>
          <w:sz w:val="18"/>
        </w:rPr>
        <w:t>C. Ask about the family’s experience of the sessions, practical barriers, safety, goals, and the intervention’s fit; use the feedback to decide what adjustment is needed.</w:t>
      </w:r>
    </w:p>
    <w:p>
      <w:pPr>
        <w:spacing w:before="0" w:after="40" w:line="240" w:lineRule="auto"/>
        <w:ind w:left="216" w:hanging="216"/>
      </w:pPr>
      <w:r>
        <w:rPr>
          <w:rFonts w:ascii="Liberation Sans" w:hAnsi="Liberation Sans" w:eastAsia="Liberation Sans"/>
          <w:b/>
          <w:i w:val="0"/>
          <w:color w:val="1F2937"/>
          <w:sz w:val="18"/>
        </w:rPr>
        <w:t>D. Avoid discussing attendance so the family does not feel criticized.</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WB2-LO7 | alliance evaluation, direct feedback, participation, and treatment fit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ALLY, RUPTURE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Labeling resistance without inquiry ignores possible rupture, access barriers, safety concerns, or treatment mismatch.</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One pattern of disengagement warrants assessment; automatic abandonment of the method is premature.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Direct, nondefensive feedback integrates alliance, access, safety, goals, and intervention fit before the therapist revises the plan.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Avoiding the change in participation loses important process data and prevents collaborative repair.</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engagement changes, ask what changed in the treatment system. Do not translate silence or attendance problems directly into motivation labels.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Check alliance and barriers explicitly, compare the feedback with goals and outcomes, make a specific adjustment, and monitor whether participation improves.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12: Correct Answer D | CTA-LMFT-AMFTRB-WB02-Q12</w:t>
            </w:r>
          </w:p>
        </w:tc>
      </w:tr>
    </w:tbl>
    <w:p>
      <w:pPr>
        <w:keepNext/>
        <w:spacing w:before="100" w:after="60" w:line="240" w:lineRule="auto"/>
      </w:pPr>
      <w:r>
        <w:rPr>
          <w:rFonts w:ascii="Liberation Sans" w:hAnsi="Liberation Sans" w:eastAsia="Liberation Sans"/>
          <w:b/>
          <w:i w:val="0"/>
          <w:color w:val="18365B"/>
          <w:sz w:val="20"/>
        </w:rPr>
        <w:t>An employee is required by a workplace agreement to attend counseling. The supervisor tells the therapist to “make the employee admit what happened” and send a detailed report after every session. Which response MOST appropriately protects client rights and the treatment agreement?</w:t>
      </w:r>
    </w:p>
    <w:p>
      <w:pPr>
        <w:spacing w:before="0" w:after="40" w:line="240" w:lineRule="auto"/>
        <w:ind w:left="216" w:hanging="216"/>
      </w:pPr>
      <w:r>
        <w:rPr>
          <w:rFonts w:ascii="Liberation Sans" w:hAnsi="Liberation Sans" w:eastAsia="Liberation Sans"/>
          <w:b/>
          <w:i w:val="0"/>
          <w:color w:val="1F2937"/>
          <w:sz w:val="18"/>
        </w:rPr>
        <w:t>A. Follow the supervisor’s instructions because the employer initiated and funds the service.</w:t>
      </w:r>
    </w:p>
    <w:p>
      <w:pPr>
        <w:spacing w:before="0" w:after="40" w:line="240" w:lineRule="auto"/>
        <w:ind w:left="216" w:hanging="216"/>
      </w:pPr>
      <w:r>
        <w:rPr>
          <w:rFonts w:ascii="Liberation Sans" w:hAnsi="Liberation Sans" w:eastAsia="Liberation Sans"/>
          <w:b/>
          <w:i w:val="0"/>
          <w:color w:val="1F2937"/>
          <w:sz w:val="18"/>
        </w:rPr>
        <w:t>B. Tell the employee that refusal to disclose will automatically be reported as treatment failure.</w:t>
      </w:r>
    </w:p>
    <w:p>
      <w:pPr>
        <w:spacing w:before="0" w:after="40" w:line="240" w:lineRule="auto"/>
        <w:ind w:left="216" w:hanging="216"/>
      </w:pPr>
      <w:r>
        <w:rPr>
          <w:rFonts w:ascii="Liberation Sans" w:hAnsi="Liberation Sans" w:eastAsia="Liberation Sans"/>
          <w:b/>
          <w:i w:val="0"/>
          <w:color w:val="1F2937"/>
          <w:sz w:val="18"/>
        </w:rPr>
        <w:t>C. Avoid explaining information limits so the employee will participate more openly.</w:t>
      </w:r>
    </w:p>
    <w:p>
      <w:pPr>
        <w:spacing w:before="0" w:after="40" w:line="240" w:lineRule="auto"/>
        <w:ind w:left="216" w:hanging="216"/>
      </w:pPr>
      <w:r>
        <w:rPr>
          <w:rFonts w:ascii="Liberation Sans" w:hAnsi="Liberation Sans" w:eastAsia="Liberation Sans"/>
          <w:b/>
          <w:i w:val="0"/>
          <w:color w:val="1A9A96"/>
          <w:sz w:val="18"/>
        </w:rPr>
        <w:t>D. Clarify who the client is, the purpose and voluntariness of the service, the agreed information boundaries, and the limits of therapist authority before proceeding or disclosing information.</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WB2-LO2, WB2-LO6 | K58-K59 - client rights, treatment agreements, informed participation, and role clarity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FORCE, UNIT,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Third-party payment or referral does not erase client rights or automatically authorize coercive treatment and unlimited disclosure.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Threatening a predetermined consequence may misrepresent the agreement and pressure disclosure beyond the therapist’s role.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Withholding information about limits undermines informed participation and the alliance.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first establishes the actual client, service purpose, choice, authority, and information boundaries so treatment and communication remain transparent.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Third-party involvement makes role clarity more important, not less. Define the client and agreement before accepting a demand or using pressure.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Name who is being served, what participation is required or voluntary, what information may be shared, and what choices remain.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13: Correct Answer A | CTA-LMFT-AMFTRB-WB02-Q13</w:t>
            </w:r>
          </w:p>
        </w:tc>
      </w:tr>
    </w:tbl>
    <w:p>
      <w:pPr>
        <w:keepNext/>
        <w:spacing w:before="100" w:after="60" w:line="240" w:lineRule="auto"/>
      </w:pPr>
      <w:r>
        <w:rPr>
          <w:rFonts w:ascii="Liberation Sans" w:hAnsi="Liberation Sans" w:eastAsia="Liberation Sans"/>
          <w:b/>
          <w:i w:val="0"/>
          <w:color w:val="18365B"/>
          <w:sz w:val="20"/>
        </w:rPr>
        <w:t>A family session includes a grandmother who primarily speaks Vietnamese, her adult daughter who has been translating, and two grandchildren. The daughter answers for everyone and says the grandmother “does not make decisions in our culture.” The therapist has not asked the grandmother about her preferences. What should the therapist do FIRST?</w:t>
      </w:r>
    </w:p>
    <w:p>
      <w:pPr>
        <w:spacing w:before="0" w:after="40" w:line="240" w:lineRule="auto"/>
        <w:ind w:left="216" w:hanging="216"/>
      </w:pPr>
      <w:r>
        <w:rPr>
          <w:rFonts w:ascii="Liberation Sans" w:hAnsi="Liberation Sans" w:eastAsia="Liberation Sans"/>
          <w:b/>
          <w:i w:val="0"/>
          <w:color w:val="1A9A96"/>
          <w:sz w:val="18"/>
        </w:rPr>
        <w:t>A. Arrange appropriate language access, ask each participant about roles, preferences, safety, and decision-making, and structure participation based on the family’s actual responses rather than an assumed cultural rule.</w:t>
      </w:r>
    </w:p>
    <w:p>
      <w:pPr>
        <w:spacing w:before="0" w:after="40" w:line="240" w:lineRule="auto"/>
        <w:ind w:left="216" w:hanging="216"/>
      </w:pPr>
      <w:r>
        <w:rPr>
          <w:rFonts w:ascii="Liberation Sans" w:hAnsi="Liberation Sans" w:eastAsia="Liberation Sans"/>
          <w:b/>
          <w:i w:val="0"/>
          <w:color w:val="1F2937"/>
          <w:sz w:val="18"/>
        </w:rPr>
        <w:t>B. Continue using the daughter as interpreter because family translation is always more culturally respectful than a qualified interpreter.</w:t>
      </w:r>
    </w:p>
    <w:p>
      <w:pPr>
        <w:spacing w:before="0" w:after="40" w:line="240" w:lineRule="auto"/>
        <w:ind w:left="216" w:hanging="216"/>
      </w:pPr>
      <w:r>
        <w:rPr>
          <w:rFonts w:ascii="Liberation Sans" w:hAnsi="Liberation Sans" w:eastAsia="Liberation Sans"/>
          <w:b/>
          <w:i w:val="0"/>
          <w:color w:val="1F2937"/>
          <w:sz w:val="18"/>
        </w:rPr>
        <w:t>C. Require identical speaking time for all participants so power becomes equal.</w:t>
      </w:r>
    </w:p>
    <w:p>
      <w:pPr>
        <w:spacing w:before="0" w:after="40" w:line="240" w:lineRule="auto"/>
        <w:ind w:left="216" w:hanging="216"/>
      </w:pPr>
      <w:r>
        <w:rPr>
          <w:rFonts w:ascii="Liberation Sans" w:hAnsi="Liberation Sans" w:eastAsia="Liberation Sans"/>
          <w:b/>
          <w:i w:val="0"/>
          <w:color w:val="1F2937"/>
          <w:sz w:val="18"/>
        </w:rPr>
        <w:t>D. Accept the daughter’s explanation because questioning it would impose the therapist’s culture.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01.04-01.05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WB2-LO4 | K22, K32-K34, K64-K66 - language access, hierarchy, cultural meaning, and participation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POWER, CONTEXT, ALLY</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addresses language access, therapist authority, hierarchy, voluntariness, and client-defined cultural meaning without assuming who may speak or decide.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Family interpretation can affect accuracy, privacy, role, and power; it is not automatically the safest or most respectful option.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Mechanical equality does not account for safety, preference, communication access, role, or cultural meaning.</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Treating one participant’s statement as the culture’s definitive rule silences the grandmother and substitutes assumption for inquiry.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Culture and power must be assessed through access and client-defined meaning. The best answer asks, verifies, and structures participation safely.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Address the communication barrier first, then ask who can safely speak, refuse, decide, and influence the session before interpreting the family pattern.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14: Correct Answer B | CTA-LMFT-AMFTRB-WB02-Q14</w:t>
            </w:r>
          </w:p>
        </w:tc>
      </w:tr>
    </w:tbl>
    <w:p>
      <w:pPr>
        <w:keepNext/>
        <w:spacing w:before="100" w:after="60" w:line="240" w:lineRule="auto"/>
      </w:pPr>
      <w:r>
        <w:rPr>
          <w:rFonts w:ascii="Liberation Sans" w:hAnsi="Liberation Sans" w:eastAsia="Liberation Sans"/>
          <w:b/>
          <w:i w:val="0"/>
          <w:color w:val="18365B"/>
          <w:sz w:val="20"/>
        </w:rPr>
        <w:t>Whenever family members approach a disagreement, they become silent. The therapist feels anxious, quickly reassures everyone, changes the topic, and later concludes that the family is not ready for deeper work. The same pattern returns each week. Which response BEST represents a systemic shift?</w:t>
      </w:r>
    </w:p>
    <w:p>
      <w:pPr>
        <w:spacing w:before="0" w:after="40" w:line="240" w:lineRule="auto"/>
        <w:ind w:left="216" w:hanging="216"/>
      </w:pPr>
      <w:r>
        <w:rPr>
          <w:rFonts w:ascii="Liberation Sans" w:hAnsi="Liberation Sans" w:eastAsia="Liberation Sans"/>
          <w:b/>
          <w:i w:val="0"/>
          <w:color w:val="1F2937"/>
          <w:sz w:val="18"/>
        </w:rPr>
        <w:t>A. Confront the family for resisting and require each member to disclose the hidden conflict.</w:t>
      </w:r>
    </w:p>
    <w:p>
      <w:pPr>
        <w:spacing w:before="0" w:after="40" w:line="240" w:lineRule="auto"/>
        <w:ind w:left="216" w:hanging="216"/>
      </w:pPr>
      <w:r>
        <w:rPr>
          <w:rFonts w:ascii="Liberation Sans" w:hAnsi="Liberation Sans" w:eastAsia="Liberation Sans"/>
          <w:b/>
          <w:i w:val="0"/>
          <w:color w:val="1A9A96"/>
          <w:sz w:val="18"/>
        </w:rPr>
        <w:t>B. Recognize that the therapist’s rescuing may help restore the family’s avoidance equilibrium, name the sequence carefully, tolerate and structure the silence, and invite collaborative reflection on what happens at that moment.</w:t>
      </w:r>
    </w:p>
    <w:p>
      <w:pPr>
        <w:spacing w:before="0" w:after="40" w:line="240" w:lineRule="auto"/>
        <w:ind w:left="216" w:hanging="216"/>
      </w:pPr>
      <w:r>
        <w:rPr>
          <w:rFonts w:ascii="Liberation Sans" w:hAnsi="Liberation Sans" w:eastAsia="Liberation Sans"/>
          <w:b/>
          <w:i w:val="0"/>
          <w:color w:val="1F2937"/>
          <w:sz w:val="18"/>
        </w:rPr>
        <w:t>C. Continue changing topics because maintaining comfort is the primary purpose of alliance.</w:t>
      </w:r>
    </w:p>
    <w:p>
      <w:pPr>
        <w:spacing w:before="0" w:after="40" w:line="240" w:lineRule="auto"/>
        <w:ind w:left="216" w:hanging="216"/>
      </w:pPr>
      <w:r>
        <w:rPr>
          <w:rFonts w:ascii="Liberation Sans" w:hAnsi="Liberation Sans" w:eastAsia="Liberation Sans"/>
          <w:b/>
          <w:i w:val="0"/>
          <w:color w:val="1F2937"/>
          <w:sz w:val="18"/>
        </w:rPr>
        <w:t>D. Refer the family immediately because therapist anxiety proves a poor match.</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WB2-LO1, WB2-LO5 | K13, K31 - homeostasis, therapist participation, and self of therapist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SELF, LINEAR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Forced disclosure and a resistance label intensify pressure and do not examine how the therapist participates in the recurring sequence.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uses self-awareness as data, identifies a homeostatic sequence, changes personal behavior, and invites the family to study the pattern collaboratively.</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Comfort matters, but repeatedly removing all tension may reinforce avoidance and prevent meaningful treatment.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Referral may be considered if competence or fit cannot be restored, but therapist anxiety alone first calls for reflection, consultation, and a tested adjustment.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In homeostatic patterns, include the therapist in the system. The best answer changes the therapist’s reinforcing move and tests what becomes possible.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Map what the family does, what the therapist then does, and how that response returns the system to its familiar state; alter one link and observe the result.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15: Correct Answer C | CTA-LMFT-AMFTRB-WB02-Q15</w:t>
            </w:r>
          </w:p>
        </w:tc>
      </w:tr>
    </w:tbl>
    <w:p>
      <w:pPr>
        <w:keepNext/>
        <w:spacing w:before="100" w:after="60" w:line="240" w:lineRule="auto"/>
      </w:pPr>
      <w:r>
        <w:rPr>
          <w:rFonts w:ascii="Liberation Sans" w:hAnsi="Liberation Sans" w:eastAsia="Liberation Sans"/>
          <w:b/>
          <w:i w:val="0"/>
          <w:color w:val="18365B"/>
          <w:sz w:val="20"/>
        </w:rPr>
        <w:t>A therapist frequently extends sessions without charge, gives a client a personal cell number, purchases groceries, and says, “I may be the only reliable person in your life.” The client now calls late at night for nonurgent reassurance. What should the therapist do NEXT?</w:t>
      </w:r>
    </w:p>
    <w:p>
      <w:pPr>
        <w:spacing w:before="0" w:after="40" w:line="240" w:lineRule="auto"/>
        <w:ind w:left="216" w:hanging="216"/>
      </w:pPr>
      <w:r>
        <w:rPr>
          <w:rFonts w:ascii="Liberation Sans" w:hAnsi="Liberation Sans" w:eastAsia="Liberation Sans"/>
          <w:b/>
          <w:i w:val="0"/>
          <w:color w:val="1F2937"/>
          <w:sz w:val="18"/>
        </w:rPr>
        <w:t>A. End treatment immediately and block the client’s number to reestablish professional boundaries.</w:t>
      </w:r>
    </w:p>
    <w:p>
      <w:pPr>
        <w:spacing w:before="0" w:after="40" w:line="240" w:lineRule="auto"/>
        <w:ind w:left="216" w:hanging="216"/>
      </w:pPr>
      <w:r>
        <w:rPr>
          <w:rFonts w:ascii="Liberation Sans" w:hAnsi="Liberation Sans" w:eastAsia="Liberation Sans"/>
          <w:b/>
          <w:i w:val="0"/>
          <w:color w:val="1F2937"/>
          <w:sz w:val="18"/>
        </w:rPr>
        <w:t>B. Continue the arrangements because the client’s dependence shows that the alliance is strong.</w:t>
      </w:r>
    </w:p>
    <w:p>
      <w:pPr>
        <w:spacing w:before="0" w:after="40" w:line="240" w:lineRule="auto"/>
        <w:ind w:left="216" w:hanging="216"/>
      </w:pPr>
      <w:r>
        <w:rPr>
          <w:rFonts w:ascii="Liberation Sans" w:hAnsi="Liberation Sans" w:eastAsia="Liberation Sans"/>
          <w:b/>
          <w:i w:val="0"/>
          <w:color w:val="1A9A96"/>
          <w:sz w:val="18"/>
        </w:rPr>
        <w:t>C. Obtain consultation, assess the client’s needs and dependency risks, clarify and gradually restore appropriate boundaries, coordinate practical resources and continuity supports, and document the corrective plan.</w:t>
      </w:r>
    </w:p>
    <w:p>
      <w:pPr>
        <w:spacing w:before="0" w:after="40" w:line="240" w:lineRule="auto"/>
        <w:ind w:left="216" w:hanging="216"/>
      </w:pPr>
      <w:r>
        <w:rPr>
          <w:rFonts w:ascii="Liberation Sans" w:hAnsi="Liberation Sans" w:eastAsia="Liberation Sans"/>
          <w:b/>
          <w:i w:val="0"/>
          <w:color w:val="1F2937"/>
          <w:sz w:val="18"/>
        </w:rPr>
        <w:t>D. Explain the behavior by sharing the therapist’s own history of rescuing family members.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WB2-LO6 | K58-K59, K70 - boundary drift, exploitation risk, power, consultation, and continuity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BOUND, SELF, COMP</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Abrupt withdrawal may compound dependency and abandonment risk; boundary repair should protect continuity unless immediate safety or role concerns require another course.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Increased dependence and therapist benefit are warning signs, not evidence that the arrangement is therapeutically sound.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addresses power and exploitation risk, uses consultation, corrects the pattern without abandoning the client, and connects unmet needs with appropriate resources.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Therapist self-disclosure does not correct the role expansion and may further center the therapist.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Boundary correction should reduce exploitation risk without creating a second harm through abrupt abandonment or defensive overcorrection.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Clarify purpose and limits, assess client impact and alternatives, consult, make a paced behavioral correction, support continuity, and document the plan.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16: Correct Answer D | CTA-LMFT-AMFTRB-WB02-Q16</w:t>
            </w:r>
          </w:p>
        </w:tc>
      </w:tr>
    </w:tbl>
    <w:p>
      <w:pPr>
        <w:keepNext/>
        <w:spacing w:before="100" w:after="60" w:line="240" w:lineRule="auto"/>
      </w:pPr>
      <w:r>
        <w:rPr>
          <w:rFonts w:ascii="Liberation Sans" w:hAnsi="Liberation Sans" w:eastAsia="Liberation Sans"/>
          <w:b/>
          <w:i w:val="0"/>
          <w:color w:val="18365B"/>
          <w:sz w:val="20"/>
        </w:rPr>
        <w:t>An adolescent’s school attendance has improved substantially, but the adolescent says therapy feels coercive and that the therapist “only listens to my parent.” The parent wants the same plan continued unchanged. Which response BEST evaluates progress?</w:t>
      </w:r>
    </w:p>
    <w:p>
      <w:pPr>
        <w:spacing w:before="0" w:after="40" w:line="240" w:lineRule="auto"/>
        <w:ind w:left="216" w:hanging="216"/>
      </w:pPr>
      <w:r>
        <w:rPr>
          <w:rFonts w:ascii="Liberation Sans" w:hAnsi="Liberation Sans" w:eastAsia="Liberation Sans"/>
          <w:b/>
          <w:i w:val="0"/>
          <w:color w:val="1F2937"/>
          <w:sz w:val="18"/>
        </w:rPr>
        <w:t>A. Continue unchanged because symptom improvement is the only meaningful outcome.</w:t>
      </w:r>
    </w:p>
    <w:p>
      <w:pPr>
        <w:spacing w:before="0" w:after="40" w:line="240" w:lineRule="auto"/>
        <w:ind w:left="216" w:hanging="216"/>
      </w:pPr>
      <w:r>
        <w:rPr>
          <w:rFonts w:ascii="Liberation Sans" w:hAnsi="Liberation Sans" w:eastAsia="Liberation Sans"/>
          <w:b/>
          <w:i w:val="0"/>
          <w:color w:val="1F2937"/>
          <w:sz w:val="18"/>
        </w:rPr>
        <w:t>B. End treatment because a negative alliance comment means no benefit occurred.</w:t>
      </w:r>
    </w:p>
    <w:p>
      <w:pPr>
        <w:spacing w:before="0" w:after="40" w:line="240" w:lineRule="auto"/>
        <w:ind w:left="216" w:hanging="216"/>
      </w:pPr>
      <w:r>
        <w:rPr>
          <w:rFonts w:ascii="Liberation Sans" w:hAnsi="Liberation Sans" w:eastAsia="Liberation Sans"/>
          <w:b/>
          <w:i w:val="0"/>
          <w:color w:val="1F2937"/>
          <w:sz w:val="18"/>
        </w:rPr>
        <w:t>C. Ask the parent to decide whether the adolescent’s concern is accurate.</w:t>
      </w:r>
    </w:p>
    <w:p>
      <w:pPr>
        <w:spacing w:before="0" w:after="40" w:line="240" w:lineRule="auto"/>
        <w:ind w:left="216" w:hanging="216"/>
      </w:pPr>
      <w:r>
        <w:rPr>
          <w:rFonts w:ascii="Liberation Sans" w:hAnsi="Liberation Sans" w:eastAsia="Liberation Sans"/>
          <w:b/>
          <w:i w:val="0"/>
          <w:color w:val="1A9A96"/>
          <w:sz w:val="18"/>
        </w:rPr>
        <w:t>D. Review symptom change, alliance, voluntariness, goals, participation, and possible therapist contribution with the client system, then revise the plan and monitor both outcomes and relationship quality.</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D4 - Evaluating Ongoing Process and Terminating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04.02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WB2-LO7, WB2-LO8 | collaborative progress evaluation, alliance feedback, autonomy, and documentation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RUPTURE, ALLY, FORCE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Symptom change is important but does not cancel concerns about coercion, alliance, autonomy, or treatment sustainability.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Alliance feedback requires evaluation and repair; it does not automatically negate all progress or require termination.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parent’s view is one part of the client system and cannot substitute for direct assessment of the adolescent’s experience.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integrates outcome data with alliance, participation, goals, therapist influence, and ongoing monitoring before selecting a revision.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Progress is multidimensional. When outcome and alliance data conflict, integrate both rather than choosing the more convenient signal.</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Compare symptoms, functioning, alliance, participation, access, and client-defined goals; revise one element and monitor whether both benefit and engagement improve.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17: Correct Answer A | CTA-LMFT-AMFTRB-WB02-Q17</w:t>
            </w:r>
          </w:p>
        </w:tc>
      </w:tr>
    </w:tbl>
    <w:p>
      <w:pPr>
        <w:keepNext/>
        <w:spacing w:before="100" w:after="60" w:line="240" w:lineRule="auto"/>
      </w:pPr>
      <w:r>
        <w:rPr>
          <w:rFonts w:ascii="Liberation Sans" w:hAnsi="Liberation Sans" w:eastAsia="Liberation Sans"/>
          <w:b/>
          <w:i w:val="0"/>
          <w:color w:val="18365B"/>
          <w:sz w:val="20"/>
        </w:rPr>
        <w:t>A Black couple tells their therapist that repeated descriptions of their assertive disagreements as “aggressive” feel stereotyped. One partner wants to discontinue treatment. The therapist intended only to describe escalation. Which response is MOST effective?</w:t>
      </w:r>
    </w:p>
    <w:p>
      <w:pPr>
        <w:spacing w:before="0" w:after="40" w:line="240" w:lineRule="auto"/>
        <w:ind w:left="216" w:hanging="216"/>
      </w:pPr>
      <w:r>
        <w:rPr>
          <w:rFonts w:ascii="Liberation Sans" w:hAnsi="Liberation Sans" w:eastAsia="Liberation Sans"/>
          <w:b/>
          <w:i w:val="0"/>
          <w:color w:val="1A9A96"/>
          <w:sz w:val="18"/>
        </w:rPr>
        <w:t>A. Acknowledge the impact without defending intent, invite the couple’s meaning and preferences, examine how bias and therapist authority may have shaped the language, make a specific change, and review whether the repair supports continued voluntary treatment.</w:t>
      </w:r>
    </w:p>
    <w:p>
      <w:pPr>
        <w:spacing w:before="0" w:after="40" w:line="240" w:lineRule="auto"/>
        <w:ind w:left="216" w:hanging="216"/>
      </w:pPr>
      <w:r>
        <w:rPr>
          <w:rFonts w:ascii="Liberation Sans" w:hAnsi="Liberation Sans" w:eastAsia="Liberation Sans"/>
          <w:b/>
          <w:i w:val="0"/>
          <w:color w:val="1F2937"/>
          <w:sz w:val="18"/>
        </w:rPr>
        <w:t>B. Explain that “aggressive” is a standard clinical term and ask the couple to separate professional language from personal feelings.</w:t>
      </w:r>
    </w:p>
    <w:p>
      <w:pPr>
        <w:spacing w:before="0" w:after="40" w:line="240" w:lineRule="auto"/>
        <w:ind w:left="216" w:hanging="216"/>
      </w:pPr>
      <w:r>
        <w:rPr>
          <w:rFonts w:ascii="Liberation Sans" w:hAnsi="Liberation Sans" w:eastAsia="Liberation Sans"/>
          <w:b/>
          <w:i w:val="0"/>
          <w:color w:val="1F2937"/>
          <w:sz w:val="18"/>
        </w:rPr>
        <w:t>C. Apologize extensively, disclose the therapist’s guilt, and ask the couple to reassure the therapist before continuing.</w:t>
      </w:r>
    </w:p>
    <w:p>
      <w:pPr>
        <w:spacing w:before="0" w:after="40" w:line="240" w:lineRule="auto"/>
        <w:ind w:left="216" w:hanging="216"/>
      </w:pPr>
      <w:r>
        <w:rPr>
          <w:rFonts w:ascii="Liberation Sans" w:hAnsi="Liberation Sans" w:eastAsia="Liberation Sans"/>
          <w:b/>
          <w:i w:val="0"/>
          <w:color w:val="1F2937"/>
          <w:sz w:val="18"/>
        </w:rPr>
        <w:t>D. Refer the couple immediately to a Black therapist without discussing their goals, preferences, fit, consent, or continuity.</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CTA-LMFT-AMFTRB-WB02-Q17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03.01 primary; 01.06 secondary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WB2-LO4, WB2-LO7, WB2-LO8 | cultural rupture, alliance repair, autonomy, accountability, and follow-up</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RUPTURE, CONTEXT, POWER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Complete repair addresses impact, culture and power, therapist contribution, an observable change, client choice, and follow-up without burdening the couple.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Defending terminology prioritizes intent and expertise over the couple’s experience and blocks repair.</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Over-apology and guilt disclosure reverse roles and ask the clients to care for the therapist.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Referral may eventually be chosen collaboratively, but an automatic race-based transfer is assumptive and bypasses repair, fit, autonomy, and continuity.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strong rupture-repair answer combines accountability with action. It does not defend intent, demand reassurance, or assume that referral is the only culturally responsive response.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REPAIR: recognize the signal, explore impact and meaning, own the therapist contribution, adjust specific behavior, and review whether the client system experiences a meaningful change.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Final Remediation Plan</w:t>
            </w:r>
          </w:p>
        </w:tc>
      </w:tr>
    </w:tbl>
    <w:tbl>
      <w:tblPr>
        <w:tblW w:type="auto" w:w="0"/>
        <w:jc w:val="center"/>
        <w:tblLayout w:type="fixed"/>
        <w:tblLook w:firstColumn="1" w:firstRow="1" w:lastColumn="0" w:lastRow="0" w:noHBand="0" w:noVBand="1" w:val="04A0"/>
      </w:tblPr>
      <w:tblGrid>
        <w:gridCol w:w="1080"/>
        <w:gridCol w:w="3600"/>
        <w:gridCol w:w="5688"/>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Code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Meaning</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Repair Rule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LINEAR</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Reduced a reciprocal pattern to one person as the cause.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CIRCLE and describe the sequence before selecting an intervention.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UNIT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Misidentified the client or treatment unit.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Name who is being served, who is present, and who is affected.</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ALLY</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Ignored alliance quality, participation, or safety.</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ALLIANCE before pushing technique or confrontation.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POWER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Missed hierarchy, coercion, access, privilege, or therapist authority.</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Identify who can safely speak, refuse, leave, or influence the process.</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CONTEXT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Used generic cultural assumptions or ignored relevant context.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Ask, do not assume; link context to this client system and decision.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SELF</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Acted from therapist reactivity, values, rescue, avoidance, or countertransference.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SELF and pause before an irreversible response.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BOUND</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Allowed role or boundary drift that increased exploitation risk.</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Clarify purpose, power, alternatives, and client benefit; consult when needed.</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COMP</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Worked beyond competence or treated consultation as optional.</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Identify the gap and obtain training, supervision, consultation, or referral.</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RUPTURE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Defended the therapist, blamed the client, or ignored feedback.</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REPAIR and make a specific observable adjustment.</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FORCE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Equated collaboration with persuading, demanding, or overriding autonomy.</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Restore choice, informed participation, and proportional pacing.</w:t>
            </w:r>
          </w:p>
        </w:tc>
      </w:tr>
    </w:tbl>
    <w:p>
      <w:pPr>
        <w:pStyle w:val="Heading2"/>
      </w:pPr>
      <w:r>
        <w:t>My Workbook 2 Repair Plan</w:t>
      </w:r>
    </w:p>
    <w:tbl>
      <w:tblPr>
        <w:tblW w:type="auto" w:w="0"/>
        <w:jc w:val="center"/>
        <w:tblLayout w:type="fixed"/>
        <w:tblLook w:firstColumn="1" w:firstRow="1" w:lastColumn="0" w:lastRow="0" w:noHBand="0" w:noVBand="1" w:val="04A0"/>
      </w:tblPr>
      <w:tblGrid>
        <w:gridCol w:w="2088"/>
        <w:gridCol w:w="2952"/>
        <w:gridCol w:w="3240"/>
        <w:gridCol w:w="2088"/>
      </w:tblGrid>
      <w:tr>
        <w:trPr>
          <w:tblHeader w:val="true"/>
        </w:trPr>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Priority Skill</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Evidence from My Work</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Next Practice Action</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Date / Result</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READINESS GATE  Proceed when you can distinguish systemic from linear reasoning, map client-system participation and power, integrate individual and systemic work, monitor therapist influence, protect competence and boundaries, repair rupture, and explain the next relational action with a transferable rule—not merely a letter.</w:t>
            </w:r>
          </w:p>
        </w:tc>
      </w:tr>
    </w:tbl>
    <w:p>
      <w:pPr>
        <w:pStyle w:val="Heading2"/>
      </w:pPr>
      <w:r>
        <w:t>Source and Integrity Notes</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2026 Handbook for Candidates, corrected/revised April 30, 2026.</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Detailed Overview of the Examination in Marital and Family Therapy, reviewed July 2026; American Association for Marriage and Family Therapy. AAMFT Code of Ethics, revised edition effective January 1,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2 Master Content Map and 17-Question Item Blueprint, Version 1.0, July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2 Student Workbook, Version 1.0, July 2026.</w:t>
      </w:r>
    </w:p>
    <w:p>
      <w:pPr>
        <w:spacing w:before="100" w:after="0" w:line="240" w:lineRule="auto"/>
      </w:pPr>
      <w:r>
        <w:rPr>
          <w:rFonts w:ascii="Liberation Sans" w:hAnsi="Liberation Sans" w:eastAsia="Liberation Sans"/>
          <w:b w:val="0"/>
          <w:i/>
          <w:color w:val="667085"/>
          <w:sz w:val="17"/>
        </w:rPr>
        <w:t>Integrity notice: All items in this bank are original CTA educational questions. No official AMFTRB or third-party sample question is reproduced. This resource supports readiness but does not guarantee passage, determine eligibility, or represent an official AMFTRB score.</w:t>
      </w:r>
    </w:p>
    <w:sectPr w:rsidR="00FC693F" w:rsidRPr="0006063C" w:rsidSect="00034616">
      <w:headerReference w:type="default" r:id="rId9"/>
      <w:footerReference w:type="default" r:id="rId10"/>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WB2 Rationales v1.0 | Page </w:t>
    </w:r>
    <w:r>
      <w:rPr>
        <w:rFonts w:ascii="Liberation Sans" w:hAnsi="Liberation San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2 - Controlled Answer Key and Detailed Rationales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2 Answer Key and Detailed Rationales</dc:title>
  <dc:subject>Controlled rationale form for Therapeutic Alliance, Systemic Practice, and Self of the Therapist</dc:subject>
  <dc:creator>Clinical Training &amp; Supervision Academy</dc:creator>
  <cp:keywords>CTA, LMFT, AMFTRB, Workbook 2,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