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40" w:lineRule="auto"/>
        <w:jc w:val="center"/>
      </w:pPr>
      <w:r>
        <w:drawing>
          <wp:inline xmlns:a="http://schemas.openxmlformats.org/drawingml/2006/main" xmlns:pic="http://schemas.openxmlformats.org/drawingml/2006/picture">
            <wp:extent cx="5029200" cy="1671869"/>
            <wp:docPr id="1" name="Picture 1" descr="Clinical Training &amp; Supervision Academy logo" title="Clinical Training &amp; Supervision Academy logo"/>
            <wp:cNvGraphicFramePr>
              <a:graphicFrameLocks noChangeAspect="1"/>
            </wp:cNvGraphicFramePr>
            <a:graphic>
              <a:graphicData uri="http://schemas.openxmlformats.org/drawingml/2006/picture">
                <pic:pic>
                  <pic:nvPicPr>
                    <pic:cNvPr id="0" name="Primary Logo (Final).jpg"/>
                    <pic:cNvPicPr/>
                  </pic:nvPicPr>
                  <pic:blipFill>
                    <a:blip r:embed="rId11"/>
                    <a:stretch>
                      <a:fillRect/>
                    </a:stretch>
                  </pic:blipFill>
                  <pic:spPr>
                    <a:xfrm>
                      <a:off x="0" y="0"/>
                      <a:ext cx="5029200" cy="1671869"/>
                    </a:xfrm>
                    <a:prstGeom prst="rect"/>
                  </pic:spPr>
                </pic:pic>
              </a:graphicData>
            </a:graphic>
          </wp:inline>
        </w:drawing>
      </w:r>
    </w:p>
    <w:p>
      <w:pPr>
        <w:spacing w:before="160" w:after="40" w:line="240" w:lineRule="auto"/>
        <w:jc w:val="center"/>
      </w:pPr>
      <w:r>
        <w:rPr>
          <w:rFonts w:ascii="Liberation Sans" w:hAnsi="Liberation Sans" w:eastAsia="Liberation Sans"/>
          <w:b/>
          <w:i w:val="0"/>
          <w:color w:val="18365B"/>
          <w:sz w:val="36"/>
        </w:rPr>
        <w:t>CTA LMFT AMFTRB</w:t>
      </w:r>
      <w:r>
        <w:br/>
      </w:r>
      <w:r>
        <w:rPr>
          <w:rFonts w:ascii="Liberation Sans" w:hAnsi="Liberation Sans" w:eastAsia="Liberation Sans"/>
          <w:b/>
          <w:i w:val="0"/>
          <w:color w:val="18365B"/>
          <w:sz w:val="34"/>
        </w:rPr>
        <w:t>NATIONAL EXAM PREPARATION PROGRAM</w:t>
      </w:r>
    </w:p>
    <w:p>
      <w:pPr>
        <w:spacing w:before="200" w:after="80" w:line="240" w:lineRule="auto"/>
        <w:jc w:val="center"/>
      </w:pPr>
      <w:r>
        <w:rPr>
          <w:rFonts w:ascii="Liberation Sans" w:hAnsi="Liberation Sans" w:eastAsia="Liberation Sans"/>
          <w:b/>
          <w:i w:val="0"/>
          <w:color w:val="1A9A96"/>
          <w:sz w:val="27"/>
        </w:rPr>
        <w:t>WORKBOOK 3 CONTROLLED ASSESSMENT</w:t>
      </w:r>
    </w:p>
    <w:p>
      <w:pPr>
        <w:spacing w:before="160" w:after="80" w:line="240" w:lineRule="auto"/>
        <w:jc w:val="center"/>
      </w:pPr>
      <w:r>
        <w:rPr>
          <w:rFonts w:ascii="Liberation Sans" w:hAnsi="Liberation Sans" w:eastAsia="Liberation Sans"/>
          <w:b/>
          <w:i w:val="0"/>
          <w:color w:val="18365B"/>
          <w:sz w:val="40"/>
        </w:rPr>
        <w:t>Answer Key and Detailed Rationales</w:t>
      </w:r>
    </w:p>
    <w:p>
      <w:pPr>
        <w:spacing w:before="40" w:after="280" w:line="240" w:lineRule="auto"/>
        <w:jc w:val="center"/>
      </w:pPr>
      <w:r>
        <w:rPr>
          <w:rFonts w:ascii="Liberation Sans" w:hAnsi="Liberation Sans" w:eastAsia="Liberation Sans"/>
          <w:b/>
          <w:i w:val="0"/>
          <w:color w:val="18365B"/>
          <w:sz w:val="25"/>
        </w:rPr>
        <w:t>17-Question Practice Bank</w:t>
      </w:r>
    </w:p>
    <w:tbl>
      <w:tblPr>
        <w:tblW w:type="auto" w:w="0"/>
        <w:jc w:val="center"/>
        <w:tblLook w:firstColumn="1" w:firstRow="1" w:lastColumn="0" w:lastRow="0" w:noHBand="0" w:noVBand="1" w:val="04A0"/>
      </w:tblPr>
      <w:tblGrid>
        <w:gridCol w:w="10454"/>
      </w:tblGrid>
      <w:tr>
        <w:tc>
          <w:tcPr>
            <w:tcW w:type="dxa" w:w="10454"/>
            <w:shd w:fill="E8F6F5"/>
            <w:tcBorders>
              <w:top w:val="single" w:sz="12" w:color="1A9A96"/>
              <w:left w:val="single" w:sz="12" w:color="1A9A96"/>
              <w:bottom w:val="single" w:sz="12" w:color="1A9A96"/>
              <w:right w:val="single" w:sz="12" w:color="1A9A96"/>
            </w:tcBorders>
            <w:tcMar>
              <w:top w:w="120" w:type="dxa"/>
              <w:start w:w="180" w:type="dxa"/>
              <w:bottom w:w="120" w:type="dxa"/>
              <w:end w:w="180" w:type="dxa"/>
            </w:tcMar>
          </w:tcPr>
          <w:p>
            <w:pPr>
              <w:spacing w:before="0" w:after="0" w:line="240" w:lineRule="auto"/>
              <w:jc w:val="center"/>
            </w:pPr>
            <w:r>
              <w:rPr>
                <w:rFonts w:ascii="Liberation Sans" w:hAnsi="Liberation Sans" w:eastAsia="Liberation Sans"/>
                <w:b/>
                <w:i w:val="0"/>
                <w:color w:val="18365B"/>
                <w:sz w:val="21"/>
              </w:rPr>
              <w:t>CONTROLLED FORM | Release only after the candidate form has been completed</w:t>
            </w:r>
          </w:p>
        </w:tc>
      </w:tr>
    </w:tbl>
    <w:p>
      <w:pPr>
        <w:spacing w:before="400" w:after="40" w:line="240" w:lineRule="auto"/>
        <w:jc w:val="center"/>
      </w:pPr>
      <w:r>
        <w:rPr>
          <w:rFonts w:ascii="Liberation Sans" w:hAnsi="Liberation Sans" w:eastAsia="Liberation Sans"/>
          <w:b/>
          <w:i w:val="0"/>
          <w:color w:val="18365B"/>
          <w:sz w:val="20"/>
        </w:rPr>
        <w:t>Version 1.0 - July 2026</w:t>
      </w:r>
      <w:r>
        <w:br/>
      </w:r>
      <w:r>
        <w:rPr>
          <w:rFonts w:ascii="Liberation Sans" w:hAnsi="Liberation Sans" w:eastAsia="Liberation Sans"/>
          <w:b/>
          <w:i w:val="0"/>
          <w:color w:val="1A9A96"/>
          <w:sz w:val="20"/>
        </w:rPr>
        <w:t>Clinical Training &amp; Supervision Academy</w:t>
      </w:r>
      <w:r>
        <w:br/>
      </w:r>
      <w:r>
        <w:rPr>
          <w:rFonts w:ascii="Liberation Sans" w:hAnsi="Liberation Sans" w:eastAsia="Liberation Sans"/>
          <w:b w:val="0"/>
          <w:i w:val="0"/>
          <w:color w:val="667085"/>
          <w:sz w:val="18"/>
        </w:rPr>
        <w:t>Exam Preparation Program | No Continuing-Education Credit</w:t>
      </w:r>
    </w:p>
    <w:p>
      <w:pPr>
        <w:spacing w:before="280" w:after="0" w:line="240" w:lineRule="auto"/>
        <w:jc w:val="center"/>
      </w:pPr>
      <w:r>
        <w:rPr>
          <w:rFonts w:ascii="Liberation Sans" w:hAnsi="Liberation Sans" w:eastAsia="Liberation Sans"/>
          <w:b/>
          <w:i/>
          <w:color w:val="18365B"/>
          <w:sz w:val="20"/>
        </w:rPr>
        <w:t>Teaching Clinicians How to Think.</w:t>
      </w:r>
    </w:p>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Controlled Use and Scoring</w:t>
            </w:r>
          </w:p>
        </w:tc>
      </w:tr>
    </w:tbl>
    <w:tbl>
      <w:tblPr>
        <w:tblW w:type="auto" w:w="0"/>
        <w:jc w:val="center"/>
        <w:tblLook w:firstColumn="1" w:firstRow="1" w:lastColumn="0" w:lastRow="0" w:noHBand="0" w:noVBand="1" w:val="04A0"/>
      </w:tblPr>
      <w:tblGrid>
        <w:gridCol w:w="10454"/>
      </w:tblGrid>
      <w:tr>
        <w:tc>
          <w:tcPr>
            <w:tcW w:type="dxa" w:w="10454"/>
            <w:shd w:fill="FDEDEC"/>
            <w:tcBorders>
              <w:top w:val="single" w:sz="10" w:color="C95555"/>
              <w:left w:val="single" w:sz="10" w:color="C95555"/>
              <w:bottom w:val="single" w:sz="10" w:color="C95555"/>
              <w:right w:val="single" w:sz="10" w:color="C95555"/>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 xml:space="preserve">RELEASE CONTROL  </w:t>
            </w:r>
            <w:r>
              <w:rPr>
                <w:rFonts w:ascii="Liberation Sans" w:hAnsi="Liberation Sans" w:eastAsia="Liberation Sans"/>
                <w:b w:val="0"/>
                <w:i w:val="0"/>
                <w:color w:val="1F2937"/>
                <w:sz w:val="19"/>
              </w:rPr>
              <w:t>This document contains answers, complete option-by-option rationales, item metadata, CTA exam strategies, and remediation rules. It should remain protected until the learner has finalized the candidate form.</w:t>
            </w:r>
          </w:p>
        </w:tc>
      </w:tr>
    </w:tbl>
    <w:tbl>
      <w:tblPr>
        <w:tblW w:type="auto" w:w="0"/>
        <w:jc w:val="center"/>
        <w:tblLayout w:type="fixed"/>
        <w:tblLook w:firstColumn="1" w:firstRow="1" w:lastColumn="0" w:lastRow="0" w:noHBand="0" w:noVBand="1" w:val="04A0"/>
      </w:tblPr>
      <w:tblGrid>
        <w:gridCol w:w="792"/>
        <w:gridCol w:w="792"/>
        <w:gridCol w:w="792"/>
        <w:gridCol w:w="792"/>
        <w:gridCol w:w="792"/>
        <w:gridCol w:w="792"/>
        <w:gridCol w:w="792"/>
        <w:gridCol w:w="792"/>
        <w:gridCol w:w="792"/>
      </w:tblGrid>
      <w:tr>
        <w:tc>
          <w:tcPr>
            <w:tcW w:type="dxa" w:w="10458"/>
            <w:gridSpan w:val="9"/>
            <w:shd w:fill="18365B"/>
            <w:tcMar>
              <w:top w:w="70" w:type="dxa"/>
              <w:start w:w="80" w:type="dxa"/>
              <w:bottom w:w="70" w:type="dxa"/>
              <w:end w:w="80" w:type="dxa"/>
            </w:tcMar>
          </w:tcPr>
          <w:p>
            <w:pPr>
              <w:spacing w:before="0" w:after="0" w:line="240" w:lineRule="auto"/>
              <w:jc w:val="center"/>
            </w:pPr>
            <w:r>
              <w:rPr>
                <w:rFonts w:ascii="Liberation Sans" w:hAnsi="Liberation Sans" w:eastAsia="Liberation Sans"/>
                <w:b/>
                <w:i w:val="0"/>
                <w:color w:val="FFFFFF"/>
                <w:sz w:val="19"/>
              </w:rPr>
              <w:t>COMPACT ANSWER KEY</w:t>
            </w:r>
          </w:p>
        </w:tc>
      </w:tr>
      <w:tr>
        <w:tc>
          <w:tcPr>
            <w:tcW w:type="dxa" w:w="1162"/>
            <w:shd w:fill="FFFFFF"/>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1</w:t>
              <w:br/>
              <w:t>A</w:t>
            </w:r>
          </w:p>
        </w:tc>
        <w:tc>
          <w:tcPr>
            <w:tcW w:type="dxa" w:w="1162"/>
            <w:shd w:fill="F3F5F7"/>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2</w:t>
              <w:br/>
              <w:t>B</w:t>
            </w:r>
          </w:p>
        </w:tc>
        <w:tc>
          <w:tcPr>
            <w:tcW w:type="dxa" w:w="1162"/>
            <w:shd w:fill="FFFFFF"/>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3</w:t>
              <w:br/>
              <w:t>C</w:t>
            </w:r>
          </w:p>
        </w:tc>
        <w:tc>
          <w:tcPr>
            <w:tcW w:type="dxa" w:w="1162"/>
            <w:shd w:fill="F3F5F7"/>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4</w:t>
              <w:br/>
              <w:t>D</w:t>
            </w:r>
          </w:p>
        </w:tc>
        <w:tc>
          <w:tcPr>
            <w:tcW w:type="dxa" w:w="1162"/>
            <w:shd w:fill="FFFFFF"/>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5</w:t>
              <w:br/>
              <w:t>A</w:t>
            </w:r>
          </w:p>
        </w:tc>
        <w:tc>
          <w:tcPr>
            <w:tcW w:type="dxa" w:w="1162"/>
            <w:shd w:fill="F3F5F7"/>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6</w:t>
              <w:br/>
              <w:t>B</w:t>
            </w:r>
          </w:p>
        </w:tc>
        <w:tc>
          <w:tcPr>
            <w:tcW w:type="dxa" w:w="1162"/>
            <w:shd w:fill="FFFFFF"/>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7</w:t>
              <w:br/>
              <w:t>C</w:t>
            </w:r>
          </w:p>
        </w:tc>
        <w:tc>
          <w:tcPr>
            <w:tcW w:type="dxa" w:w="1162"/>
            <w:shd w:fill="F3F5F7"/>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8</w:t>
              <w:br/>
              <w:t>D</w:t>
            </w:r>
          </w:p>
        </w:tc>
        <w:tc>
          <w:tcPr>
            <w:tcW w:type="dxa" w:w="1162"/>
            <w:shd w:fill="FFFFFF"/>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9</w:t>
              <w:br/>
              <w:t>A</w:t>
            </w:r>
          </w:p>
        </w:tc>
      </w:tr>
      <w:tr>
        <w:tc>
          <w:tcPr>
            <w:tcW w:type="dxa" w:w="1162"/>
            <w:shd w:fill="FFFFFF"/>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10</w:t>
              <w:br/>
              <w:t>B</w:t>
            </w:r>
          </w:p>
        </w:tc>
        <w:tc>
          <w:tcPr>
            <w:tcW w:type="dxa" w:w="1162"/>
            <w:shd w:fill="F3F5F7"/>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11</w:t>
              <w:br/>
              <w:t>C</w:t>
            </w:r>
          </w:p>
        </w:tc>
        <w:tc>
          <w:tcPr>
            <w:tcW w:type="dxa" w:w="1162"/>
            <w:shd w:fill="FFFFFF"/>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12</w:t>
              <w:br/>
              <w:t>D</w:t>
            </w:r>
          </w:p>
        </w:tc>
        <w:tc>
          <w:tcPr>
            <w:tcW w:type="dxa" w:w="1162"/>
            <w:shd w:fill="F3F5F7"/>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13</w:t>
              <w:br/>
              <w:t>A</w:t>
            </w:r>
          </w:p>
        </w:tc>
        <w:tc>
          <w:tcPr>
            <w:tcW w:type="dxa" w:w="1162"/>
            <w:shd w:fill="FFFFFF"/>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14</w:t>
              <w:br/>
              <w:t>B</w:t>
            </w:r>
          </w:p>
        </w:tc>
        <w:tc>
          <w:tcPr>
            <w:tcW w:type="dxa" w:w="1162"/>
            <w:shd w:fill="F3F5F7"/>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15</w:t>
              <w:br/>
              <w:t>C</w:t>
            </w:r>
          </w:p>
        </w:tc>
        <w:tc>
          <w:tcPr>
            <w:tcW w:type="dxa" w:w="1162"/>
            <w:shd w:fill="FFFFFF"/>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16</w:t>
              <w:br/>
              <w:t>D</w:t>
            </w:r>
          </w:p>
        </w:tc>
        <w:tc>
          <w:tcPr>
            <w:tcW w:type="dxa" w:w="1162"/>
            <w:shd w:fill="F3F5F7"/>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7"/>
              </w:rPr>
              <w:t>17</w:t>
              <w:br/>
              <w:t>A</w:t>
            </w:r>
          </w:p>
        </w:tc>
        <w:tc>
          <w:tcPr>
            <w:tcW w:type="dxa" w:w="1162"/>
            <w:shd w:fill="FFFFFF"/>
            <w:tcMar>
              <w:top w:w="55" w:type="dxa"/>
              <w:start w:w="55" w:type="dxa"/>
              <w:bottom w:w="55" w:type="dxa"/>
              <w:end w:w="5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6"/>
              </w:rPr>
            </w:r>
          </w:p>
        </w:tc>
      </w:tr>
    </w:tbl>
    <w:p>
      <w:pPr>
        <w:pStyle w:val="Heading2"/>
      </w:pPr>
      <w:r>
        <w:t>Approved Bank Controls</w:t>
      </w:r>
    </w:p>
    <w:tbl>
      <w:tblPr>
        <w:tblW w:type="auto" w:w="0"/>
        <w:jc w:val="center"/>
        <w:tblLayout w:type="fixed"/>
        <w:tblLook w:firstColumn="1" w:firstRow="1" w:lastColumn="0" w:lastRow="0" w:noHBand="0" w:noVBand="1" w:val="04A0"/>
      </w:tblPr>
      <w:tblGrid>
        <w:gridCol w:w="2448"/>
        <w:gridCol w:w="7920"/>
      </w:tblGrid>
      <w:tr>
        <w:tc>
          <w:tcPr>
            <w:tcW w:type="dxa" w:w="5227"/>
            <w:shd w:fill="EAF0F7"/>
            <w:tcMar>
              <w:top w:w="75" w:type="dxa"/>
              <w:start w:w="100" w:type="dxa"/>
              <w:bottom w:w="75" w:type="dxa"/>
              <w:end w:w="10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Total</w:t>
            </w:r>
          </w:p>
        </w:tc>
        <w:tc>
          <w:tcPr>
            <w:tcW w:type="dxa" w:w="5227"/>
            <w:shd w:fill="FFFFFF"/>
            <w:tcMar>
              <w:top w:w="75" w:type="dxa"/>
              <w:start w:w="100" w:type="dxa"/>
              <w:bottom w:w="75" w:type="dxa"/>
              <w:end w:w="10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7"/>
              </w:rPr>
              <w:t>17 original one-best-answer items</w:t>
            </w:r>
          </w:p>
        </w:tc>
      </w:tr>
      <w:tr>
        <w:tc>
          <w:tcPr>
            <w:tcW w:type="dxa" w:w="5227"/>
            <w:shd w:fill="F3F5F7"/>
            <w:tcMar>
              <w:top w:w="75" w:type="dxa"/>
              <w:start w:w="100" w:type="dxa"/>
              <w:bottom w:w="75" w:type="dxa"/>
              <w:end w:w="10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Difficulty</w:t>
            </w:r>
          </w:p>
        </w:tc>
        <w:tc>
          <w:tcPr>
            <w:tcW w:type="dxa" w:w="5227"/>
            <w:shd w:fill="F3F5F7"/>
            <w:tcMar>
              <w:top w:w="75" w:type="dxa"/>
              <w:start w:w="100" w:type="dxa"/>
              <w:bottom w:w="75" w:type="dxa"/>
              <w:end w:w="10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7"/>
              </w:rPr>
              <w:t>5 Easy | 7 Moderate | 5 Difficult</w:t>
            </w:r>
          </w:p>
        </w:tc>
      </w:tr>
      <w:tr>
        <w:tc>
          <w:tcPr>
            <w:tcW w:type="dxa" w:w="5227"/>
            <w:shd w:fill="EAF0F7"/>
            <w:tcMar>
              <w:top w:w="75" w:type="dxa"/>
              <w:start w:w="100" w:type="dxa"/>
              <w:bottom w:w="75" w:type="dxa"/>
              <w:end w:w="10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Type</w:t>
            </w:r>
          </w:p>
        </w:tc>
        <w:tc>
          <w:tcPr>
            <w:tcW w:type="dxa" w:w="5227"/>
            <w:shd w:fill="FFFFFF"/>
            <w:tcMar>
              <w:top w:w="75" w:type="dxa"/>
              <w:start w:w="100" w:type="dxa"/>
              <w:bottom w:w="75" w:type="dxa"/>
              <w:end w:w="10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7"/>
              </w:rPr>
              <w:t>3 Knowledge/Recall | 5 Application | 6 Scenario-Based | 3 Integrated Clinical Reasoning</w:t>
            </w:r>
          </w:p>
        </w:tc>
      </w:tr>
      <w:tr>
        <w:tc>
          <w:tcPr>
            <w:tcW w:type="dxa" w:w="5227"/>
            <w:shd w:fill="F3F5F7"/>
            <w:tcMar>
              <w:top w:w="75" w:type="dxa"/>
              <w:start w:w="100" w:type="dxa"/>
              <w:bottom w:w="75" w:type="dxa"/>
              <w:end w:w="10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Primary domains</w:t>
            </w:r>
          </w:p>
        </w:tc>
        <w:tc>
          <w:tcPr>
            <w:tcW w:type="dxa" w:w="5227"/>
            <w:shd w:fill="F3F5F7"/>
            <w:tcMar>
              <w:top w:w="75" w:type="dxa"/>
              <w:start w:w="100" w:type="dxa"/>
              <w:bottom w:w="75" w:type="dxa"/>
              <w:end w:w="10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7"/>
              </w:rPr>
              <w:t>D2: 13 | D5: 2 | D1: 1 | D6: 1</w:t>
            </w:r>
          </w:p>
        </w:tc>
      </w:tr>
      <w:tr>
        <w:tc>
          <w:tcPr>
            <w:tcW w:type="dxa" w:w="5227"/>
            <w:shd w:fill="EAF0F7"/>
            <w:tcMar>
              <w:top w:w="75" w:type="dxa"/>
              <w:start w:w="100" w:type="dxa"/>
              <w:bottom w:w="75" w:type="dxa"/>
              <w:end w:w="10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Answer positions</w:t>
            </w:r>
          </w:p>
        </w:tc>
        <w:tc>
          <w:tcPr>
            <w:tcW w:type="dxa" w:w="5227"/>
            <w:shd w:fill="FFFFFF"/>
            <w:tcMar>
              <w:top w:w="75" w:type="dxa"/>
              <w:start w:w="100" w:type="dxa"/>
              <w:bottom w:w="75" w:type="dxa"/>
              <w:end w:w="10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7"/>
              </w:rPr>
              <w:t>A: 5 | B: 4 | C: 4 | D: 4</w:t>
            </w:r>
          </w:p>
        </w:tc>
      </w:tr>
      <w:tr>
        <w:tc>
          <w:tcPr>
            <w:tcW w:type="dxa" w:w="5227"/>
            <w:shd w:fill="F3F5F7"/>
            <w:tcMar>
              <w:top w:w="75" w:type="dxa"/>
              <w:start w:w="100" w:type="dxa"/>
              <w:bottom w:w="75" w:type="dxa"/>
              <w:end w:w="10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Security</w:t>
            </w:r>
          </w:p>
        </w:tc>
        <w:tc>
          <w:tcPr>
            <w:tcW w:type="dxa" w:w="5227"/>
            <w:shd w:fill="F3F5F7"/>
            <w:tcMar>
              <w:top w:w="75" w:type="dxa"/>
              <w:start w:w="100" w:type="dxa"/>
              <w:bottom w:w="75" w:type="dxa"/>
              <w:end w:w="10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7"/>
              </w:rPr>
              <w:t>Candidate form completed before this controlled form is released</w:t>
            </w:r>
          </w:p>
        </w:tc>
      </w:tr>
    </w:tbl>
    <w:tbl>
      <w:tblPr>
        <w:tblW w:type="auto" w:w="0"/>
        <w:jc w:val="center"/>
        <w:tblLook w:firstColumn="1" w:firstRow="1" w:lastColumn="0" w:lastRow="0" w:noHBand="0" w:noVBand="1" w:val="04A0"/>
      </w:tblPr>
      <w:tblGrid>
        <w:gridCol w:w="10454"/>
      </w:tblGrid>
      <w:tr>
        <w:tc>
          <w:tcPr>
            <w:tcW w:type="dxa" w:w="10454"/>
            <w:shd w:fill="FFF6DC"/>
            <w:tcBorders>
              <w:top w:val="single" w:sz="10" w:color="D8A400"/>
              <w:left w:val="single" w:sz="10" w:color="D8A400"/>
              <w:bottom w:val="single" w:sz="10" w:color="D8A400"/>
              <w:right w:val="single" w:sz="10" w:color="D8A400"/>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PRODUCTION ALIGNMENT NOTE  The final bank matches the approved Workbook 3 item-by-item blueprint: 5 Easy, 7 Moderate, 5 Difficult; 3 Knowledge/Recall, 5 Application, 6 Scenario-Based, and 3 Integrated Clinical Reasoning; D2=13, D5=2, D1=1, D6=1; A=5, B=4, C=4, D=4.</w:t>
            </w:r>
          </w:p>
        </w:tc>
      </w:tr>
    </w:tbl>
    <w:p>
      <w:pPr>
        <w:pStyle w:val="Heading2"/>
      </w:pPr>
      <w:r>
        <w:t>Score and Domain Reflection</w:t>
      </w:r>
    </w:p>
    <w:p>
      <w:pPr>
        <w:spacing w:before="0" w:after="0" w:line="240" w:lineRule="auto"/>
      </w:pPr>
      <w:r>
        <w:rPr>
          <w:rFonts w:ascii="Liberation Sans" w:hAnsi="Liberation Sans" w:eastAsia="Liberation Sans"/>
          <w:b w:val="0"/>
          <w:i w:val="0"/>
          <w:color w:val="1F2937"/>
          <w:sz w:val="18"/>
        </w:rPr>
        <w:t>CTA raw scores are not official passing scores. Use accuracy, confidence, time, domain patterns, and Workbook 3 error codes together to identify the next study action.</w:t>
      </w:r>
    </w:p>
    <w:tbl>
      <w:tblPr>
        <w:tblW w:type="auto" w:w="0"/>
        <w:jc w:val="center"/>
        <w:tblLayout w:type="fixed"/>
        <w:tblLook w:firstColumn="1" w:firstRow="1" w:lastColumn="0" w:lastRow="0" w:noHBand="0" w:noVBand="1" w:val="04A0"/>
      </w:tblPr>
      <w:tblGrid>
        <w:gridCol w:w="1296"/>
        <w:gridCol w:w="4608"/>
        <w:gridCol w:w="2160"/>
      </w:tblGrid>
      <w:tr>
        <w:trPr>
          <w:tblHeader w:val="true"/>
        </w:trPr>
        <w:tc>
          <w:tcPr>
            <w:tcW w:type="dxa" w:w="3485"/>
            <w:shd w:fill="18365B"/>
            <w:tcMar>
              <w:top w:w="70" w:type="dxa"/>
              <w:start w:w="80" w:type="dxa"/>
              <w:bottom w:w="70" w:type="dxa"/>
              <w:end w:w="80" w:type="dxa"/>
            </w:tcMar>
            <w:tcBorders>
              <w:top w:val="single" w:sz="4" w:color="18365B"/>
              <w:left w:val="single" w:sz="4" w:color="18365B"/>
              <w:bottom w:val="single" w:sz="4" w:color="18365B"/>
              <w:right w:val="single" w:sz="4" w:color="18365B"/>
            </w:tcBorders>
          </w:tcPr>
          <w:p>
            <w:pPr>
              <w:spacing w:before="0" w:after="0" w:line="240" w:lineRule="auto"/>
              <w:jc w:val="center"/>
            </w:pPr>
            <w:r>
              <w:rPr>
                <w:rFonts w:ascii="Liberation Sans" w:hAnsi="Liberation Sans" w:eastAsia="Liberation Sans"/>
                <w:b/>
                <w:i w:val="0"/>
                <w:color w:val="FFFFFF"/>
                <w:sz w:val="17"/>
              </w:rPr>
              <w:t>Domain</w:t>
            </w:r>
          </w:p>
        </w:tc>
        <w:tc>
          <w:tcPr>
            <w:tcW w:type="dxa" w:w="3485"/>
            <w:shd w:fill="18365B"/>
            <w:tcMar>
              <w:top w:w="70" w:type="dxa"/>
              <w:start w:w="80" w:type="dxa"/>
              <w:bottom w:w="70" w:type="dxa"/>
              <w:end w:w="80" w:type="dxa"/>
            </w:tcMar>
            <w:tcBorders>
              <w:top w:val="single" w:sz="4" w:color="18365B"/>
              <w:left w:val="single" w:sz="4" w:color="18365B"/>
              <w:bottom w:val="single" w:sz="4" w:color="18365B"/>
              <w:right w:val="single" w:sz="4" w:color="18365B"/>
            </w:tcBorders>
          </w:tcPr>
          <w:p>
            <w:pPr>
              <w:spacing w:before="0" w:after="0" w:line="240" w:lineRule="auto"/>
              <w:jc w:val="center"/>
            </w:pPr>
            <w:r>
              <w:rPr>
                <w:rFonts w:ascii="Liberation Sans" w:hAnsi="Liberation Sans" w:eastAsia="Liberation Sans"/>
                <w:b/>
                <w:i w:val="0"/>
                <w:color w:val="FFFFFF"/>
                <w:sz w:val="17"/>
              </w:rPr>
              <w:t>Items</w:t>
            </w:r>
          </w:p>
        </w:tc>
        <w:tc>
          <w:tcPr>
            <w:tcW w:type="dxa" w:w="3485"/>
            <w:shd w:fill="18365B"/>
            <w:tcMar>
              <w:top w:w="70" w:type="dxa"/>
              <w:start w:w="80" w:type="dxa"/>
              <w:bottom w:w="70" w:type="dxa"/>
              <w:end w:w="80" w:type="dxa"/>
            </w:tcMar>
            <w:tcBorders>
              <w:top w:val="single" w:sz="4" w:color="18365B"/>
              <w:left w:val="single" w:sz="4" w:color="18365B"/>
              <w:bottom w:val="single" w:sz="4" w:color="18365B"/>
              <w:right w:val="single" w:sz="4" w:color="18365B"/>
            </w:tcBorders>
          </w:tcPr>
          <w:p>
            <w:pPr>
              <w:spacing w:before="0" w:after="0" w:line="240" w:lineRule="auto"/>
              <w:jc w:val="center"/>
            </w:pPr>
            <w:r>
              <w:rPr>
                <w:rFonts w:ascii="Liberation Sans" w:hAnsi="Liberation Sans" w:eastAsia="Liberation Sans"/>
                <w:b/>
                <w:i w:val="0"/>
                <w:color w:val="FFFFFF"/>
                <w:sz w:val="17"/>
              </w:rPr>
              <w:t>Raw Result</w:t>
            </w:r>
          </w:p>
        </w:tc>
      </w:tr>
      <w:tr>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7"/>
              </w:rPr>
              <w:t>D2</w:t>
            </w:r>
          </w:p>
        </w:tc>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7"/>
              </w:rPr>
              <w:t>Q1-Q12, Q15-Q16</w:t>
            </w:r>
          </w:p>
        </w:tc>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7"/>
              </w:rPr>
              <w:t>____ / 13</w:t>
            </w:r>
          </w:p>
        </w:tc>
      </w:tr>
      <w:tr>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7"/>
              </w:rPr>
              <w:t>D5</w:t>
            </w:r>
          </w:p>
        </w:tc>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7"/>
              </w:rPr>
              <w:t>Q13-Q14</w:t>
            </w:r>
          </w:p>
        </w:tc>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7"/>
              </w:rPr>
              <w:t>____ / 2</w:t>
            </w:r>
          </w:p>
        </w:tc>
      </w:tr>
      <w:tr>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7"/>
              </w:rPr>
              <w:t>D1</w:t>
            </w:r>
          </w:p>
        </w:tc>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7"/>
              </w:rPr>
              <w:t>Q17</w:t>
            </w:r>
          </w:p>
        </w:tc>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7"/>
              </w:rPr>
              <w:t>____ / 1</w:t>
            </w:r>
          </w:p>
        </w:tc>
      </w:tr>
      <w:tr>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7"/>
              </w:rPr>
              <w:t>D6</w:t>
            </w:r>
          </w:p>
        </w:tc>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7"/>
              </w:rPr>
              <w:t>Q11</w:t>
            </w:r>
          </w:p>
        </w:tc>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7"/>
              </w:rPr>
              <w:t>____ / 1</w:t>
            </w:r>
          </w:p>
        </w:tc>
      </w:tr>
      <w:tr>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7"/>
              </w:rPr>
              <w:t>Integrated note</w:t>
            </w:r>
          </w:p>
        </w:tc>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7"/>
              </w:rPr>
              <w:t>Several items bridge assessment, crisis, systemic participation, and professional standards.</w:t>
            </w:r>
          </w:p>
        </w:tc>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7"/>
              </w:rPr>
              <w:t>Review both the primary domain and the error code.</w:t>
            </w:r>
          </w:p>
        </w:tc>
      </w:tr>
      <w:tr>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7"/>
              </w:rPr>
              <w:t>Highest-priority repair</w:t>
            </w:r>
          </w:p>
        </w:tc>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7"/>
              </w:rPr>
              <w:t>________________________________________</w:t>
            </w:r>
          </w:p>
        </w:tc>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7"/>
              </w:rPr>
              <w:t>________________________________________</w:t>
            </w:r>
          </w:p>
        </w:tc>
      </w:tr>
    </w:tbl>
    <w:p>
      <w:pPr>
        <w:pStyle w:val="Heading3"/>
      </w:pPr>
      <w:r>
        <w:t>CTA Instructional Score Bands</w:t>
      </w:r>
    </w:p>
    <w:tbl>
      <w:tblPr>
        <w:tblW w:type="auto" w:w="0"/>
        <w:jc w:val="center"/>
        <w:tblLayout w:type="fixed"/>
        <w:tblLook w:firstColumn="1" w:firstRow="1" w:lastColumn="0" w:lastRow="0" w:noHBand="0" w:noVBand="1" w:val="04A0"/>
      </w:tblPr>
      <w:tblGrid>
        <w:gridCol w:w="1224"/>
        <w:gridCol w:w="2520"/>
        <w:gridCol w:w="6624"/>
      </w:tblGrid>
      <w:tr>
        <w:trPr>
          <w:tblHeader w:val="true"/>
        </w:trPr>
        <w:tc>
          <w:tcPr>
            <w:tcW w:type="dxa" w:w="3485"/>
            <w:shd w:fill="18365B"/>
            <w:tcMar>
              <w:top w:w="70" w:type="dxa"/>
              <w:start w:w="80" w:type="dxa"/>
              <w:bottom w:w="70" w:type="dxa"/>
              <w:end w:w="80" w:type="dxa"/>
            </w:tcMar>
            <w:tcBorders>
              <w:top w:val="single" w:sz="4" w:color="18365B"/>
              <w:left w:val="single" w:sz="4" w:color="18365B"/>
              <w:bottom w:val="single" w:sz="4" w:color="18365B"/>
              <w:right w:val="single" w:sz="4" w:color="18365B"/>
            </w:tcBorders>
          </w:tcPr>
          <w:p>
            <w:pPr>
              <w:spacing w:before="0" w:after="0" w:line="240" w:lineRule="auto"/>
              <w:jc w:val="center"/>
            </w:pPr>
            <w:r>
              <w:rPr>
                <w:rFonts w:ascii="Liberation Sans" w:hAnsi="Liberation Sans" w:eastAsia="Liberation Sans"/>
                <w:b/>
                <w:i w:val="0"/>
                <w:color w:val="FFFFFF"/>
                <w:sz w:val="16"/>
              </w:rPr>
              <w:t>Raw Score</w:t>
            </w:r>
          </w:p>
        </w:tc>
        <w:tc>
          <w:tcPr>
            <w:tcW w:type="dxa" w:w="3485"/>
            <w:shd w:fill="18365B"/>
            <w:tcMar>
              <w:top w:w="70" w:type="dxa"/>
              <w:start w:w="80" w:type="dxa"/>
              <w:bottom w:w="70" w:type="dxa"/>
              <w:end w:w="80" w:type="dxa"/>
            </w:tcMar>
            <w:tcBorders>
              <w:top w:val="single" w:sz="4" w:color="18365B"/>
              <w:left w:val="single" w:sz="4" w:color="18365B"/>
              <w:bottom w:val="single" w:sz="4" w:color="18365B"/>
              <w:right w:val="single" w:sz="4" w:color="18365B"/>
            </w:tcBorders>
          </w:tcPr>
          <w:p>
            <w:pPr>
              <w:spacing w:before="0" w:after="0" w:line="240" w:lineRule="auto"/>
              <w:jc w:val="center"/>
            </w:pPr>
            <w:r>
              <w:rPr>
                <w:rFonts w:ascii="Liberation Sans" w:hAnsi="Liberation Sans" w:eastAsia="Liberation Sans"/>
                <w:b/>
                <w:i w:val="0"/>
                <w:color w:val="FFFFFF"/>
                <w:sz w:val="16"/>
              </w:rPr>
              <w:t>Interpretation</w:t>
            </w:r>
          </w:p>
        </w:tc>
        <w:tc>
          <w:tcPr>
            <w:tcW w:type="dxa" w:w="3485"/>
            <w:shd w:fill="18365B"/>
            <w:tcMar>
              <w:top w:w="70" w:type="dxa"/>
              <w:start w:w="80" w:type="dxa"/>
              <w:bottom w:w="70" w:type="dxa"/>
              <w:end w:w="80" w:type="dxa"/>
            </w:tcMar>
            <w:tcBorders>
              <w:top w:val="single" w:sz="4" w:color="18365B"/>
              <w:left w:val="single" w:sz="4" w:color="18365B"/>
              <w:bottom w:val="single" w:sz="4" w:color="18365B"/>
              <w:right w:val="single" w:sz="4" w:color="18365B"/>
            </w:tcBorders>
          </w:tcPr>
          <w:p>
            <w:pPr>
              <w:spacing w:before="0" w:after="0" w:line="240" w:lineRule="auto"/>
              <w:jc w:val="center"/>
            </w:pPr>
            <w:r>
              <w:rPr>
                <w:rFonts w:ascii="Liberation Sans" w:hAnsi="Liberation Sans" w:eastAsia="Liberation Sans"/>
                <w:b/>
                <w:i w:val="0"/>
                <w:color w:val="FFFFFF"/>
                <w:sz w:val="16"/>
              </w:rPr>
              <w:t>Recommended Action</w:t>
            </w:r>
          </w:p>
        </w:tc>
      </w:tr>
      <w:tr>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6"/>
              </w:rPr>
              <w:t>15-17</w:t>
            </w:r>
          </w:p>
        </w:tc>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Strong Workbook 3 foundation</w:t>
            </w:r>
          </w:p>
        </w:tc>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Review low-confidence correct answers and any high-confidence miss; rehearse the applicable Workbook 3 tool.</w:t>
            </w:r>
          </w:p>
        </w:tc>
      </w:tr>
      <w:tr>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6"/>
              </w:rPr>
              <w:t>12-14</w:t>
            </w:r>
          </w:p>
        </w:tc>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Developing consistency</w:t>
            </w:r>
          </w:p>
        </w:tc>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Revisit INTAKE, BASELINE, MAPS, LENSES, SCREEN, and ROUTE; redo missed items without the key.</w:t>
            </w:r>
          </w:p>
        </w:tc>
      </w:tr>
      <w:tr>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6"/>
              </w:rPr>
              <w:t>9-11</w:t>
            </w:r>
          </w:p>
        </w:tc>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Important assessment gaps</w:t>
            </w:r>
          </w:p>
        </w:tc>
        <w:tc>
          <w:tcPr>
            <w:tcW w:type="dxa" w:w="3485"/>
            <w:shd w:fill="FFFFFF"/>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Study by Workbook 3 error code, repeat the relevant case or worksheet, and retake with a fresh answer record.</w:t>
            </w:r>
          </w:p>
        </w:tc>
      </w:tr>
      <w:tr>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val="0"/>
                <w:i w:val="0"/>
                <w:color w:val="1F2937"/>
                <w:sz w:val="16"/>
              </w:rPr>
              <w:t>0-8</w:t>
            </w:r>
          </w:p>
        </w:tc>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Foundation needs reinforcement</w:t>
            </w:r>
          </w:p>
        </w:tc>
        <w:tc>
          <w:tcPr>
            <w:tcW w:type="dxa" w:w="3485"/>
            <w:shd w:fill="F3F5F7"/>
            <w:tcMar>
              <w:top w:w="65" w:type="dxa"/>
              <w:start w:w="80" w:type="dxa"/>
              <w:bottom w:w="65" w:type="dxa"/>
              <w:end w:w="80"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Return to Workbook 3 in sequence and practice one assessment tool at a time before another timed attempt.</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1: Correct Answer A | CTA-LMFT-AMFTRB-WB03-Q01</w:t>
            </w:r>
          </w:p>
        </w:tc>
      </w:tr>
    </w:tbl>
    <w:p>
      <w:pPr>
        <w:keepNext/>
        <w:spacing w:before="100" w:after="60" w:line="240" w:lineRule="auto"/>
      </w:pPr>
      <w:r>
        <w:rPr>
          <w:rFonts w:ascii="Liberation Sans" w:hAnsi="Liberation Sans" w:eastAsia="Liberation Sans"/>
          <w:b/>
          <w:i w:val="0"/>
          <w:color w:val="18365B"/>
          <w:sz w:val="20"/>
        </w:rPr>
        <w:t>At intake, the therapist documents: “Jordan looked toward the spouse before answering, paused several seconds, and lowered the voice when finances were discussed.” Which statement MOST accurately characterizes this entry?</w:t>
      </w:r>
    </w:p>
    <w:p>
      <w:pPr>
        <w:spacing w:before="0" w:after="40" w:line="240" w:lineRule="auto"/>
        <w:ind w:left="216" w:hanging="216"/>
      </w:pPr>
      <w:r>
        <w:rPr>
          <w:rFonts w:ascii="Liberation Sans" w:hAnsi="Liberation Sans" w:eastAsia="Liberation Sans"/>
          <w:b/>
          <w:i w:val="0"/>
          <w:color w:val="1A9A96"/>
          <w:sz w:val="18"/>
        </w:rPr>
        <w:t>A. This is a direct behavioral observation and should be kept separate from any hypothesis about fear, deception, or control.</w:t>
      </w:r>
    </w:p>
    <w:p>
      <w:pPr>
        <w:spacing w:before="0" w:after="40" w:line="240" w:lineRule="auto"/>
        <w:ind w:left="216" w:hanging="216"/>
      </w:pPr>
      <w:r>
        <w:rPr>
          <w:rFonts w:ascii="Liberation Sans" w:hAnsi="Liberation Sans" w:eastAsia="Liberation Sans"/>
          <w:b/>
          <w:i w:val="0"/>
          <w:color w:val="1F2937"/>
          <w:sz w:val="18"/>
        </w:rPr>
        <w:t>B. It proves Jordan is withholding financial information from the spouse.</w:t>
      </w:r>
    </w:p>
    <w:p>
      <w:pPr>
        <w:spacing w:before="0" w:after="40" w:line="240" w:lineRule="auto"/>
        <w:ind w:left="216" w:hanging="216"/>
      </w:pPr>
      <w:r>
        <w:rPr>
          <w:rFonts w:ascii="Liberation Sans" w:hAnsi="Liberation Sans" w:eastAsia="Liberation Sans"/>
          <w:b/>
          <w:i w:val="0"/>
          <w:color w:val="1F2937"/>
          <w:sz w:val="18"/>
        </w:rPr>
        <w:t>C. It is a collateral report because the spouse was present when the behavior occurred.</w:t>
      </w:r>
    </w:p>
    <w:p>
      <w:pPr>
        <w:spacing w:before="0" w:after="40" w:line="240" w:lineRule="auto"/>
        <w:ind w:left="216" w:hanging="216"/>
      </w:pPr>
      <w:r>
        <w:rPr>
          <w:rFonts w:ascii="Liberation Sans" w:hAnsi="Liberation Sans" w:eastAsia="Liberation Sans"/>
          <w:b/>
          <w:i w:val="0"/>
          <w:color w:val="1F2937"/>
          <w:sz w:val="18"/>
        </w:rPr>
        <w:t>D. It establishes coercive control and requires the therapist to end the conjoint assessment immediately.</w:t>
      </w:r>
    </w:p>
    <w:tbl>
      <w:tblPr>
        <w:tblW w:type="auto" w:w="0"/>
        <w:jc w:val="center"/>
        <w:tblLayout w:type="fixed"/>
        <w:tblLook w:firstColumn="1" w:firstRow="1" w:lastColumn="0" w:lastRow="0" w:noHBand="0" w:noVBand="1" w:val="04A0"/>
      </w:tblPr>
      <w:tblGrid>
        <w:gridCol w:w="2376"/>
        <w:gridCol w:w="7992"/>
      </w:tblGrid>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CTA-LMFT-AMFTRB-WB03-Q01</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D2 - Assessing, Hypothesizing, and Diagnosing</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02.01</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 objective alignment</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WB3-LO2 | K25-K30 - interviewing, behavioral observation, source distinctions, and cautious inference</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Knowledge/Recall / Easy</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None</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SOURCE</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A</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CORRECT. The entry describes observable behavior and preserves the distinction between evidence and interpretation. Any explanation for the behavior remains a hypothesis requiring further assessment.</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B</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The behavior may have many meanings; it does not prove deception or establish the content of what Jordan may be withholding.</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C</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A collateral report is information supplied by another source. The therapist directly observed these behaviors.</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D</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The observation may justify careful safety and participation assessment, but it does not by itself establish coercive control or dictate an immediate treatment-unit decision.</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CTA EXAM STRATEGY  Separate what was seen or heard from what it might mean. Strong assessment documentation preserves source, context, and uncertainty.</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TRANSFERABLE REPAIR RULE  Use SOURCE: label each fact as observation, client report, collateral report, record data, screening result, or clinical inference before drawing a conclusion.</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2: Correct Answer B | CTA-LMFT-AMFTRB-WB03-Q02</w:t>
            </w:r>
          </w:p>
        </w:tc>
      </w:tr>
    </w:tbl>
    <w:p>
      <w:pPr>
        <w:keepNext/>
        <w:spacing w:before="100" w:after="60" w:line="240" w:lineRule="auto"/>
      </w:pPr>
      <w:r>
        <w:rPr>
          <w:rFonts w:ascii="Liberation Sans" w:hAnsi="Liberation Sans" w:eastAsia="Liberation Sans"/>
          <w:b/>
          <w:i w:val="0"/>
          <w:color w:val="18365B"/>
          <w:sz w:val="20"/>
        </w:rPr>
        <w:t>During a mental-status assessment, a client says, “I feel anxious,” speaks in a quiet monotone, shows little facial variation, and is oriented to person, place, and date. Which finding primarily describes AFFECT?</w:t>
      </w:r>
    </w:p>
    <w:p>
      <w:pPr>
        <w:spacing w:before="0" w:after="40" w:line="240" w:lineRule="auto"/>
        <w:ind w:left="216" w:hanging="216"/>
      </w:pPr>
      <w:r>
        <w:rPr>
          <w:rFonts w:ascii="Liberation Sans" w:hAnsi="Liberation Sans" w:eastAsia="Liberation Sans"/>
          <w:b/>
          <w:i w:val="0"/>
          <w:color w:val="1F2937"/>
          <w:sz w:val="18"/>
        </w:rPr>
        <w:t>A. The client’s report of feeling anxious</w:t>
      </w:r>
    </w:p>
    <w:p>
      <w:pPr>
        <w:spacing w:before="0" w:after="40" w:line="240" w:lineRule="auto"/>
        <w:ind w:left="216" w:hanging="216"/>
      </w:pPr>
      <w:r>
        <w:rPr>
          <w:rFonts w:ascii="Liberation Sans" w:hAnsi="Liberation Sans" w:eastAsia="Liberation Sans"/>
          <w:b/>
          <w:i w:val="0"/>
          <w:color w:val="1A9A96"/>
          <w:sz w:val="18"/>
        </w:rPr>
        <w:t>B. The limited visible emotional range and facial reactivity</w:t>
      </w:r>
    </w:p>
    <w:p>
      <w:pPr>
        <w:spacing w:before="0" w:after="40" w:line="240" w:lineRule="auto"/>
        <w:ind w:left="216" w:hanging="216"/>
      </w:pPr>
      <w:r>
        <w:rPr>
          <w:rFonts w:ascii="Liberation Sans" w:hAnsi="Liberation Sans" w:eastAsia="Liberation Sans"/>
          <w:b/>
          <w:i w:val="0"/>
          <w:color w:val="1F2937"/>
          <w:sz w:val="18"/>
        </w:rPr>
        <w:t>C. The quiet speech volume and monotone quality</w:t>
      </w:r>
    </w:p>
    <w:p>
      <w:pPr>
        <w:spacing w:before="0" w:after="40" w:line="240" w:lineRule="auto"/>
        <w:ind w:left="216" w:hanging="216"/>
      </w:pPr>
      <w:r>
        <w:rPr>
          <w:rFonts w:ascii="Liberation Sans" w:hAnsi="Liberation Sans" w:eastAsia="Liberation Sans"/>
          <w:b/>
          <w:i w:val="0"/>
          <w:color w:val="1F2937"/>
          <w:sz w:val="18"/>
        </w:rPr>
        <w:t>D. The ability to identify person, place, and date</w:t>
      </w:r>
    </w:p>
    <w:tbl>
      <w:tblPr>
        <w:tblW w:type="auto" w:w="0"/>
        <w:jc w:val="center"/>
        <w:tblLayout w:type="fixed"/>
        <w:tblLook w:firstColumn="1" w:firstRow="1" w:lastColumn="0" w:lastRow="0" w:noHBand="0" w:noVBand="1" w:val="04A0"/>
      </w:tblPr>
      <w:tblGrid>
        <w:gridCol w:w="2376"/>
        <w:gridCol w:w="7992"/>
      </w:tblGrid>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CTA-LMFT-AMFTRB-WB03-Q02</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D2 - Assessing, Hypothesizing, and Diagnosing</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02.02</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 objective alignment</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WB3-LO3 | K25-K26 - mental-status organization and diagnostic interviewing</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Knowledge/Recall / Easy</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None</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MSE</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A</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“I feel anxious” is the client’s reported mood or internal emotional state.</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B</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CORRECT. Affect refers to the therapist’s observation of emotional expression, including range, intensity, reactivity, and congruence.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C</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Speech volume and prosody belong primarily to speech and language observations, although they may be clinically related to mood and affect.</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D</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Orientation to person, place, and date is part of sensorium and cognition.</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CTA EXAM STRATEGY  Match the fact to the MSE domain before interpreting it. Mood is reported; affect is observed.</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TRANSFERABLE REPAIR RULE  Use BASELINE: organize appearance and behavior, cognition, emotion, language and thought, insight and judgment, then identify what is observed versus reported.</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3: Correct Answer C | CTA-LMFT-AMFTRB-WB03-Q03</w:t>
            </w:r>
          </w:p>
        </w:tc>
      </w:tr>
    </w:tbl>
    <w:p>
      <w:pPr>
        <w:keepNext/>
        <w:spacing w:before="100" w:after="60" w:line="240" w:lineRule="auto"/>
      </w:pPr>
      <w:r>
        <w:rPr>
          <w:rFonts w:ascii="Liberation Sans" w:hAnsi="Liberation Sans" w:eastAsia="Liberation Sans"/>
          <w:b/>
          <w:i w:val="0"/>
          <w:color w:val="18365B"/>
          <w:sz w:val="20"/>
        </w:rPr>
        <w:t>A 68-year-old client who has previously been organized and fully oriented begins repeating questions, appears confused about the date, and reports starting a new medication yesterday. What should the therapist do FIRST?</w:t>
      </w:r>
    </w:p>
    <w:p>
      <w:pPr>
        <w:spacing w:before="0" w:after="40" w:line="240" w:lineRule="auto"/>
        <w:ind w:left="216" w:hanging="216"/>
      </w:pPr>
      <w:r>
        <w:rPr>
          <w:rFonts w:ascii="Liberation Sans" w:hAnsi="Liberation Sans" w:eastAsia="Liberation Sans"/>
          <w:b/>
          <w:i w:val="0"/>
          <w:color w:val="1F2937"/>
          <w:sz w:val="18"/>
        </w:rPr>
        <w:t>A. Continue the session and interpret the confusion as avoidance of a difficult topic.</w:t>
      </w:r>
    </w:p>
    <w:p>
      <w:pPr>
        <w:spacing w:before="0" w:after="40" w:line="240" w:lineRule="auto"/>
        <w:ind w:left="216" w:hanging="216"/>
      </w:pPr>
      <w:r>
        <w:rPr>
          <w:rFonts w:ascii="Liberation Sans" w:hAnsi="Liberation Sans" w:eastAsia="Liberation Sans"/>
          <w:b/>
          <w:i w:val="0"/>
          <w:color w:val="1F2937"/>
          <w:sz w:val="18"/>
        </w:rPr>
        <w:t>B. Administer a relationship-satisfaction inventory to determine whether couple conflict is causing the change.</w:t>
      </w:r>
    </w:p>
    <w:p>
      <w:pPr>
        <w:spacing w:before="0" w:after="40" w:line="240" w:lineRule="auto"/>
        <w:ind w:left="216" w:hanging="216"/>
      </w:pPr>
      <w:r>
        <w:rPr>
          <w:rFonts w:ascii="Liberation Sans" w:hAnsi="Liberation Sans" w:eastAsia="Liberation Sans"/>
          <w:b/>
          <w:i w:val="0"/>
          <w:color w:val="1A9A96"/>
          <w:sz w:val="18"/>
        </w:rPr>
        <w:t>C. Assess immediate safety and the change from baseline, clarify medical and medication factors, and arrange prompt medical evaluation.</w:t>
      </w:r>
    </w:p>
    <w:p>
      <w:pPr>
        <w:spacing w:before="0" w:after="40" w:line="240" w:lineRule="auto"/>
        <w:ind w:left="216" w:hanging="216"/>
      </w:pPr>
      <w:r>
        <w:rPr>
          <w:rFonts w:ascii="Liberation Sans" w:hAnsi="Liberation Sans" w:eastAsia="Liberation Sans"/>
          <w:b/>
          <w:i w:val="0"/>
          <w:color w:val="1F2937"/>
          <w:sz w:val="18"/>
        </w:rPr>
        <w:t>D. Wait until the next appointment to see whether the confusion resolves on its own.</w:t>
      </w:r>
    </w:p>
    <w:tbl>
      <w:tblPr>
        <w:tblW w:type="auto" w:w="0"/>
        <w:jc w:val="center"/>
        <w:tblLayout w:type="fixed"/>
        <w:tblLook w:firstColumn="1" w:firstRow="1" w:lastColumn="0" w:lastRow="0" w:noHBand="0" w:noVBand="1" w:val="04A0"/>
      </w:tblPr>
      <w:tblGrid>
        <w:gridCol w:w="2376"/>
        <w:gridCol w:w="7992"/>
      </w:tblGrid>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CTA-LMFT-AMFTRB-WB03-Q03</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D2 - Assessing, Hypothesizing, and Diagnosing</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02.02, 02.08</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 objective alignment</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WB3-LO3, WB3-LO7 | K20-K26, K53-K54 - acute change, health and medication factors, and referral indicators</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Application / Easy</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FIRST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BASE, SCREEN, REFER</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A</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A sudden cognitive change should not be psychologized before urgent medical, medication-related, substance-related, and safety causes are assessed.</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B</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A relationship measure does not address the acute change or the possibility of a medical emergency.</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C</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CORRECT. The therapist should use baseline and MSE information to recognize an acute change, assess immediate safety, and route the client for prompt medical evaluation while preserving continuity.</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D</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Delaying evaluation may increase risk when a client has a sudden change in orientation or cognition after a medication change.</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CTA EXAM STRATEGY  When functioning changes suddenly, baseline controls the sequence. Screen and route before returning to routine psychotherapy.</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TRANSFERABLE REPAIR RULE  Use BASELINE and SCREEN: identify onset, usual functioning, current MSE change, urgent risks, and the referral question before selecting a clinical technique.</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4: Correct Answer D | CTA-LMFT-AMFTRB-WB03-Q04</w:t>
            </w:r>
          </w:p>
        </w:tc>
      </w:tr>
    </w:tbl>
    <w:p>
      <w:pPr>
        <w:keepNext/>
        <w:spacing w:before="100" w:after="60" w:line="240" w:lineRule="auto"/>
      </w:pPr>
      <w:r>
        <w:rPr>
          <w:rFonts w:ascii="Liberation Sans" w:hAnsi="Liberation Sans" w:eastAsia="Liberation Sans"/>
          <w:b/>
          <w:i w:val="0"/>
          <w:color w:val="18365B"/>
          <w:sz w:val="20"/>
        </w:rPr>
        <w:t>In family sessions, a mother sets a school rule, the adolescent protests, and the father immediately sides with the adolescent and tells the mother she is “too controlling.” The adolescent then turns to the father whenever the mother attempts to enforce the rule. Which description BEST captures the relational organization?</w:t>
      </w:r>
    </w:p>
    <w:p>
      <w:pPr>
        <w:spacing w:before="0" w:after="40" w:line="240" w:lineRule="auto"/>
        <w:ind w:left="216" w:hanging="216"/>
      </w:pPr>
      <w:r>
        <w:rPr>
          <w:rFonts w:ascii="Liberation Sans" w:hAnsi="Liberation Sans" w:eastAsia="Liberation Sans"/>
          <w:b/>
          <w:i w:val="0"/>
          <w:color w:val="1F2937"/>
          <w:sz w:val="18"/>
        </w:rPr>
        <w:t>A. The mother is the sole cause of the adolescent’s school difficulties.</w:t>
      </w:r>
    </w:p>
    <w:p>
      <w:pPr>
        <w:spacing w:before="0" w:after="40" w:line="240" w:lineRule="auto"/>
        <w:ind w:left="216" w:hanging="216"/>
      </w:pPr>
      <w:r>
        <w:rPr>
          <w:rFonts w:ascii="Liberation Sans" w:hAnsi="Liberation Sans" w:eastAsia="Liberation Sans"/>
          <w:b/>
          <w:i w:val="0"/>
          <w:color w:val="1F2937"/>
          <w:sz w:val="18"/>
        </w:rPr>
        <w:t>B. The adolescent has an individual behavior problem that is unrelated to the parental relationship.</w:t>
      </w:r>
    </w:p>
    <w:p>
      <w:pPr>
        <w:spacing w:before="0" w:after="40" w:line="240" w:lineRule="auto"/>
        <w:ind w:left="216" w:hanging="216"/>
      </w:pPr>
      <w:r>
        <w:rPr>
          <w:rFonts w:ascii="Liberation Sans" w:hAnsi="Liberation Sans" w:eastAsia="Liberation Sans"/>
          <w:b/>
          <w:i w:val="0"/>
          <w:color w:val="1F2937"/>
          <w:sz w:val="18"/>
        </w:rPr>
        <w:t>C. The father is providing healthy support because a parent should always align with the child against the stricter parent.</w:t>
      </w:r>
    </w:p>
    <w:p>
      <w:pPr>
        <w:spacing w:before="0" w:after="40" w:line="240" w:lineRule="auto"/>
        <w:ind w:left="216" w:hanging="216"/>
      </w:pPr>
      <w:r>
        <w:rPr>
          <w:rFonts w:ascii="Liberation Sans" w:hAnsi="Liberation Sans" w:eastAsia="Liberation Sans"/>
          <w:b/>
          <w:i w:val="0"/>
          <w:color w:val="1A9A96"/>
          <w:sz w:val="18"/>
        </w:rPr>
        <w:t>D. A cross-generational alliance may be weakening the parental subsystem and reinforcing the repeated conflict around authority.</w:t>
      </w:r>
    </w:p>
    <w:tbl>
      <w:tblPr>
        <w:tblW w:type="auto" w:w="0"/>
        <w:jc w:val="center"/>
        <w:tblLayout w:type="fixed"/>
        <w:tblLook w:firstColumn="1" w:firstRow="1" w:lastColumn="0" w:lastRow="0" w:noHBand="0" w:noVBand="1" w:val="04A0"/>
      </w:tblPr>
      <w:tblGrid>
        <w:gridCol w:w="2376"/>
        <w:gridCol w:w="7992"/>
      </w:tblGrid>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CTA-LMFT-AMFTRB-WB03-Q04</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D2 - Assessing, Hypothesizing, and Diagnosing</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02.04</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 objective alignment</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WB3-LO4 | K11-K13, K29 - roles, boundaries, alliances, hierarchy, and relational mapping</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Application / Easy</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BEST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PATTERN</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A</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The option reduces a reciprocal family pattern to one person and does not assess the broader organization or the adolescent’s functioning.</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B</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Individual factors may matter, but the repeated sequence and parental alignment are directly relevant assessment data.</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C</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Support can be healthy, but automatic alignment across generations may undermine the parental subsystem and requires assessment rather than approval by definition.</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D</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CORRECT. The description identifies a possible cross-generational alliance, hierarchy problem, and repeating sequence without treating the formulation as a fixed fact.</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CTA EXAM STRATEGY  Use MAPS: identify members, repeated actions, positions and power, and strengths or shifts before assigning blame.</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TRANSFERABLE REPAIR RULE  Write the sequence in observable terms and name the tentative roles, boundaries, alliances, and hierarchy that may maintain it.</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5: Correct Answer A | CTA-LMFT-AMFTRB-WB03-Q05</w:t>
            </w:r>
          </w:p>
        </w:tc>
      </w:tr>
    </w:tbl>
    <w:p>
      <w:pPr>
        <w:keepNext/>
        <w:spacing w:before="100" w:after="60" w:line="240" w:lineRule="auto"/>
      </w:pPr>
      <w:r>
        <w:rPr>
          <w:rFonts w:ascii="Liberation Sans" w:hAnsi="Liberation Sans" w:eastAsia="Liberation Sans"/>
          <w:b/>
          <w:i w:val="0"/>
          <w:color w:val="18365B"/>
          <w:sz w:val="20"/>
        </w:rPr>
        <w:t>What is the PRIMARY assessment purpose of identifying exceptions, coping efforts, supportive relationships, and prior successful responses?</w:t>
      </w:r>
    </w:p>
    <w:p>
      <w:pPr>
        <w:spacing w:before="0" w:after="40" w:line="240" w:lineRule="auto"/>
        <w:ind w:left="216" w:hanging="216"/>
      </w:pPr>
      <w:r>
        <w:rPr>
          <w:rFonts w:ascii="Liberation Sans" w:hAnsi="Liberation Sans" w:eastAsia="Liberation Sans"/>
          <w:b/>
          <w:i w:val="0"/>
          <w:color w:val="1A9A96"/>
          <w:sz w:val="18"/>
        </w:rPr>
        <w:t>A. To refine the hypothesis, identify protective factors and leverage points, and select feasible next steps with the client system</w:t>
      </w:r>
    </w:p>
    <w:p>
      <w:pPr>
        <w:spacing w:before="0" w:after="40" w:line="240" w:lineRule="auto"/>
        <w:ind w:left="216" w:hanging="216"/>
      </w:pPr>
      <w:r>
        <w:rPr>
          <w:rFonts w:ascii="Liberation Sans" w:hAnsi="Liberation Sans" w:eastAsia="Liberation Sans"/>
          <w:b/>
          <w:i w:val="0"/>
          <w:color w:val="1F2937"/>
          <w:sz w:val="18"/>
        </w:rPr>
        <w:t>B. To replace safety and impairment assessment with a more positive conversation</w:t>
      </w:r>
    </w:p>
    <w:p>
      <w:pPr>
        <w:spacing w:before="0" w:after="40" w:line="240" w:lineRule="auto"/>
        <w:ind w:left="216" w:hanging="216"/>
      </w:pPr>
      <w:r>
        <w:rPr>
          <w:rFonts w:ascii="Liberation Sans" w:hAnsi="Liberation Sans" w:eastAsia="Liberation Sans"/>
          <w:b/>
          <w:i w:val="0"/>
          <w:color w:val="1F2937"/>
          <w:sz w:val="18"/>
        </w:rPr>
        <w:t>C. To prove that the presenting concern is less serious than the client reports</w:t>
      </w:r>
    </w:p>
    <w:p>
      <w:pPr>
        <w:spacing w:before="0" w:after="40" w:line="240" w:lineRule="auto"/>
        <w:ind w:left="216" w:hanging="216"/>
      </w:pPr>
      <w:r>
        <w:rPr>
          <w:rFonts w:ascii="Liberation Sans" w:hAnsi="Liberation Sans" w:eastAsia="Liberation Sans"/>
          <w:b/>
          <w:i w:val="0"/>
          <w:color w:val="1F2937"/>
          <w:sz w:val="18"/>
        </w:rPr>
        <w:t>D. To create rapport before the therapist begins the “real” assessment</w:t>
      </w:r>
    </w:p>
    <w:tbl>
      <w:tblPr>
        <w:tblW w:type="auto" w:w="0"/>
        <w:jc w:val="center"/>
        <w:tblLayout w:type="fixed"/>
        <w:tblLook w:firstColumn="1" w:firstRow="1" w:lastColumn="0" w:lastRow="0" w:noHBand="0" w:noVBand="1" w:val="04A0"/>
      </w:tblPr>
      <w:tblGrid>
        <w:gridCol w:w="2376"/>
        <w:gridCol w:w="7992"/>
      </w:tblGrid>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CTA-LMFT-AMFTRB-WB03-Q05</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D2 - Assessing, Hypothesizing, and Diagnosing</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02.15</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 objective alignment</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WB3-LO7, WB3-LO8 | K17, K55 - resilience, client-system resources, and strengths-based assessment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Knowledge/Recall / Easy</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PRIMARY</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HYP</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A</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CORRECT. Strengths and resources are decision-relevant data that improve the accuracy of the hypothesis and reveal protective factors, supports, and possible leverage points.</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B</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Strengths complement rather than replace risk, impairment, medical, and contextual assessment.</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C</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Protective factors do not invalidate distress or prove that a problem is mild.</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D</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Strengths may support alliance, but they are part of the substantive assessment rather than a preliminary courtesy.</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CTA EXAM STRATEGY  A complete formulation includes both burden and capacity. Strengths change what is possible, safe, and sustainable.</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TRANSFERABLE REPAIR RULE  Add at least one exception, coping response, support, resource, and client-defined strength to every provisional hypothesis.</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6: Correct Answer B | CTA-LMFT-AMFTRB-WB03-Q06</w:t>
            </w:r>
          </w:p>
        </w:tc>
      </w:tr>
    </w:tbl>
    <w:p>
      <w:pPr>
        <w:keepNext/>
        <w:spacing w:before="100" w:after="60" w:line="240" w:lineRule="auto"/>
      </w:pPr>
      <w:r>
        <w:rPr>
          <w:rFonts w:ascii="Liberation Sans" w:hAnsi="Liberation Sans" w:eastAsia="Liberation Sans"/>
          <w:b/>
          <w:i w:val="0"/>
          <w:color w:val="18365B"/>
          <w:sz w:val="20"/>
        </w:rPr>
        <w:t>A couple seeks therapy three months after the birth of their first child. They report more conflict, severe sleep disruption, changed work schedules, and the recent loss of nearby grandparent support. What should the therapist assess FIRST?</w:t>
      </w:r>
    </w:p>
    <w:p>
      <w:pPr>
        <w:spacing w:before="0" w:after="40" w:line="240" w:lineRule="auto"/>
        <w:ind w:left="216" w:hanging="216"/>
      </w:pPr>
      <w:r>
        <w:rPr>
          <w:rFonts w:ascii="Liberation Sans" w:hAnsi="Liberation Sans" w:eastAsia="Liberation Sans"/>
          <w:b/>
          <w:i w:val="0"/>
          <w:color w:val="1F2937"/>
          <w:sz w:val="18"/>
        </w:rPr>
        <w:t>A. Which partner has the personality style most responsible for the conflict</w:t>
      </w:r>
    </w:p>
    <w:p>
      <w:pPr>
        <w:spacing w:before="0" w:after="40" w:line="240" w:lineRule="auto"/>
        <w:ind w:left="216" w:hanging="216"/>
      </w:pPr>
      <w:r>
        <w:rPr>
          <w:rFonts w:ascii="Liberation Sans" w:hAnsi="Liberation Sans" w:eastAsia="Liberation Sans"/>
          <w:b/>
          <w:i w:val="0"/>
          <w:color w:val="1A9A96"/>
          <w:sz w:val="18"/>
        </w:rPr>
        <w:t>B. How the developmental transition, caregiving demands, sleep, support changes, baseline functioning, and safety are affecting the couple and family system</w:t>
      </w:r>
    </w:p>
    <w:p>
      <w:pPr>
        <w:spacing w:before="0" w:after="40" w:line="240" w:lineRule="auto"/>
        <w:ind w:left="216" w:hanging="216"/>
      </w:pPr>
      <w:r>
        <w:rPr>
          <w:rFonts w:ascii="Liberation Sans" w:hAnsi="Liberation Sans" w:eastAsia="Liberation Sans"/>
          <w:b/>
          <w:i w:val="0"/>
          <w:color w:val="1F2937"/>
          <w:sz w:val="18"/>
        </w:rPr>
        <w:t>C. Whether the couple should immediately begin intensive communication homework</w:t>
      </w:r>
    </w:p>
    <w:p>
      <w:pPr>
        <w:spacing w:before="0" w:after="40" w:line="240" w:lineRule="auto"/>
        <w:ind w:left="216" w:hanging="216"/>
      </w:pPr>
      <w:r>
        <w:rPr>
          <w:rFonts w:ascii="Liberation Sans" w:hAnsi="Liberation Sans" w:eastAsia="Liberation Sans"/>
          <w:b/>
          <w:i w:val="0"/>
          <w:color w:val="1F2937"/>
          <w:sz w:val="18"/>
        </w:rPr>
        <w:t>D. Whether the relationship was fundamentally incompatible before the child was born</w:t>
      </w:r>
    </w:p>
    <w:tbl>
      <w:tblPr>
        <w:tblW w:type="auto" w:w="0"/>
        <w:jc w:val="center"/>
        <w:tblLayout w:type="fixed"/>
        <w:tblLook w:firstColumn="1" w:firstRow="1" w:lastColumn="0" w:lastRow="0" w:noHBand="0" w:noVBand="1" w:val="04A0"/>
      </w:tblPr>
      <w:tblGrid>
        <w:gridCol w:w="2376"/>
        <w:gridCol w:w="7992"/>
      </w:tblGrid>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CTA-LMFT-AMFTRB-WB03-Q06</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D2 - Assessing, Hypothesizing, and Diagnosing</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02.14</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 objective alignment</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WB3-LO5 | K14-K17, K24 - lifespan development, family-life-cycle transitions, caregiving, and loss</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Application / Moderate</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FIRST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CONTEXT, BASE</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A</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Personality-based blame is premature and ignores the family transition and current contextual demands.</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B</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CORRECT. The first assessment should organize the family-life-cycle transition, baseline, embodied strain, resources, roles, and safety before selecting an explanation or intervention.</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C</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Homework may be useful later, but technique should follow assessment of fit, capacity, sleep, support, and risk.</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D</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The question assumes a fixed causal conclusion instead of examining the current transition and the relationship’s prior functioning.</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CTA EXAM STRATEGY  Developmental context can change what a symptom or conflict means. Assess transition demands before diagnosing the relationship.</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TRANSFERABLE REPAIR RULE  Use LENSES: identify life stage, environmental changes, networks, social meaning, embodied factors, and a revisable systemic hypothesis.</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7: Correct Answer C | CTA-LMFT-AMFTRB-WB03-Q07</w:t>
            </w:r>
          </w:p>
        </w:tc>
      </w:tr>
    </w:tbl>
    <w:p>
      <w:pPr>
        <w:keepNext/>
        <w:spacing w:before="100" w:after="60" w:line="240" w:lineRule="auto"/>
      </w:pPr>
      <w:r>
        <w:rPr>
          <w:rFonts w:ascii="Liberation Sans" w:hAnsi="Liberation Sans" w:eastAsia="Liberation Sans"/>
          <w:b/>
          <w:i w:val="0"/>
          <w:color w:val="18365B"/>
          <w:sz w:val="20"/>
        </w:rPr>
        <w:t>A recently immigrated family says school staff describe the parents as “uninvolved” because they speak limited English and rarely attend daytime meetings. The parents report feeling judged and unsure how to communicate with the school. Which therapist response is BEST?</w:t>
      </w:r>
    </w:p>
    <w:p>
      <w:pPr>
        <w:spacing w:before="0" w:after="40" w:line="240" w:lineRule="auto"/>
        <w:ind w:left="216" w:hanging="216"/>
      </w:pPr>
      <w:r>
        <w:rPr>
          <w:rFonts w:ascii="Liberation Sans" w:hAnsi="Liberation Sans" w:eastAsia="Liberation Sans"/>
          <w:b/>
          <w:i w:val="0"/>
          <w:color w:val="1F2937"/>
          <w:sz w:val="18"/>
        </w:rPr>
        <w:t>A. Explain that school participation is expected in the United States and encourage the parents to adapt quickly.</w:t>
      </w:r>
    </w:p>
    <w:p>
      <w:pPr>
        <w:spacing w:before="0" w:after="40" w:line="240" w:lineRule="auto"/>
        <w:ind w:left="216" w:hanging="216"/>
      </w:pPr>
      <w:r>
        <w:rPr>
          <w:rFonts w:ascii="Liberation Sans" w:hAnsi="Liberation Sans" w:eastAsia="Liberation Sans"/>
          <w:b/>
          <w:i w:val="0"/>
          <w:color w:val="1F2937"/>
          <w:sz w:val="18"/>
        </w:rPr>
        <w:t>B. Assume the school is biased and advise the family to end all contact with staff.</w:t>
      </w:r>
    </w:p>
    <w:p>
      <w:pPr>
        <w:spacing w:before="0" w:after="40" w:line="240" w:lineRule="auto"/>
        <w:ind w:left="216" w:hanging="216"/>
      </w:pPr>
      <w:r>
        <w:rPr>
          <w:rFonts w:ascii="Liberation Sans" w:hAnsi="Liberation Sans" w:eastAsia="Liberation Sans"/>
          <w:b/>
          <w:i w:val="0"/>
          <w:color w:val="1A9A96"/>
          <w:sz w:val="18"/>
        </w:rPr>
        <w:t>C. Arrange appropriate language access, ask how migration, work demands, discrimination, and family values shape participation, and assess what collaboration would feel respectful and workable.</w:t>
      </w:r>
    </w:p>
    <w:p>
      <w:pPr>
        <w:spacing w:before="0" w:after="40" w:line="240" w:lineRule="auto"/>
        <w:ind w:left="216" w:hanging="216"/>
      </w:pPr>
      <w:r>
        <w:rPr>
          <w:rFonts w:ascii="Liberation Sans" w:hAnsi="Liberation Sans" w:eastAsia="Liberation Sans"/>
          <w:b/>
          <w:i w:val="0"/>
          <w:color w:val="1F2937"/>
          <w:sz w:val="18"/>
        </w:rPr>
        <w:t>D. Avoid discussing culture or discrimination so the therapist remains objective.</w:t>
      </w:r>
    </w:p>
    <w:tbl>
      <w:tblPr>
        <w:tblW w:type="auto" w:w="0"/>
        <w:jc w:val="center"/>
        <w:tblLayout w:type="fixed"/>
        <w:tblLook w:firstColumn="1" w:firstRow="1" w:lastColumn="0" w:lastRow="0" w:noHBand="0" w:noVBand="1" w:val="04A0"/>
      </w:tblPr>
      <w:tblGrid>
        <w:gridCol w:w="2376"/>
        <w:gridCol w:w="7992"/>
      </w:tblGrid>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CTA-LMFT-AMFTRB-WB03-Q07</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D2 - Assessing, Hypothesizing, and Diagnosing</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02.05, 02.07</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 objective alignment</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WB3-LO6 | K22, K32-K34, K64-K65 - migration, discrimination, cultural meaning, language, and oppression</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Scenario-Based / Moderate</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BEST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CONTEXT</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A</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The response imposes a norm and overlooks access barriers, work demands, migration, and the family’s own meaning.</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B</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Bias may be relevant, but the therapist should assess the specific experiences and collaboration needs rather than assume the entire explanation or prescribe withdrawal.</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C</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CORRECT. The response improves access, asks rather than assumes, and integrates migration, power, work, discrimination, and client-defined goals into the assessment.</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D</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Ignoring relevant context reduces assessment accuracy and may repeat the family’s experience of being misunderstood.</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CTA EXAM STRATEGY  Cultural responsiveness is an assessment action: improve access, ask about meaning, identify power and barriers, and connect context to the decision.</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TRANSFERABLE REPAIR RULE  Use CONTEXT: ask what the experience means to this client system, how it affects trust and functioning, and what practical change would improve participation.</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8: Correct Answer D | CTA-LMFT-AMFTRB-WB03-Q08</w:t>
            </w:r>
          </w:p>
        </w:tc>
      </w:tr>
    </w:tbl>
    <w:p>
      <w:pPr>
        <w:keepNext/>
        <w:spacing w:before="100" w:after="60" w:line="240" w:lineRule="auto"/>
      </w:pPr>
      <w:r>
        <w:rPr>
          <w:rFonts w:ascii="Liberation Sans" w:hAnsi="Liberation Sans" w:eastAsia="Liberation Sans"/>
          <w:b/>
          <w:i w:val="0"/>
          <w:color w:val="18365B"/>
          <w:sz w:val="20"/>
        </w:rPr>
        <w:t>During a couple intake, one partner privately signals fear of retaliation for disagreeing, while the other insists that every conversation occur jointly and says separate contact would be “betrayal.” Which assessment response is MOST appropriate?</w:t>
      </w:r>
    </w:p>
    <w:p>
      <w:pPr>
        <w:spacing w:before="0" w:after="40" w:line="240" w:lineRule="auto"/>
        <w:ind w:left="216" w:hanging="216"/>
      </w:pPr>
      <w:r>
        <w:rPr>
          <w:rFonts w:ascii="Liberation Sans" w:hAnsi="Liberation Sans" w:eastAsia="Liberation Sans"/>
          <w:b/>
          <w:i w:val="0"/>
          <w:color w:val="1F2937"/>
          <w:sz w:val="18"/>
        </w:rPr>
        <w:t>A. Continue conjoint assessment because changing the format would undermine neutrality.</w:t>
      </w:r>
    </w:p>
    <w:p>
      <w:pPr>
        <w:spacing w:before="0" w:after="40" w:line="240" w:lineRule="auto"/>
        <w:ind w:left="216" w:hanging="216"/>
      </w:pPr>
      <w:r>
        <w:rPr>
          <w:rFonts w:ascii="Liberation Sans" w:hAnsi="Liberation Sans" w:eastAsia="Liberation Sans"/>
          <w:b/>
          <w:i w:val="0"/>
          <w:color w:val="1F2937"/>
          <w:sz w:val="18"/>
        </w:rPr>
        <w:t>B. Require both partners to disclose all private information in the next joint session.</w:t>
      </w:r>
    </w:p>
    <w:p>
      <w:pPr>
        <w:spacing w:before="0" w:after="40" w:line="240" w:lineRule="auto"/>
        <w:ind w:left="216" w:hanging="216"/>
      </w:pPr>
      <w:r>
        <w:rPr>
          <w:rFonts w:ascii="Liberation Sans" w:hAnsi="Liberation Sans" w:eastAsia="Liberation Sans"/>
          <w:b/>
          <w:i w:val="0"/>
          <w:color w:val="1F2937"/>
          <w:sz w:val="18"/>
        </w:rPr>
        <w:t>C. End treatment immediately without further assessment because fear always makes couple therapy impossible.</w:t>
      </w:r>
    </w:p>
    <w:p>
      <w:pPr>
        <w:spacing w:before="0" w:after="40" w:line="240" w:lineRule="auto"/>
        <w:ind w:left="216" w:hanging="216"/>
      </w:pPr>
      <w:r>
        <w:rPr>
          <w:rFonts w:ascii="Liberation Sans" w:hAnsi="Liberation Sans" w:eastAsia="Liberation Sans"/>
          <w:b/>
          <w:i w:val="0"/>
          <w:color w:val="1A9A96"/>
          <w:sz w:val="18"/>
        </w:rPr>
        <w:t>D. Pause routine conjoint work, create a safe opportunity for direct assessment, evaluate coercion and voluntariness, and reconsider the treatment unit before continuing.</w:t>
      </w:r>
    </w:p>
    <w:tbl>
      <w:tblPr>
        <w:tblW w:type="auto" w:w="0"/>
        <w:jc w:val="center"/>
        <w:tblLayout w:type="fixed"/>
        <w:tblLook w:firstColumn="1" w:firstRow="1" w:lastColumn="0" w:lastRow="0" w:noHBand="0" w:noVBand="1" w:val="04A0"/>
      </w:tblPr>
      <w:tblGrid>
        <w:gridCol w:w="2376"/>
        <w:gridCol w:w="7992"/>
      </w:tblGrid>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CTA-LMFT-AMFTRB-WB03-Q08</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D2 - Assessing, Hypothesizing, and Diagnosing</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02.06</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 objective alignment</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WB3-LO1, WB3-LO8 | K25-K30, K55-K56 - treatment-unit fit, participation, safety, and evaluation planning</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Scenario-Based / Moderate</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MOST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UNIT, SCREEN</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A</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Neutrality does not require maintaining a format that may restrict safe participation or conceal coercion.</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B</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Forced disclosure may increase risk and does not address safety, voluntariness, or the appropriateness of the treatment unit.</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C</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The concern requires careful safety assessment and a treatment-unit decision; it does not automatically dictate immediate termination without continuity planning.</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D</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CORRECT. The therapist should protect safe participation, assess coercion and retaliation risk, and determine whether conjoint, individual, referral, or another format is appropriate.</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CTA EXAM STRATEGY  Treatment unit is an assessment decision, not a fixed preference. Safety and voluntariness come before preserving a planned format.</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TRANSFERABLE REPAIR RULE  Use INTAKE: identify the client system, notice urgency, clarify who can safely participate, and establish the next assessment structure before gathering more detail.</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9: Correct Answer A | CTA-LMFT-AMFTRB-WB03-Q09</w:t>
            </w:r>
          </w:p>
        </w:tc>
      </w:tr>
    </w:tbl>
    <w:p>
      <w:pPr>
        <w:keepNext/>
        <w:spacing w:before="100" w:after="60" w:line="240" w:lineRule="auto"/>
      </w:pPr>
      <w:r>
        <w:rPr>
          <w:rFonts w:ascii="Liberation Sans" w:hAnsi="Liberation Sans" w:eastAsia="Liberation Sans"/>
          <w:b/>
          <w:i w:val="0"/>
          <w:color w:val="18365B"/>
          <w:sz w:val="20"/>
        </w:rPr>
        <w:t>A client reports nightly alcohol use and a prescribed sleep medication. The spouse reports two recent falls and several missed work shifts. The client permits limited coordination with the prescribing clinician but says alcohol is “not the issue.” What should the therapist do NEXT?</w:t>
      </w:r>
    </w:p>
    <w:p>
      <w:pPr>
        <w:spacing w:before="0" w:after="40" w:line="240" w:lineRule="auto"/>
        <w:ind w:left="216" w:hanging="216"/>
      </w:pPr>
      <w:r>
        <w:rPr>
          <w:rFonts w:ascii="Liberation Sans" w:hAnsi="Liberation Sans" w:eastAsia="Liberation Sans"/>
          <w:b/>
          <w:i w:val="0"/>
          <w:color w:val="1A9A96"/>
          <w:sz w:val="18"/>
        </w:rPr>
        <w:t>A. Clarify amount and timing of alcohol and medication use, assess falls, impairment and withdrawal risk, compare the reports, and coordinate medical or specialty evaluation within the agreed limits.</w:t>
      </w:r>
    </w:p>
    <w:p>
      <w:pPr>
        <w:spacing w:before="0" w:after="40" w:line="240" w:lineRule="auto"/>
        <w:ind w:left="216" w:hanging="216"/>
      </w:pPr>
      <w:r>
        <w:rPr>
          <w:rFonts w:ascii="Liberation Sans" w:hAnsi="Liberation Sans" w:eastAsia="Liberation Sans"/>
          <w:b/>
          <w:i w:val="0"/>
          <w:color w:val="1F2937"/>
          <w:sz w:val="18"/>
        </w:rPr>
        <w:t>B. Accept the client’s explanation and exclude the spouse’s report because the client is the identified patient.</w:t>
      </w:r>
    </w:p>
    <w:p>
      <w:pPr>
        <w:spacing w:before="0" w:after="40" w:line="240" w:lineRule="auto"/>
        <w:ind w:left="216" w:hanging="216"/>
      </w:pPr>
      <w:r>
        <w:rPr>
          <w:rFonts w:ascii="Liberation Sans" w:hAnsi="Liberation Sans" w:eastAsia="Liberation Sans"/>
          <w:b/>
          <w:i w:val="0"/>
          <w:color w:val="1F2937"/>
          <w:sz w:val="18"/>
        </w:rPr>
        <w:t>C. Diagnose an alcohol-use disorder immediately and require residential treatment.</w:t>
      </w:r>
    </w:p>
    <w:p>
      <w:pPr>
        <w:spacing w:before="0" w:after="40" w:line="240" w:lineRule="auto"/>
        <w:ind w:left="216" w:hanging="216"/>
      </w:pPr>
      <w:r>
        <w:rPr>
          <w:rFonts w:ascii="Liberation Sans" w:hAnsi="Liberation Sans" w:eastAsia="Liberation Sans"/>
          <w:b/>
          <w:i w:val="0"/>
          <w:color w:val="1F2937"/>
          <w:sz w:val="18"/>
        </w:rPr>
        <w:t>D. Ask the spouse to monitor the client secretly and report all use directly to the therapist.</w:t>
      </w:r>
    </w:p>
    <w:tbl>
      <w:tblPr>
        <w:tblW w:type="auto" w:w="0"/>
        <w:jc w:val="center"/>
        <w:tblLayout w:type="fixed"/>
        <w:tblLook w:firstColumn="1" w:firstRow="1" w:lastColumn="0" w:lastRow="0" w:noHBand="0" w:noVBand="1" w:val="04A0"/>
      </w:tblPr>
      <w:tblGrid>
        <w:gridCol w:w="2376"/>
        <w:gridCol w:w="7992"/>
      </w:tblGrid>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CTA-LMFT-AMFTRB-WB03-Q09</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D2 - Assessing, Hypothesizing, and Diagnosing</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02.09, 02.20</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 objective alignment</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WB3-LO7 | K36-K38, K53-K54, K25 - substance effects, health factors, collateral data, and referral indicators</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Scenario-Based / Moderate</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NEXT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SCREEN, REFER, COLL</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A</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CORRECT. The response screens the interaction of substances, medication, functioning, and safety; respects the client’s participation; uses collateral data cautiously; and routes appropriate evaluation.</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B</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The spouse’s report is not automatically definitive, but it is clinically relevant data that should be compared with other sources rather than discarded.</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C</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The available information supports further assessment and referral, not a definitive diagnosis or automatic level-of-care decision.</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D</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Secret monitoring may damage safety and alliance, exceed agreed roles, and replace direct assessment with surveillance.</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CTA EXAM STRATEGY  Screen to route. Clarify pattern, functional impact, interaction risks, urgency, and referral question before selecting a diagnosis or treatment level.</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TRANSFERABLE REPAIR RULE  Use SCREEN and COLL: compare sources, assess immediate risk, state what remains unknown, and coordinate the narrowest appropriate evaluation.</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10: Correct Answer B | CTA-LMFT-AMFTRB-WB03-Q10</w:t>
            </w:r>
          </w:p>
        </w:tc>
      </w:tr>
    </w:tbl>
    <w:p>
      <w:pPr>
        <w:keepNext/>
        <w:spacing w:before="100" w:after="60" w:line="240" w:lineRule="auto"/>
      </w:pPr>
      <w:r>
        <w:rPr>
          <w:rFonts w:ascii="Liberation Sans" w:hAnsi="Liberation Sans" w:eastAsia="Liberation Sans"/>
          <w:b/>
          <w:i w:val="0"/>
          <w:color w:val="18365B"/>
          <w:sz w:val="20"/>
        </w:rPr>
        <w:t>An adult client with a childhood history of unpredictable caregiving now pursues reassurance during conflict, while the partner withdraws and becomes silent. Which provisional hypothesis is BEST?</w:t>
      </w:r>
    </w:p>
    <w:p>
      <w:pPr>
        <w:spacing w:before="0" w:after="40" w:line="240" w:lineRule="auto"/>
        <w:ind w:left="216" w:hanging="216"/>
      </w:pPr>
      <w:r>
        <w:rPr>
          <w:rFonts w:ascii="Liberation Sans" w:hAnsi="Liberation Sans" w:eastAsia="Liberation Sans"/>
          <w:b/>
          <w:i w:val="0"/>
          <w:color w:val="1F2937"/>
          <w:sz w:val="18"/>
        </w:rPr>
        <w:t>A. The childhood history is the single cause of the current relationship problem.</w:t>
      </w:r>
    </w:p>
    <w:p>
      <w:pPr>
        <w:spacing w:before="0" w:after="40" w:line="240" w:lineRule="auto"/>
        <w:ind w:left="216" w:hanging="216"/>
      </w:pPr>
      <w:r>
        <w:rPr>
          <w:rFonts w:ascii="Liberation Sans" w:hAnsi="Liberation Sans" w:eastAsia="Liberation Sans"/>
          <w:b/>
          <w:i w:val="0"/>
          <w:color w:val="1A9A96"/>
          <w:sz w:val="18"/>
        </w:rPr>
        <w:t>B. Earlier experiences may heighten sensitivity to disconnection and interact with the current pursuit-withdrawal sequence, while other relational, contextual, and individual explanations remain open for assessment.</w:t>
      </w:r>
    </w:p>
    <w:p>
      <w:pPr>
        <w:spacing w:before="0" w:after="40" w:line="240" w:lineRule="auto"/>
        <w:ind w:left="216" w:hanging="216"/>
      </w:pPr>
      <w:r>
        <w:rPr>
          <w:rFonts w:ascii="Liberation Sans" w:hAnsi="Liberation Sans" w:eastAsia="Liberation Sans"/>
          <w:b/>
          <w:i w:val="0"/>
          <w:color w:val="1F2937"/>
          <w:sz w:val="18"/>
        </w:rPr>
        <w:t>C. The partner’s withdrawal proves that the partner is reenacting the client’s childhood trauma intentionally.</w:t>
      </w:r>
    </w:p>
    <w:p>
      <w:pPr>
        <w:spacing w:before="0" w:after="40" w:line="240" w:lineRule="auto"/>
        <w:ind w:left="216" w:hanging="216"/>
      </w:pPr>
      <w:r>
        <w:rPr>
          <w:rFonts w:ascii="Liberation Sans" w:hAnsi="Liberation Sans" w:eastAsia="Liberation Sans"/>
          <w:b/>
          <w:i w:val="0"/>
          <w:color w:val="1F2937"/>
          <w:sz w:val="18"/>
        </w:rPr>
        <w:t>D. Childhood experience should be excluded because only present interaction is relevant in systemic assessment.</w:t>
      </w:r>
    </w:p>
    <w:tbl>
      <w:tblPr>
        <w:tblW w:type="auto" w:w="0"/>
        <w:jc w:val="center"/>
        <w:tblLayout w:type="fixed"/>
        <w:tblLook w:firstColumn="1" w:firstRow="1" w:lastColumn="0" w:lastRow="0" w:noHBand="0" w:noVBand="1" w:val="04A0"/>
      </w:tblPr>
      <w:tblGrid>
        <w:gridCol w:w="2376"/>
        <w:gridCol w:w="7992"/>
      </w:tblGrid>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CTA-LMFT-AMFTRB-WB03-Q10</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D2 - Assessing, Hypothesizing, and Diagnosing</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02.10-02.11</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 objective alignment</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WB3-LO5, WB3-LO8 | K20-K24 - trauma, childhood experience, development, and systemic hypothesis formation</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Scenario-Based / Moderate</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BEST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HYP, CONTEXT</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A</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Trauma history may be important, but treating it as the single cause closes assessment prematurely.</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B</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CORRECT. The hypothesis links developmental experience to a current reciprocal pattern, preserves uncertainty, and leaves room for additional evidence and alternative explanations.</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C</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The option assigns intent and certainty without evidence and turns a systemic pattern into blame.</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D</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Present interaction and developmental history can both be relevant; excluding either reduces the quality of the formulation.</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CTA EXAM STRATEGY  A useful systemic hypothesis connects history, current sequence, context, and missing data without converting a possible influence into a proven cause.</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TRANSFERABLE REPAIR RULE  Use HYP: write “may,” identify competing explanations, and state what evidence would strengthen, weaken, or replace the hypothesis.</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11: Correct Answer C | CTA-LMFT-AMFTRB-WB03-Q11</w:t>
            </w:r>
          </w:p>
        </w:tc>
      </w:tr>
    </w:tbl>
    <w:p>
      <w:pPr>
        <w:keepNext/>
        <w:spacing w:before="100" w:after="60" w:line="240" w:lineRule="auto"/>
      </w:pPr>
      <w:r>
        <w:rPr>
          <w:rFonts w:ascii="Liberation Sans" w:hAnsi="Liberation Sans" w:eastAsia="Liberation Sans"/>
          <w:b/>
          <w:i w:val="0"/>
          <w:color w:val="18365B"/>
          <w:sz w:val="20"/>
        </w:rPr>
        <w:t>The parent of an adolescent asks the therapist to “get every school record,” while the school counselor asks for a full clinical update. Before initiating either exchange, what should the therapist do FIRST?</w:t>
      </w:r>
    </w:p>
    <w:p>
      <w:pPr>
        <w:spacing w:before="0" w:after="40" w:line="240" w:lineRule="auto"/>
        <w:ind w:left="216" w:hanging="216"/>
      </w:pPr>
      <w:r>
        <w:rPr>
          <w:rFonts w:ascii="Liberation Sans" w:hAnsi="Liberation Sans" w:eastAsia="Liberation Sans"/>
          <w:b/>
          <w:i w:val="0"/>
          <w:color w:val="1F2937"/>
          <w:sz w:val="18"/>
        </w:rPr>
        <w:t>A. Agree because the parent and school are both involved in the adolescent’s care.</w:t>
      </w:r>
    </w:p>
    <w:p>
      <w:pPr>
        <w:spacing w:before="0" w:after="40" w:line="240" w:lineRule="auto"/>
        <w:ind w:left="216" w:hanging="216"/>
      </w:pPr>
      <w:r>
        <w:rPr>
          <w:rFonts w:ascii="Liberation Sans" w:hAnsi="Liberation Sans" w:eastAsia="Liberation Sans"/>
          <w:b/>
          <w:i w:val="0"/>
          <w:color w:val="1F2937"/>
          <w:sz w:val="18"/>
        </w:rPr>
        <w:t>B. Send a brief summary to the school and request the full educational record in return.</w:t>
      </w:r>
    </w:p>
    <w:p>
      <w:pPr>
        <w:spacing w:before="0" w:after="40" w:line="240" w:lineRule="auto"/>
        <w:ind w:left="216" w:hanging="216"/>
      </w:pPr>
      <w:r>
        <w:rPr>
          <w:rFonts w:ascii="Liberation Sans" w:hAnsi="Liberation Sans" w:eastAsia="Liberation Sans"/>
          <w:b/>
          <w:i w:val="0"/>
          <w:color w:val="1A9A96"/>
          <w:sz w:val="18"/>
        </w:rPr>
        <w:t>C. Clarify the client and assessment purpose, the adolescent’s participation, applicable authorization and information limits, the specific question, and the minimum information needed.</w:t>
      </w:r>
    </w:p>
    <w:p>
      <w:pPr>
        <w:spacing w:before="0" w:after="40" w:line="240" w:lineRule="auto"/>
        <w:ind w:left="216" w:hanging="216"/>
      </w:pPr>
      <w:r>
        <w:rPr>
          <w:rFonts w:ascii="Liberation Sans" w:hAnsi="Liberation Sans" w:eastAsia="Liberation Sans"/>
          <w:b/>
          <w:i w:val="0"/>
          <w:color w:val="1F2937"/>
          <w:sz w:val="18"/>
        </w:rPr>
        <w:t>D. Refuse all collateral contact because outside information is never appropriate in family treatment.</w:t>
      </w:r>
    </w:p>
    <w:tbl>
      <w:tblPr>
        <w:tblW w:type="auto" w:w="0"/>
        <w:jc w:val="center"/>
        <w:tblLayout w:type="fixed"/>
        <w:tblLook w:firstColumn="1" w:firstRow="1" w:lastColumn="0" w:lastRow="0" w:noHBand="0" w:noVBand="1" w:val="04A0"/>
      </w:tblPr>
      <w:tblGrid>
        <w:gridCol w:w="2376"/>
        <w:gridCol w:w="7992"/>
      </w:tblGrid>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CTA-LMFT-AMFTRB-WB03-Q11</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D6 - Maintaining Ethical, Legal, and Professional Standards</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06.04, 06.08</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 objective alignment</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WB3-LO1, WB3-LO2 | K25-K30 - client rights, assessment roles, collateral purpose, and information-source limits</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Application / Moderate</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FIRST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COLL, UNIT</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A</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Involvement or payment does not automatically define authority, scope, client participation, or the amount of information that should be exchanged.</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B</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Exchanging information before clarifying purpose, authority, and limits risks over-disclosure and may not answer a defined assessment question.</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C</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CORRECT. The therapist should establish roles, rights, purpose, participation, authority, scope, and minimum necessary information before contacting collateral sources.</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D</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Collateral information can be clinically valuable when the purpose, authority, limits, and source reliability are appropriately managed.</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CTA EXAM STRATEGY  Collateral contact begins with a question, not a data sweep. Clarify who is the client, what decision the information supports, and what can be shared.</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TRANSFERABLE REPAIR RULE  Use COLL: define the purpose, role, authority, client participation, minimum information, source limitations, and documentation plan before any exchange.</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12: Correct Answer D | CTA-LMFT-AMFTRB-WB03-Q12</w:t>
            </w:r>
          </w:p>
        </w:tc>
      </w:tr>
    </w:tbl>
    <w:p>
      <w:pPr>
        <w:keepNext/>
        <w:spacing w:before="100" w:after="60" w:line="240" w:lineRule="auto"/>
      </w:pPr>
      <w:r>
        <w:rPr>
          <w:rFonts w:ascii="Liberation Sans" w:hAnsi="Liberation Sans" w:eastAsia="Liberation Sans"/>
          <w:b/>
          <w:i w:val="0"/>
          <w:color w:val="18365B"/>
          <w:sz w:val="20"/>
        </w:rPr>
        <w:t>A 15-year-old’s grades have declined. Available information suggests possible bullying, sleep disruption, depressed mood, a learning concern, and escalating family conflict, but the timeline and cross-setting data are incomplete. Which formulation is MOST appropriate?</w:t>
      </w:r>
    </w:p>
    <w:p>
      <w:pPr>
        <w:spacing w:before="0" w:after="40" w:line="240" w:lineRule="auto"/>
        <w:ind w:left="216" w:hanging="216"/>
      </w:pPr>
      <w:r>
        <w:rPr>
          <w:rFonts w:ascii="Liberation Sans" w:hAnsi="Liberation Sans" w:eastAsia="Liberation Sans"/>
          <w:b/>
          <w:i w:val="0"/>
          <w:color w:val="1F2937"/>
          <w:sz w:val="18"/>
        </w:rPr>
        <w:t>A. The adolescent is oppositional and the family conflict is a reaction to the behavior.</w:t>
      </w:r>
    </w:p>
    <w:p>
      <w:pPr>
        <w:spacing w:before="0" w:after="40" w:line="240" w:lineRule="auto"/>
        <w:ind w:left="216" w:hanging="216"/>
      </w:pPr>
      <w:r>
        <w:rPr>
          <w:rFonts w:ascii="Liberation Sans" w:hAnsi="Liberation Sans" w:eastAsia="Liberation Sans"/>
          <w:b/>
          <w:i w:val="0"/>
          <w:color w:val="1F2937"/>
          <w:sz w:val="18"/>
        </w:rPr>
        <w:t>B. Bullying is the primary cause because it is the most socially concerning explanation.</w:t>
      </w:r>
    </w:p>
    <w:p>
      <w:pPr>
        <w:spacing w:before="0" w:after="40" w:line="240" w:lineRule="auto"/>
        <w:ind w:left="216" w:hanging="216"/>
      </w:pPr>
      <w:r>
        <w:rPr>
          <w:rFonts w:ascii="Liberation Sans" w:hAnsi="Liberation Sans" w:eastAsia="Liberation Sans"/>
          <w:b/>
          <w:i w:val="0"/>
          <w:color w:val="1F2937"/>
          <w:sz w:val="18"/>
        </w:rPr>
        <w:t>C. The case cannot be formulated until every possible source has been obtained.</w:t>
      </w:r>
    </w:p>
    <w:p>
      <w:pPr>
        <w:spacing w:before="0" w:after="40" w:line="240" w:lineRule="auto"/>
        <w:ind w:left="216" w:hanging="216"/>
      </w:pPr>
      <w:r>
        <w:rPr>
          <w:rFonts w:ascii="Liberation Sans" w:hAnsi="Liberation Sans" w:eastAsia="Liberation Sans"/>
          <w:b/>
          <w:i w:val="0"/>
          <w:color w:val="1A9A96"/>
          <w:sz w:val="18"/>
        </w:rPr>
        <w:t>D. The decline may reflect interacting school, sleep, mood, learning, and family factors; the therapist should identify the missing timeline and cross-setting data and revise the hypothesis as evidence develops.</w:t>
      </w:r>
    </w:p>
    <w:tbl>
      <w:tblPr>
        <w:tblW w:type="auto" w:w="0"/>
        <w:jc w:val="center"/>
        <w:tblLayout w:type="fixed"/>
        <w:tblLook w:firstColumn="1" w:firstRow="1" w:lastColumn="0" w:lastRow="0" w:noHBand="0" w:noVBand="1" w:val="04A0"/>
      </w:tblPr>
      <w:tblGrid>
        <w:gridCol w:w="2376"/>
        <w:gridCol w:w="7992"/>
      </w:tblGrid>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CTA-LMFT-AMFTRB-WB03-Q12</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D2 - Assessing, Hypothesizing, and Diagnosing</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02.05, 02.18</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 objective alignment</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WB3-LO8 | K25-K30, K55-K56 - provisional hypotheses, assessment tools, resources, and research-informed revision</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Application / Moderate</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MOST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HYP, SOURCE</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A</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The option assigns a fixed diagnosis-like explanation without sufficient timeline, contextual, or cross-setting evidence.</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B</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Bullying may be highly relevant, but the available information does not establish it as the single controlling cause.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C</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Assessment can proceed with a transparent provisional hypothesis; certainty is not required before identifying the next decision-critical data.</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D</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CORRECT. The formulation integrates multiple plausible influences, states uncertainty, identifies missing data, and remains open to revision.</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CTA EXAM STRATEGY  The best provisional hypothesis is specific enough to guide the next assessment step and flexible enough to change when new evidence appears.</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TRANSFERABLE REPAIR RULE  List at least two plausible explanations, the evidence for each, the missing decision-critical data, and the finding that would change the next step.</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13: Correct Answer A | CTA-LMFT-AMFTRB-WB03-Q13</w:t>
            </w:r>
          </w:p>
        </w:tc>
      </w:tr>
    </w:tbl>
    <w:p>
      <w:pPr>
        <w:keepNext/>
        <w:spacing w:before="100" w:after="60" w:line="240" w:lineRule="auto"/>
      </w:pPr>
      <w:r>
        <w:rPr>
          <w:rFonts w:ascii="Liberation Sans" w:hAnsi="Liberation Sans" w:eastAsia="Liberation Sans"/>
          <w:b/>
          <w:i w:val="0"/>
          <w:color w:val="18365B"/>
          <w:sz w:val="20"/>
        </w:rPr>
        <w:t>During an intake, a parent answers every question for a 14-year-old. The adolescent whispers, “I will be punished if I say anything,” and the therapist notices several fresh scratches on the adolescent’s forearm. What should the therapist do FIRST?</w:t>
      </w:r>
    </w:p>
    <w:p>
      <w:pPr>
        <w:spacing w:before="0" w:after="40" w:line="240" w:lineRule="auto"/>
        <w:ind w:left="216" w:hanging="216"/>
      </w:pPr>
      <w:r>
        <w:rPr>
          <w:rFonts w:ascii="Liberation Sans" w:hAnsi="Liberation Sans" w:eastAsia="Liberation Sans"/>
          <w:b/>
          <w:i w:val="0"/>
          <w:color w:val="1A9A96"/>
          <w:sz w:val="18"/>
        </w:rPr>
        <w:t>A. Create a safe opportunity for direct assessment, explain relevant limits, assess self-harm, coercion, abuse or immediate danger, and determine the protective next step before routine family interviewing continues.</w:t>
      </w:r>
    </w:p>
    <w:p>
      <w:pPr>
        <w:spacing w:before="0" w:after="40" w:line="240" w:lineRule="auto"/>
        <w:ind w:left="216" w:hanging="216"/>
      </w:pPr>
      <w:r>
        <w:rPr>
          <w:rFonts w:ascii="Liberation Sans" w:hAnsi="Liberation Sans" w:eastAsia="Liberation Sans"/>
          <w:b/>
          <w:i w:val="0"/>
          <w:color w:val="1F2937"/>
          <w:sz w:val="18"/>
        </w:rPr>
        <w:t>B. Ask the parent to explain the scratches because the parent has legal responsibility for the adolescent.</w:t>
      </w:r>
    </w:p>
    <w:p>
      <w:pPr>
        <w:spacing w:before="0" w:after="40" w:line="240" w:lineRule="auto"/>
        <w:ind w:left="216" w:hanging="216"/>
      </w:pPr>
      <w:r>
        <w:rPr>
          <w:rFonts w:ascii="Liberation Sans" w:hAnsi="Liberation Sans" w:eastAsia="Liberation Sans"/>
          <w:b/>
          <w:i w:val="0"/>
          <w:color w:val="1F2937"/>
          <w:sz w:val="18"/>
        </w:rPr>
        <w:t>C. Continue the joint interview so the therapist does not appear to take sides.</w:t>
      </w:r>
    </w:p>
    <w:p>
      <w:pPr>
        <w:spacing w:before="0" w:after="40" w:line="240" w:lineRule="auto"/>
        <w:ind w:left="216" w:hanging="216"/>
      </w:pPr>
      <w:r>
        <w:rPr>
          <w:rFonts w:ascii="Liberation Sans" w:hAnsi="Liberation Sans" w:eastAsia="Liberation Sans"/>
          <w:b/>
          <w:i w:val="0"/>
          <w:color w:val="1F2937"/>
          <w:sz w:val="18"/>
        </w:rPr>
        <w:t>D. Promise the adolescent complete secrecy and schedule an individual appointment for the following week.</w:t>
      </w:r>
    </w:p>
    <w:tbl>
      <w:tblPr>
        <w:tblW w:type="auto" w:w="0"/>
        <w:jc w:val="center"/>
        <w:tblLayout w:type="fixed"/>
        <w:tblLook w:firstColumn="1" w:firstRow="1" w:lastColumn="0" w:lastRow="0" w:noHBand="0" w:noVBand="1" w:val="04A0"/>
      </w:tblPr>
      <w:tblGrid>
        <w:gridCol w:w="2376"/>
        <w:gridCol w:w="7992"/>
      </w:tblGrid>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CTA-LMFT-AMFTRB-WB03-Q13</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D5 - Crisis Management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05.02-05.03; D2 02.03</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 objective alignment</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WB3-LO1, WB3-LO3, WB3-LO7 | K20-K23 - self-harm, coercion, abuse or endangerment, and direct safety assessment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Integrated Clinical Reasoning / Difficult</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FIRST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SCREEN, UNIT</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A</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CORRECT. The combination of constrained participation, a threat of punishment, and fresh injuries requires direct and timely safety assessment, clear limits, and a treatment-unit decision before routine interviewing.</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B</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The parent’s perspective may later be relevant, but asking the potentially controlling person to explain the concern does not create a safe assessment of the adolescent’s risk.</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C</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Maintaining the planned format may suppress disclosure and delay assessment of immediate danger.</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D</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Complete secrecy cannot be promised, and waiting a week may be unsafe when fresh injuries and coercion are present.</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CTA EXAM STRATEGY  When safety and participation conflict, safety controls the sequence. Create a workable assessment condition before seeking more family history.</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TRANSFERABLE REPAIR RULE  Use INTAKE and SCREEN: notice coercion and injury, establish safe participation, assess immediate risk directly, clarify limits, and route the protective next step.</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14: Correct Answer B | CTA-LMFT-AMFTRB-WB03-Q14</w:t>
            </w:r>
          </w:p>
        </w:tc>
      </w:tr>
    </w:tbl>
    <w:p>
      <w:pPr>
        <w:keepNext/>
        <w:spacing w:before="100" w:after="60" w:line="240" w:lineRule="auto"/>
      </w:pPr>
      <w:r>
        <w:rPr>
          <w:rFonts w:ascii="Liberation Sans" w:hAnsi="Liberation Sans" w:eastAsia="Liberation Sans"/>
          <w:b/>
          <w:i w:val="0"/>
          <w:color w:val="18365B"/>
          <w:sz w:val="20"/>
        </w:rPr>
        <w:t>During teletherapy, a normally coherent client becomes disoriented, has slurred speech, cannot state the current location, and reports having fallen earlier. The client is alone. What should the therapist do NEXT?</w:t>
      </w:r>
    </w:p>
    <w:p>
      <w:pPr>
        <w:spacing w:before="0" w:after="40" w:line="240" w:lineRule="auto"/>
        <w:ind w:left="216" w:hanging="216"/>
      </w:pPr>
      <w:r>
        <w:rPr>
          <w:rFonts w:ascii="Liberation Sans" w:hAnsi="Liberation Sans" w:eastAsia="Liberation Sans"/>
          <w:b/>
          <w:i w:val="0"/>
          <w:color w:val="1F2937"/>
          <w:sz w:val="18"/>
        </w:rPr>
        <w:t>A. Ask exploratory questions about whether relationship stress triggered the episode.</w:t>
      </w:r>
    </w:p>
    <w:p>
      <w:pPr>
        <w:spacing w:before="0" w:after="40" w:line="240" w:lineRule="auto"/>
        <w:ind w:left="216" w:hanging="216"/>
      </w:pPr>
      <w:r>
        <w:rPr>
          <w:rFonts w:ascii="Liberation Sans" w:hAnsi="Liberation Sans" w:eastAsia="Liberation Sans"/>
          <w:b/>
          <w:i w:val="0"/>
          <w:color w:val="1A9A96"/>
          <w:sz w:val="18"/>
        </w:rPr>
        <w:t>B. Maintain contact while assessing immediate safety and available location information, activate urgent medical or emergency assistance, and coordinate continuity after the immediate danger is addressed.</w:t>
      </w:r>
    </w:p>
    <w:p>
      <w:pPr>
        <w:spacing w:before="0" w:after="40" w:line="240" w:lineRule="auto"/>
        <w:ind w:left="216" w:hanging="216"/>
      </w:pPr>
      <w:r>
        <w:rPr>
          <w:rFonts w:ascii="Liberation Sans" w:hAnsi="Liberation Sans" w:eastAsia="Liberation Sans"/>
          <w:b/>
          <w:i w:val="0"/>
          <w:color w:val="1F2937"/>
          <w:sz w:val="18"/>
        </w:rPr>
        <w:t>C. End the session and send a portal message recommending that the client call a physician later.</w:t>
      </w:r>
    </w:p>
    <w:p>
      <w:pPr>
        <w:spacing w:before="0" w:after="40" w:line="240" w:lineRule="auto"/>
        <w:ind w:left="216" w:hanging="216"/>
      </w:pPr>
      <w:r>
        <w:rPr>
          <w:rFonts w:ascii="Liberation Sans" w:hAnsi="Liberation Sans" w:eastAsia="Liberation Sans"/>
          <w:b/>
          <w:i w:val="0"/>
          <w:color w:val="1F2937"/>
          <w:sz w:val="18"/>
        </w:rPr>
        <w:t>D. Administer a depression questionnaire to determine whether the presentation is psychiatric.</w:t>
      </w:r>
    </w:p>
    <w:tbl>
      <w:tblPr>
        <w:tblW w:type="auto" w:w="0"/>
        <w:jc w:val="center"/>
        <w:tblLayout w:type="fixed"/>
        <w:tblLook w:firstColumn="1" w:firstRow="1" w:lastColumn="0" w:lastRow="0" w:noHBand="0" w:noVBand="1" w:val="04A0"/>
      </w:tblPr>
      <w:tblGrid>
        <w:gridCol w:w="2376"/>
        <w:gridCol w:w="7992"/>
      </w:tblGrid>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CTA-LMFT-AMFTRB-WB03-Q14</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D5 - Crisis Management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05.01; D2 02.02, 02.20</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 objective alignment</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WB3-LO3, WB3-LO7 | K20-K26, K53-K54 - acute impairment, medical routing, coordination, and continuity</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Integrated Clinical Reasoning / Difficult</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NEXT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BASE, MSE, REFER</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A</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The presentation suggests acute impairment and possible medical danger; exploratory psychotherapy would delay necessary evaluation.</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B</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CORRECT. The therapist should recognize the acute MSE and baseline change, preserve connection, obtain enough information to route urgent assistance, and plan continuity after immediate safety is addressed.</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C</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Ending contact without active routing is inadequate when the client is disoriented, injured, and alone.</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D</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A questionnaire cannot rule out medical, neurological, substance-related, or other urgent causes and would delay the appropriate response.</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CTA EXAM STRATEGY  Acute disorientation is a routing problem. Stabilize connection, identify location and immediate danger, and obtain urgent evaluation before attempting formulation.</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TRANSFERABLE REPAIR RULE  Use BASELINE and REFER: compare current to usual functioning, describe the MSE change, identify the urgent referral question, and preserve continuity.</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15: Correct Answer C | CTA-LMFT-AMFTRB-WB03-Q15</w:t>
            </w:r>
          </w:p>
        </w:tc>
      </w:tr>
    </w:tbl>
    <w:p>
      <w:pPr>
        <w:keepNext/>
        <w:spacing w:before="100" w:after="60" w:line="240" w:lineRule="auto"/>
      </w:pPr>
      <w:r>
        <w:rPr>
          <w:rFonts w:ascii="Liberation Sans" w:hAnsi="Liberation Sans" w:eastAsia="Liberation Sans"/>
          <w:b/>
          <w:i w:val="0"/>
          <w:color w:val="18365B"/>
          <w:sz w:val="20"/>
        </w:rPr>
        <w:t>A couple reports that sexual intimacy stopped after one partner began an antidepressant and developed pain. The partner says religious beliefs make the topic difficult and worries that the other partner feels entitled to sex. Which assessment approach is BEST?</w:t>
      </w:r>
    </w:p>
    <w:p>
      <w:pPr>
        <w:spacing w:before="0" w:after="40" w:line="240" w:lineRule="auto"/>
        <w:ind w:left="216" w:hanging="216"/>
      </w:pPr>
      <w:r>
        <w:rPr>
          <w:rFonts w:ascii="Liberation Sans" w:hAnsi="Liberation Sans" w:eastAsia="Liberation Sans"/>
          <w:b/>
          <w:i w:val="0"/>
          <w:color w:val="1F2937"/>
          <w:sz w:val="18"/>
        </w:rPr>
        <w:t>A. Assume the medication is the cause and refer immediately without further relational assessment.</w:t>
      </w:r>
    </w:p>
    <w:p>
      <w:pPr>
        <w:spacing w:before="0" w:after="40" w:line="240" w:lineRule="auto"/>
        <w:ind w:left="216" w:hanging="216"/>
      </w:pPr>
      <w:r>
        <w:rPr>
          <w:rFonts w:ascii="Liberation Sans" w:hAnsi="Liberation Sans" w:eastAsia="Liberation Sans"/>
          <w:b/>
          <w:i w:val="0"/>
          <w:color w:val="1F2937"/>
          <w:sz w:val="18"/>
        </w:rPr>
        <w:t>B. Ask the other partner to describe the sexual problem because the first partner appears uncomfortable.</w:t>
      </w:r>
    </w:p>
    <w:p>
      <w:pPr>
        <w:spacing w:before="0" w:after="40" w:line="240" w:lineRule="auto"/>
        <w:ind w:left="216" w:hanging="216"/>
      </w:pPr>
      <w:r>
        <w:rPr>
          <w:rFonts w:ascii="Liberation Sans" w:hAnsi="Liberation Sans" w:eastAsia="Liberation Sans"/>
          <w:b/>
          <w:i w:val="0"/>
          <w:color w:val="1A9A96"/>
          <w:sz w:val="18"/>
        </w:rPr>
        <w:t>C. Use consent-sensitive inquiry about pain, medication and health factors, desire, safety, coercion, relationship meaning, identity and cultural or spiritual context, and coordinate medical or specialty evaluation as indicated.</w:t>
      </w:r>
    </w:p>
    <w:p>
      <w:pPr>
        <w:spacing w:before="0" w:after="40" w:line="240" w:lineRule="auto"/>
        <w:ind w:left="216" w:hanging="216"/>
      </w:pPr>
      <w:r>
        <w:rPr>
          <w:rFonts w:ascii="Liberation Sans" w:hAnsi="Liberation Sans" w:eastAsia="Liberation Sans"/>
          <w:b/>
          <w:i w:val="0"/>
          <w:color w:val="1F2937"/>
          <w:sz w:val="18"/>
        </w:rPr>
        <w:t>D. Avoid the topic because discussing sexuality may violate the partner’s religious values.</w:t>
      </w:r>
    </w:p>
    <w:tbl>
      <w:tblPr>
        <w:tblW w:type="auto" w:w="0"/>
        <w:jc w:val="center"/>
        <w:tblLayout w:type="fixed"/>
        <w:tblLook w:firstColumn="1" w:firstRow="1" w:lastColumn="0" w:lastRow="0" w:noHBand="0" w:noVBand="1" w:val="04A0"/>
      </w:tblPr>
      <w:tblGrid>
        <w:gridCol w:w="2376"/>
        <w:gridCol w:w="7992"/>
      </w:tblGrid>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CTA-LMFT-AMFTRB-WB03-Q15</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D2 - Assessing, Hypothesizing, and Diagnosing</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02.13, 02.05</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 objective alignment</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WB3-LO6, WB3-LO7 | K49-K52, K32-K34 - sexual functioning, consent, health factors, identity, and cultural meaning</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Scenario-Based / Difficult</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BEST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SCREEN, CONTEXT</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A</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Medication may contribute, but a single-cause assumption misses pain, safety, consent, relational meaning, and other health or contextual factors.</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B</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Allowing one partner to define the concern may silence the other partner and fails to assess voluntariness and consent.</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C</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CORRECT. The approach is respectful, clinically broad, consent-sensitive, culturally responsive, and connected to appropriate referral without predetermining the cause.</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D</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Respect requires asking how beliefs shape the client’s preferences and boundaries, not avoiding a clinically relevant concern altogether.</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CTA EXAM STRATEGY  Sexual-functioning assessment integrates health, medication, consent, safety, identity, relationship meaning, and culture. Ask permission and avoid assumptions.</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TRANSFERABLE REPAIR RULE  Use SCREEN and LENSES: ask what is happening, what it means, what is safe and consensual, what embodied factors may contribute, and what referral is needed.</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16: Correct Answer D | CTA-LMFT-AMFTRB-WB03-Q16</w:t>
            </w:r>
          </w:p>
        </w:tc>
      </w:tr>
    </w:tbl>
    <w:p>
      <w:pPr>
        <w:keepNext/>
        <w:spacing w:before="100" w:after="60" w:line="240" w:lineRule="auto"/>
      </w:pPr>
      <w:r>
        <w:rPr>
          <w:rFonts w:ascii="Liberation Sans" w:hAnsi="Liberation Sans" w:eastAsia="Liberation Sans"/>
          <w:b/>
          <w:i w:val="0"/>
          <w:color w:val="18365B"/>
          <w:sz w:val="20"/>
        </w:rPr>
        <w:t>A family reports escalating conflict about a 16-year-old’s gaming. The parent recently lost work, the family moved to crowded housing, internet access is the adolescent’s main peer connection, school attendance has declined, and the other parent works rotating night shifts. What should be the PRIMARY assessment frame?</w:t>
      </w:r>
    </w:p>
    <w:p>
      <w:pPr>
        <w:spacing w:before="0" w:after="40" w:line="240" w:lineRule="auto"/>
        <w:ind w:left="216" w:hanging="216"/>
      </w:pPr>
      <w:r>
        <w:rPr>
          <w:rFonts w:ascii="Liberation Sans" w:hAnsi="Liberation Sans" w:eastAsia="Liberation Sans"/>
          <w:b/>
          <w:i w:val="0"/>
          <w:color w:val="1F2937"/>
          <w:sz w:val="18"/>
        </w:rPr>
        <w:t>A. The adolescent’s gaming is the central disorder and should be stopped before other concerns are considered.</w:t>
      </w:r>
    </w:p>
    <w:p>
      <w:pPr>
        <w:spacing w:before="0" w:after="40" w:line="240" w:lineRule="auto"/>
        <w:ind w:left="216" w:hanging="216"/>
      </w:pPr>
      <w:r>
        <w:rPr>
          <w:rFonts w:ascii="Liberation Sans" w:hAnsi="Liberation Sans" w:eastAsia="Liberation Sans"/>
          <w:b/>
          <w:i w:val="0"/>
          <w:color w:val="1F2937"/>
          <w:sz w:val="18"/>
        </w:rPr>
        <w:t>B. The parent’s unemployment is the cause of all family conflict.</w:t>
      </w:r>
    </w:p>
    <w:p>
      <w:pPr>
        <w:spacing w:before="0" w:after="40" w:line="240" w:lineRule="auto"/>
        <w:ind w:left="216" w:hanging="216"/>
      </w:pPr>
      <w:r>
        <w:rPr>
          <w:rFonts w:ascii="Liberation Sans" w:hAnsi="Liberation Sans" w:eastAsia="Liberation Sans"/>
          <w:b/>
          <w:i w:val="0"/>
          <w:color w:val="1F2937"/>
          <w:sz w:val="18"/>
        </w:rPr>
        <w:t>C. Gaming should be viewed as protective because it provides peer contact, so functional impairment does not need assessment.</w:t>
      </w:r>
    </w:p>
    <w:p>
      <w:pPr>
        <w:spacing w:before="0" w:after="40" w:line="240" w:lineRule="auto"/>
        <w:ind w:left="216" w:hanging="216"/>
      </w:pPr>
      <w:r>
        <w:rPr>
          <w:rFonts w:ascii="Liberation Sans" w:hAnsi="Liberation Sans" w:eastAsia="Liberation Sans"/>
          <w:b/>
          <w:i w:val="0"/>
          <w:color w:val="1A9A96"/>
          <w:sz w:val="18"/>
        </w:rPr>
        <w:t>D. Assess the gaming pattern and function, school and sleep change, family responses, economic and housing stress, shift-work demands, access, safety, and strengths as interacting factors within a provisional hypothesis.</w:t>
      </w:r>
    </w:p>
    <w:tbl>
      <w:tblPr>
        <w:tblW w:type="auto" w:w="0"/>
        <w:jc w:val="center"/>
        <w:tblLayout w:type="fixed"/>
        <w:tblLook w:firstColumn="1" w:firstRow="1" w:lastColumn="0" w:lastRow="0" w:noHBand="0" w:noVBand="1" w:val="04A0"/>
      </w:tblPr>
      <w:tblGrid>
        <w:gridCol w:w="2376"/>
        <w:gridCol w:w="7992"/>
      </w:tblGrid>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CTA-LMFT-AMFTRB-WB03-Q16</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D2 - Assessing, Hypothesizing, and Diagnosing</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02.07-02.08, 02.12</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 objective alignment</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WB3-LO5, WB3-LO6, WB3-LO8 | K36-K38, K64-K67 - process use, economic stress, sociological climate, occupation, and cross-setting functioning</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Integrated Clinical Reasoning / Difficult</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PRIMARY</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CONTEXT, HYP</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A</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The option isolates one behavior and overlooks context, function, relational responses, and cross-setting impairment.</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B</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Economic stress may be powerful but should not be treated as a single proven cause of every difficulty.</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C</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Gaming may provide connection and still contribute to impairment; strengths and risks should both be assessed.</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D</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CORRECT. The response integrates process-use behavior, cross-setting functioning, structural stress, family patterns, access, and strengths without reducing the case to one cause.</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CTA EXAM STRATEGY  Context is not background decoration. It changes the function of behavior, the feasibility of care, and the meaning of family responses.</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TRANSFERABLE REPAIR RULE  Use LENSES and HYP: include life stage, environment, networks, social location, embodied factors, strengths, and at least two revisable explanations.</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Question 17: Correct Answer A | CTA-LMFT-AMFTRB-WB03-Q17</w:t>
            </w:r>
          </w:p>
        </w:tc>
      </w:tr>
    </w:tbl>
    <w:p>
      <w:pPr>
        <w:keepNext/>
        <w:spacing w:before="100" w:after="60" w:line="240" w:lineRule="auto"/>
      </w:pPr>
      <w:r>
        <w:rPr>
          <w:rFonts w:ascii="Liberation Sans" w:hAnsi="Liberation Sans" w:eastAsia="Liberation Sans"/>
          <w:b/>
          <w:i w:val="0"/>
          <w:color w:val="18365B"/>
          <w:sz w:val="20"/>
        </w:rPr>
        <w:t>An adolescent says, “Nothing is wrong,” parents report withdrawal and irritability, school records show a sharp decline after bullying, and the pediatrician recommends hearing and attention evaluations. Which response MOST supports accurate assessment and alliance?</w:t>
      </w:r>
    </w:p>
    <w:p>
      <w:pPr>
        <w:spacing w:before="0" w:after="40" w:line="240" w:lineRule="auto"/>
        <w:ind w:left="216" w:hanging="216"/>
      </w:pPr>
      <w:r>
        <w:rPr>
          <w:rFonts w:ascii="Liberation Sans" w:hAnsi="Liberation Sans" w:eastAsia="Liberation Sans"/>
          <w:b/>
          <w:i w:val="0"/>
          <w:color w:val="1A9A96"/>
          <w:sz w:val="18"/>
        </w:rPr>
        <w:t>A. Validate the adolescent’s perspective, explain the purpose and limits of each information source, compare functioning across settings, assess safety and bullying directly, collaborate on the treatment unit and priorities, and coordinate indicated referrals while documenting discrepancies.</w:t>
      </w:r>
    </w:p>
    <w:p>
      <w:pPr>
        <w:spacing w:before="0" w:after="40" w:line="240" w:lineRule="auto"/>
        <w:ind w:left="216" w:hanging="216"/>
      </w:pPr>
      <w:r>
        <w:rPr>
          <w:rFonts w:ascii="Liberation Sans" w:hAnsi="Liberation Sans" w:eastAsia="Liberation Sans"/>
          <w:b/>
          <w:i w:val="0"/>
          <w:color w:val="1F2937"/>
          <w:sz w:val="18"/>
        </w:rPr>
        <w:t>B. Accept the parents’ account because caregivers usually have the broadest view of adolescent functioning.</w:t>
      </w:r>
    </w:p>
    <w:p>
      <w:pPr>
        <w:spacing w:before="0" w:after="40" w:line="240" w:lineRule="auto"/>
        <w:ind w:left="216" w:hanging="216"/>
      </w:pPr>
      <w:r>
        <w:rPr>
          <w:rFonts w:ascii="Liberation Sans" w:hAnsi="Liberation Sans" w:eastAsia="Liberation Sans"/>
          <w:b/>
          <w:i w:val="0"/>
          <w:color w:val="1F2937"/>
          <w:sz w:val="18"/>
        </w:rPr>
        <w:t>C. Treat the school record as objective proof and confront the adolescent about denial.</w:t>
      </w:r>
    </w:p>
    <w:p>
      <w:pPr>
        <w:spacing w:before="0" w:after="40" w:line="240" w:lineRule="auto"/>
        <w:ind w:left="216" w:hanging="216"/>
      </w:pPr>
      <w:r>
        <w:rPr>
          <w:rFonts w:ascii="Liberation Sans" w:hAnsi="Liberation Sans" w:eastAsia="Liberation Sans"/>
          <w:b/>
          <w:i w:val="0"/>
          <w:color w:val="1F2937"/>
          <w:sz w:val="18"/>
        </w:rPr>
        <w:t>D. Defer all therapy until the hearing and attention evaluations are complete and avoid discussing the discrepant reports.</w:t>
      </w:r>
    </w:p>
    <w:tbl>
      <w:tblPr>
        <w:tblW w:type="auto" w:w="0"/>
        <w:jc w:val="center"/>
        <w:tblLayout w:type="fixed"/>
        <w:tblLook w:firstColumn="1" w:firstRow="1" w:lastColumn="0" w:lastRow="0" w:noHBand="0" w:noVBand="1" w:val="04A0"/>
      </w:tblPr>
      <w:tblGrid>
        <w:gridCol w:w="2376"/>
        <w:gridCol w:w="7992"/>
      </w:tblGrid>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Item ID</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CTA-LMFT-AMFTRB-WB03-Q17</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Primary domain</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D1 - Practice of Systemic Therapy</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Task alignment</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01.06; D2 02.20-02.22</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Knowledge / objective alignment</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WB3-LO1, WB3-LO2, WB3-LO7, WB3-LO8 | K25-K30, K55-K56, K66-K67 - collaboration, discrepant sources, treatment unit, access, and referral</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Type / Difficulty</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Scenario-Based / Difficult</w:t>
            </w:r>
          </w:p>
        </w:tc>
      </w:tr>
      <w:tr>
        <w:trPr>
          <w:cantSplit/>
        </w:trPr>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Decision word</w:t>
            </w:r>
          </w:p>
        </w:tc>
        <w:tc>
          <w:tcPr>
            <w:tcW w:type="dxa" w:w="5227"/>
            <w:shd w:fill="F3F5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MOST</w:t>
            </w:r>
          </w:p>
        </w:tc>
      </w:tr>
      <w:tr>
        <w:trPr>
          <w:cantSplit/>
        </w:trPr>
        <w:tc>
          <w:tcPr>
            <w:tcW w:type="dxa" w:w="5227"/>
            <w:shd w:fill="EAF0F7"/>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6"/>
              </w:rPr>
              <w:t>Likely remediation code(s)</w:t>
            </w:r>
          </w:p>
        </w:tc>
        <w:tc>
          <w:tcPr>
            <w:tcW w:type="dxa" w:w="5227"/>
            <w:shd w:fill="FFFFFF"/>
            <w:tcMar>
              <w:top w:w="65" w:type="dxa"/>
              <w:start w:w="90" w:type="dxa"/>
              <w:bottom w:w="65"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6"/>
              </w:rPr>
              <w:t>COLL, UNIT, REFER</w:t>
            </w:r>
          </w:p>
        </w:tc>
      </w:tr>
    </w:tbl>
    <w:p>
      <w:pPr>
        <w:spacing w:before="0" w:after="80" w:line="240" w:lineRule="auto"/>
      </w:pPr>
    </w:p>
    <w:tbl>
      <w:tblPr>
        <w:tblW w:type="auto" w:w="0"/>
        <w:jc w:val="center"/>
        <w:tblLayout w:type="fixed"/>
        <w:tblLook w:firstColumn="1" w:firstRow="1" w:lastColumn="0" w:lastRow="0" w:noHBand="0" w:noVBand="1" w:val="04A0"/>
      </w:tblPr>
      <w:tblGrid>
        <w:gridCol w:w="792"/>
        <w:gridCol w:w="9576"/>
      </w:tblGrid>
      <w:tr>
        <w:tc>
          <w:tcPr>
            <w:tcW w:type="dxa" w:w="10454"/>
            <w:gridSpan w:val="2"/>
            <w:shd w:fill="18365B"/>
            <w:tcMar>
              <w:top w:w="80" w:type="dxa"/>
              <w:start w:w="100" w:type="dxa"/>
              <w:bottom w:w="80" w:type="dxa"/>
              <w:end w:w="100" w:type="dxa"/>
            </w:tcMar>
            <w:tcBorders>
              <w:top w:val="single" w:sz="6" w:color="18365B"/>
              <w:left w:val="single" w:sz="6" w:color="18365B"/>
              <w:bottom w:val="single" w:sz="6" w:color="18365B"/>
              <w:right w:val="single" w:sz="6" w:color="18365B"/>
            </w:tcBorders>
          </w:tcPr>
          <w:p>
            <w:pPr>
              <w:spacing w:before="0" w:after="0" w:line="240" w:lineRule="auto"/>
            </w:pPr>
            <w:r>
              <w:rPr>
                <w:rFonts w:ascii="Liberation Sans" w:hAnsi="Liberation Sans" w:eastAsia="Liberation Sans"/>
                <w:b/>
                <w:i w:val="0"/>
                <w:color w:val="FFFFFF"/>
                <w:sz w:val="18"/>
              </w:rPr>
              <w:t>OPTION-BY-OPTION RATIONALE</w:t>
            </w:r>
          </w:p>
        </w:tc>
      </w:tr>
      <w:tr>
        <w:trPr>
          <w:cantSplit/>
        </w:trPr>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A9A96"/>
                <w:sz w:val="18"/>
              </w:rPr>
              <w:t>A</w:t>
            </w:r>
          </w:p>
        </w:tc>
        <w:tc>
          <w:tcPr>
            <w:tcW w:type="dxa" w:w="5227"/>
            <w:shd w:fill="E8F6F5"/>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A9A96"/>
                <w:sz w:val="17"/>
              </w:rPr>
              <w:t>CORRECT. The response preserves participation, compares sources without a credibility contest, addresses safety and context, identifies treatment-unit questions, and coordinates referrals without abandoning the assessment relationship.</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B</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Parents provide important information but are not automatically definitive; the adolescent’s perspective and other sources require direct assessment.</w:t>
            </w:r>
          </w:p>
        </w:tc>
      </w:tr>
      <w:tr>
        <w:trPr>
          <w:cantSplit/>
        </w:trPr>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C</w:t>
            </w:r>
          </w:p>
        </w:tc>
        <w:tc>
          <w:tcPr>
            <w:tcW w:type="dxa" w:w="5227"/>
            <w:shd w:fill="FFFFFF"/>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Records are one source with limits. Confronting “denial” prematurely may damage alliance and overlook the adolescent’s meaning and safety concerns.</w:t>
            </w:r>
          </w:p>
        </w:tc>
      </w:tr>
      <w:tr>
        <w:trPr>
          <w:cantSplit/>
        </w:trPr>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8"/>
              </w:rPr>
              <w:t>D</w:t>
            </w:r>
          </w:p>
        </w:tc>
        <w:tc>
          <w:tcPr>
            <w:tcW w:type="dxa" w:w="5227"/>
            <w:shd w:fill="F3F5F7"/>
            <w:tcMar>
              <w:top w:w="70" w:type="dxa"/>
              <w:start w:w="90" w:type="dxa"/>
              <w:bottom w:w="70" w:type="dxa"/>
              <w:end w:w="9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7"/>
              </w:rPr>
              <w:t>Not best. External evaluation may be important, but the therapist can continue appropriate assessment, support, and coordination while the referrals proceed.</w:t>
            </w:r>
          </w:p>
        </w:tc>
      </w:tr>
    </w:tbl>
    <w:tbl>
      <w:tblPr>
        <w:tblW w:type="auto" w:w="0"/>
        <w:jc w:val="center"/>
        <w:tblLook w:firstColumn="1" w:firstRow="1" w:lastColumn="0" w:lastRow="0" w:noHBand="0" w:noVBand="1" w:val="04A0"/>
      </w:tblPr>
      <w:tblGrid>
        <w:gridCol w:w="10454"/>
      </w:tblGrid>
      <w:tr>
        <w:tc>
          <w:tcPr>
            <w:tcW w:type="dxa" w:w="10454"/>
            <w:shd w:fill="EAF0F7"/>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CTA EXAM STRATEGY  Discrepant sources are data. The strongest answer protects participation, compares settings, clarifies missing information, and coordinates the next step.</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TRANSFERABLE REPAIR RULE  Use COLL, UNIT, and REFER: name each source, preserve the client’s voice, clarify the treatment purpose, identify the referral question, and document how new information will revise the plan.</w:t>
            </w:r>
          </w:p>
        </w:tc>
      </w:tr>
    </w:tbl>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Final Remediation Plan</w:t>
            </w:r>
          </w:p>
        </w:tc>
      </w:tr>
    </w:tbl>
    <w:tbl>
      <w:tblPr>
        <w:tblW w:type="auto" w:w="0"/>
        <w:jc w:val="center"/>
        <w:tblLayout w:type="fixed"/>
        <w:tblLook w:firstColumn="1" w:firstRow="1" w:lastColumn="0" w:lastRow="0" w:noHBand="0" w:noVBand="1" w:val="04A0"/>
      </w:tblPr>
      <w:tblGrid>
        <w:gridCol w:w="1080"/>
        <w:gridCol w:w="3600"/>
        <w:gridCol w:w="5688"/>
      </w:tblGrid>
      <w:tr>
        <w:trPr>
          <w:tblHeader w:val="true"/>
        </w:trPr>
        <w:tc>
          <w:tcPr>
            <w:tcW w:type="dxa" w:w="3485"/>
            <w:shd w:fill="18365B"/>
            <w:tcMar>
              <w:top w:w="70" w:type="dxa"/>
              <w:start w:w="80" w:type="dxa"/>
              <w:bottom w:w="70" w:type="dxa"/>
              <w:end w:w="80" w:type="dxa"/>
            </w:tcMar>
            <w:tcBorders>
              <w:top w:val="single" w:sz="4" w:color="18365B"/>
              <w:left w:val="single" w:sz="4" w:color="18365B"/>
              <w:bottom w:val="single" w:sz="4" w:color="18365B"/>
              <w:right w:val="single" w:sz="4" w:color="18365B"/>
            </w:tcBorders>
          </w:tcPr>
          <w:p>
            <w:pPr>
              <w:spacing w:before="0" w:after="0" w:line="240" w:lineRule="auto"/>
              <w:jc w:val="center"/>
            </w:pPr>
            <w:r>
              <w:rPr>
                <w:rFonts w:ascii="Liberation Sans" w:hAnsi="Liberation Sans" w:eastAsia="Liberation Sans"/>
                <w:b/>
                <w:i w:val="0"/>
                <w:color w:val="FFFFFF"/>
                <w:sz w:val="17"/>
              </w:rPr>
              <w:t>Code</w:t>
            </w:r>
          </w:p>
        </w:tc>
        <w:tc>
          <w:tcPr>
            <w:tcW w:type="dxa" w:w="3485"/>
            <w:shd w:fill="18365B"/>
            <w:tcMar>
              <w:top w:w="70" w:type="dxa"/>
              <w:start w:w="80" w:type="dxa"/>
              <w:bottom w:w="70" w:type="dxa"/>
              <w:end w:w="80" w:type="dxa"/>
            </w:tcMar>
            <w:tcBorders>
              <w:top w:val="single" w:sz="4" w:color="18365B"/>
              <w:left w:val="single" w:sz="4" w:color="18365B"/>
              <w:bottom w:val="single" w:sz="4" w:color="18365B"/>
              <w:right w:val="single" w:sz="4" w:color="18365B"/>
            </w:tcBorders>
          </w:tcPr>
          <w:p>
            <w:pPr>
              <w:spacing w:before="0" w:after="0" w:line="240" w:lineRule="auto"/>
              <w:jc w:val="center"/>
            </w:pPr>
            <w:r>
              <w:rPr>
                <w:rFonts w:ascii="Liberation Sans" w:hAnsi="Liberation Sans" w:eastAsia="Liberation Sans"/>
                <w:b/>
                <w:i w:val="0"/>
                <w:color w:val="FFFFFF"/>
                <w:sz w:val="17"/>
              </w:rPr>
              <w:t>Meaning</w:t>
            </w:r>
          </w:p>
        </w:tc>
        <w:tc>
          <w:tcPr>
            <w:tcW w:type="dxa" w:w="3485"/>
            <w:shd w:fill="18365B"/>
            <w:tcMar>
              <w:top w:w="70" w:type="dxa"/>
              <w:start w:w="80" w:type="dxa"/>
              <w:bottom w:w="70" w:type="dxa"/>
              <w:end w:w="80" w:type="dxa"/>
            </w:tcMar>
            <w:tcBorders>
              <w:top w:val="single" w:sz="4" w:color="18365B"/>
              <w:left w:val="single" w:sz="4" w:color="18365B"/>
              <w:bottom w:val="single" w:sz="4" w:color="18365B"/>
              <w:right w:val="single" w:sz="4" w:color="18365B"/>
            </w:tcBorders>
          </w:tcPr>
          <w:p>
            <w:pPr>
              <w:spacing w:before="0" w:after="0" w:line="240" w:lineRule="auto"/>
              <w:jc w:val="center"/>
            </w:pPr>
            <w:r>
              <w:rPr>
                <w:rFonts w:ascii="Liberation Sans" w:hAnsi="Liberation Sans" w:eastAsia="Liberation Sans"/>
                <w:b/>
                <w:i w:val="0"/>
                <w:color w:val="FFFFFF"/>
                <w:sz w:val="17"/>
              </w:rPr>
              <w:t>Repair Rule</w:t>
            </w:r>
          </w:p>
        </w:tc>
      </w:tr>
      <w:tr>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UNIT</w:t>
            </w:r>
          </w:p>
        </w:tc>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Misidentified the client, referral question, or treatment unit.</w:t>
            </w:r>
          </w:p>
        </w:tc>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Use INTAKE and name who is being served, who is present, and what decision the assessment must support.</w:t>
            </w:r>
          </w:p>
        </w:tc>
      </w:tr>
      <w:tr>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SOURCE</w:t>
            </w:r>
          </w:p>
        </w:tc>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Collapsed observation, client report, collateral report, record data, and inference.</w:t>
            </w:r>
          </w:p>
        </w:tc>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Label the source and confidence level of each fact and state what remains unverified.</w:t>
            </w:r>
          </w:p>
        </w:tc>
      </w:tr>
      <w:tr>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BASE</w:t>
            </w:r>
          </w:p>
        </w:tc>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Ignored onset, timeline, baseline, or cross-setting change.</w:t>
            </w:r>
          </w:p>
        </w:tc>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Use BASELINE before deciding whether a pattern is longstanding, situational, or acute.</w:t>
            </w:r>
          </w:p>
        </w:tc>
      </w:tr>
      <w:tr>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MSE</w:t>
            </w:r>
          </w:p>
        </w:tc>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Skipped or misread mental-status information.</w:t>
            </w:r>
          </w:p>
        </w:tc>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Describe observable MSE domains and separate current findings from diagnosis.</w:t>
            </w:r>
          </w:p>
        </w:tc>
      </w:tr>
      <w:tr>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PATTERN</w:t>
            </w:r>
          </w:p>
        </w:tc>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Focused on one person and missed reciprocal interaction, roles, rules, or hierarchy.</w:t>
            </w:r>
          </w:p>
        </w:tc>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Use MAPS and write the sequence before naming the problem.</w:t>
            </w:r>
          </w:p>
        </w:tc>
      </w:tr>
      <w:tr>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CONTEXT</w:t>
            </w:r>
          </w:p>
        </w:tc>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Used stereotypes or omitted culture, development, power, access, or environment.</w:t>
            </w:r>
          </w:p>
        </w:tc>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Use LENSES; ask the client system what the context means and how it changes the decision.</w:t>
            </w:r>
          </w:p>
        </w:tc>
      </w:tr>
      <w:tr>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SCREEN</w:t>
            </w:r>
          </w:p>
        </w:tc>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Moved to technique before screening safety, health, substances, trauma, or sexual functioning.</w:t>
            </w:r>
          </w:p>
        </w:tc>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Identify urgent or specialty concerns and route them before routine intervention.</w:t>
            </w:r>
          </w:p>
        </w:tc>
      </w:tr>
      <w:tr>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COLL</w:t>
            </w:r>
          </w:p>
        </w:tc>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Treated one informant as automatically correct or shared information without a clear basis.</w:t>
            </w:r>
          </w:p>
        </w:tc>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Compare sources, clarify roles and limits, and document discrepancies without a credibility contest.</w:t>
            </w:r>
          </w:p>
        </w:tc>
      </w:tr>
      <w:tr>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HYP</w:t>
            </w:r>
          </w:p>
        </w:tc>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Converted a tentative hypothesis into a diagnosis or fixed causal conclusion.</w:t>
            </w:r>
          </w:p>
        </w:tc>
        <w:tc>
          <w:tcPr>
            <w:tcW w:type="dxa" w:w="3485"/>
            <w:shd w:fill="FFFFFF"/>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Keep multiple explanations open and identify evidence that would strengthen, weaken, or replace each one.</w:t>
            </w:r>
          </w:p>
        </w:tc>
      </w:tr>
      <w:tr>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REFER</w:t>
            </w:r>
          </w:p>
        </w:tc>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Delayed consultation, referral, or higher-level evaluation.</w:t>
            </w:r>
          </w:p>
        </w:tc>
        <w:tc>
          <w:tcPr>
            <w:tcW w:type="dxa" w:w="3485"/>
            <w:shd w:fill="F3F5F7"/>
            <w:tcMar>
              <w:top w:w="60" w:type="dxa"/>
              <w:start w:w="75" w:type="dxa"/>
              <w:bottom w:w="60" w:type="dxa"/>
              <w:end w:w="75" w:type="dxa"/>
            </w:tcMar>
            <w:tcBorders>
              <w:top w:val="single" w:sz="4" w:color="9CA3AF"/>
              <w:left w:val="single" w:sz="4" w:color="9CA3AF"/>
              <w:bottom w:val="single" w:sz="4" w:color="9CA3AF"/>
              <w:right w:val="single" w:sz="4" w:color="9CA3AF"/>
            </w:tcBorders>
          </w:tcPr>
          <w:p>
            <w:pPr>
              <w:spacing w:before="0" w:after="0" w:line="240" w:lineRule="auto"/>
              <w:jc w:val="left"/>
            </w:pPr>
            <w:r>
              <w:rPr>
                <w:rFonts w:ascii="Liberation Sans" w:hAnsi="Liberation Sans" w:eastAsia="Liberation Sans"/>
                <w:b w:val="0"/>
                <w:i w:val="0"/>
                <w:color w:val="1F2937"/>
                <w:sz w:val="16"/>
              </w:rPr>
              <w:t>State the referral question, preserve continuity, and coordinate the next step with the client system.</w:t>
            </w:r>
          </w:p>
        </w:tc>
      </w:tr>
    </w:tbl>
    <w:p>
      <w:pPr>
        <w:pStyle w:val="Heading2"/>
      </w:pPr>
      <w:r>
        <w:t>My Workbook 3 Repair Plan</w:t>
      </w:r>
    </w:p>
    <w:tbl>
      <w:tblPr>
        <w:tblW w:type="auto" w:w="0"/>
        <w:jc w:val="center"/>
        <w:tblLayout w:type="fixed"/>
        <w:tblLook w:firstColumn="1" w:firstRow="1" w:lastColumn="0" w:lastRow="0" w:noHBand="0" w:noVBand="1" w:val="04A0"/>
      </w:tblPr>
      <w:tblGrid>
        <w:gridCol w:w="2088"/>
        <w:gridCol w:w="2952"/>
        <w:gridCol w:w="3240"/>
        <w:gridCol w:w="2088"/>
      </w:tblGrid>
      <w:tr>
        <w:trPr>
          <w:tblHeader w:val="true"/>
        </w:trPr>
        <w:tc>
          <w:tcPr>
            <w:tcW w:type="dxa" w:w="2613"/>
            <w:shd w:fill="18365B"/>
            <w:tcMar>
              <w:top w:w="70" w:type="dxa"/>
              <w:start w:w="75" w:type="dxa"/>
              <w:bottom w:w="70" w:type="dxa"/>
              <w:end w:w="75" w:type="dxa"/>
            </w:tcMar>
            <w:tcBorders>
              <w:top w:val="single" w:sz="4" w:color="18365B"/>
              <w:left w:val="single" w:sz="4" w:color="18365B"/>
              <w:bottom w:val="single" w:sz="4" w:color="18365B"/>
              <w:right w:val="single" w:sz="4" w:color="18365B"/>
            </w:tcBorders>
          </w:tcPr>
          <w:p>
            <w:pPr>
              <w:spacing w:before="0" w:after="0" w:line="240" w:lineRule="auto"/>
              <w:jc w:val="center"/>
            </w:pPr>
            <w:r>
              <w:rPr>
                <w:rFonts w:ascii="Liberation Sans" w:hAnsi="Liberation Sans" w:eastAsia="Liberation Sans"/>
                <w:b/>
                <w:i w:val="0"/>
                <w:color w:val="FFFFFF"/>
                <w:sz w:val="16"/>
              </w:rPr>
              <w:t>Priority Skill</w:t>
            </w:r>
          </w:p>
        </w:tc>
        <w:tc>
          <w:tcPr>
            <w:tcW w:type="dxa" w:w="2613"/>
            <w:shd w:fill="18365B"/>
            <w:tcMar>
              <w:top w:w="70" w:type="dxa"/>
              <w:start w:w="75" w:type="dxa"/>
              <w:bottom w:w="70" w:type="dxa"/>
              <w:end w:w="75" w:type="dxa"/>
            </w:tcMar>
            <w:tcBorders>
              <w:top w:val="single" w:sz="4" w:color="18365B"/>
              <w:left w:val="single" w:sz="4" w:color="18365B"/>
              <w:bottom w:val="single" w:sz="4" w:color="18365B"/>
              <w:right w:val="single" w:sz="4" w:color="18365B"/>
            </w:tcBorders>
          </w:tcPr>
          <w:p>
            <w:pPr>
              <w:spacing w:before="0" w:after="0" w:line="240" w:lineRule="auto"/>
              <w:jc w:val="center"/>
            </w:pPr>
            <w:r>
              <w:rPr>
                <w:rFonts w:ascii="Liberation Sans" w:hAnsi="Liberation Sans" w:eastAsia="Liberation Sans"/>
                <w:b/>
                <w:i w:val="0"/>
                <w:color w:val="FFFFFF"/>
                <w:sz w:val="16"/>
              </w:rPr>
              <w:t>Evidence from My Work</w:t>
            </w:r>
          </w:p>
        </w:tc>
        <w:tc>
          <w:tcPr>
            <w:tcW w:type="dxa" w:w="2613"/>
            <w:shd w:fill="18365B"/>
            <w:tcMar>
              <w:top w:w="70" w:type="dxa"/>
              <w:start w:w="75" w:type="dxa"/>
              <w:bottom w:w="70" w:type="dxa"/>
              <w:end w:w="75" w:type="dxa"/>
            </w:tcMar>
            <w:tcBorders>
              <w:top w:val="single" w:sz="4" w:color="18365B"/>
              <w:left w:val="single" w:sz="4" w:color="18365B"/>
              <w:bottom w:val="single" w:sz="4" w:color="18365B"/>
              <w:right w:val="single" w:sz="4" w:color="18365B"/>
            </w:tcBorders>
          </w:tcPr>
          <w:p>
            <w:pPr>
              <w:spacing w:before="0" w:after="0" w:line="240" w:lineRule="auto"/>
              <w:jc w:val="center"/>
            </w:pPr>
            <w:r>
              <w:rPr>
                <w:rFonts w:ascii="Liberation Sans" w:hAnsi="Liberation Sans" w:eastAsia="Liberation Sans"/>
                <w:b/>
                <w:i w:val="0"/>
                <w:color w:val="FFFFFF"/>
                <w:sz w:val="16"/>
              </w:rPr>
              <w:t>Next Practice Action</w:t>
            </w:r>
          </w:p>
        </w:tc>
        <w:tc>
          <w:tcPr>
            <w:tcW w:type="dxa" w:w="2613"/>
            <w:shd w:fill="18365B"/>
            <w:tcMar>
              <w:top w:w="70" w:type="dxa"/>
              <w:start w:w="75" w:type="dxa"/>
              <w:bottom w:w="70" w:type="dxa"/>
              <w:end w:w="75" w:type="dxa"/>
            </w:tcMar>
            <w:tcBorders>
              <w:top w:val="single" w:sz="4" w:color="18365B"/>
              <w:left w:val="single" w:sz="4" w:color="18365B"/>
              <w:bottom w:val="single" w:sz="4" w:color="18365B"/>
              <w:right w:val="single" w:sz="4" w:color="18365B"/>
            </w:tcBorders>
          </w:tcPr>
          <w:p>
            <w:pPr>
              <w:spacing w:before="0" w:after="0" w:line="240" w:lineRule="auto"/>
              <w:jc w:val="center"/>
            </w:pPr>
            <w:r>
              <w:rPr>
                <w:rFonts w:ascii="Liberation Sans" w:hAnsi="Liberation Sans" w:eastAsia="Liberation Sans"/>
                <w:b/>
                <w:i w:val="0"/>
                <w:color w:val="FFFFFF"/>
                <w:sz w:val="16"/>
              </w:rPr>
              <w:t>Date / Result</w:t>
            </w:r>
          </w:p>
        </w:tc>
      </w:tr>
      <w:tr>
        <w:tc>
          <w:tcPr>
            <w:tcW w:type="dxa" w:w="2613"/>
            <w:shd w:fill="FFFFFF"/>
            <w:tcMar>
              <w:top w:w="130" w:type="dxa"/>
              <w:start w:w="75" w:type="dxa"/>
              <w:bottom w:w="130" w:type="dxa"/>
              <w:end w:w="75"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667085"/>
                <w:sz w:val="16"/>
              </w:rPr>
              <w:t>________________________</w:t>
            </w:r>
          </w:p>
        </w:tc>
        <w:tc>
          <w:tcPr>
            <w:tcW w:type="dxa" w:w="2613"/>
            <w:shd w:fill="FFFFFF"/>
            <w:tcMar>
              <w:top w:w="130" w:type="dxa"/>
              <w:start w:w="75" w:type="dxa"/>
              <w:bottom w:w="130" w:type="dxa"/>
              <w:end w:w="75"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667085"/>
                <w:sz w:val="16"/>
              </w:rPr>
              <w:t>________________________</w:t>
            </w:r>
          </w:p>
        </w:tc>
        <w:tc>
          <w:tcPr>
            <w:tcW w:type="dxa" w:w="2613"/>
            <w:shd w:fill="FFFFFF"/>
            <w:tcMar>
              <w:top w:w="130" w:type="dxa"/>
              <w:start w:w="75" w:type="dxa"/>
              <w:bottom w:w="130" w:type="dxa"/>
              <w:end w:w="75"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667085"/>
                <w:sz w:val="16"/>
              </w:rPr>
              <w:t>________________________</w:t>
            </w:r>
          </w:p>
        </w:tc>
        <w:tc>
          <w:tcPr>
            <w:tcW w:type="dxa" w:w="2613"/>
            <w:shd w:fill="FFFFFF"/>
            <w:tcMar>
              <w:top w:w="130" w:type="dxa"/>
              <w:start w:w="75" w:type="dxa"/>
              <w:bottom w:w="130" w:type="dxa"/>
              <w:end w:w="75"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667085"/>
                <w:sz w:val="16"/>
              </w:rPr>
              <w:t>________________________</w:t>
            </w:r>
          </w:p>
        </w:tc>
      </w:tr>
      <w:tr>
        <w:tc>
          <w:tcPr>
            <w:tcW w:type="dxa" w:w="2613"/>
            <w:shd w:fill="F3F5F7"/>
            <w:tcMar>
              <w:top w:w="130" w:type="dxa"/>
              <w:start w:w="75" w:type="dxa"/>
              <w:bottom w:w="130" w:type="dxa"/>
              <w:end w:w="75"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667085"/>
                <w:sz w:val="16"/>
              </w:rPr>
              <w:t>________________________</w:t>
            </w:r>
          </w:p>
        </w:tc>
        <w:tc>
          <w:tcPr>
            <w:tcW w:type="dxa" w:w="2613"/>
            <w:shd w:fill="F3F5F7"/>
            <w:tcMar>
              <w:top w:w="130" w:type="dxa"/>
              <w:start w:w="75" w:type="dxa"/>
              <w:bottom w:w="130" w:type="dxa"/>
              <w:end w:w="75"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667085"/>
                <w:sz w:val="16"/>
              </w:rPr>
              <w:t>________________________</w:t>
            </w:r>
          </w:p>
        </w:tc>
        <w:tc>
          <w:tcPr>
            <w:tcW w:type="dxa" w:w="2613"/>
            <w:shd w:fill="F3F5F7"/>
            <w:tcMar>
              <w:top w:w="130" w:type="dxa"/>
              <w:start w:w="75" w:type="dxa"/>
              <w:bottom w:w="130" w:type="dxa"/>
              <w:end w:w="75"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667085"/>
                <w:sz w:val="16"/>
              </w:rPr>
              <w:t>________________________</w:t>
            </w:r>
          </w:p>
        </w:tc>
        <w:tc>
          <w:tcPr>
            <w:tcW w:type="dxa" w:w="2613"/>
            <w:shd w:fill="F3F5F7"/>
            <w:tcMar>
              <w:top w:w="130" w:type="dxa"/>
              <w:start w:w="75" w:type="dxa"/>
              <w:bottom w:w="130" w:type="dxa"/>
              <w:end w:w="75"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667085"/>
                <w:sz w:val="16"/>
              </w:rPr>
              <w:t>________________________</w:t>
            </w:r>
          </w:p>
        </w:tc>
      </w:tr>
      <w:tr>
        <w:tc>
          <w:tcPr>
            <w:tcW w:type="dxa" w:w="2613"/>
            <w:shd w:fill="FFFFFF"/>
            <w:tcMar>
              <w:top w:w="130" w:type="dxa"/>
              <w:start w:w="75" w:type="dxa"/>
              <w:bottom w:w="130" w:type="dxa"/>
              <w:end w:w="75"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667085"/>
                <w:sz w:val="16"/>
              </w:rPr>
              <w:t>________________________</w:t>
            </w:r>
          </w:p>
        </w:tc>
        <w:tc>
          <w:tcPr>
            <w:tcW w:type="dxa" w:w="2613"/>
            <w:shd w:fill="FFFFFF"/>
            <w:tcMar>
              <w:top w:w="130" w:type="dxa"/>
              <w:start w:w="75" w:type="dxa"/>
              <w:bottom w:w="130" w:type="dxa"/>
              <w:end w:w="75"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667085"/>
                <w:sz w:val="16"/>
              </w:rPr>
              <w:t>________________________</w:t>
            </w:r>
          </w:p>
        </w:tc>
        <w:tc>
          <w:tcPr>
            <w:tcW w:type="dxa" w:w="2613"/>
            <w:shd w:fill="FFFFFF"/>
            <w:tcMar>
              <w:top w:w="130" w:type="dxa"/>
              <w:start w:w="75" w:type="dxa"/>
              <w:bottom w:w="130" w:type="dxa"/>
              <w:end w:w="75"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667085"/>
                <w:sz w:val="16"/>
              </w:rPr>
              <w:t>________________________</w:t>
            </w:r>
          </w:p>
        </w:tc>
        <w:tc>
          <w:tcPr>
            <w:tcW w:type="dxa" w:w="2613"/>
            <w:shd w:fill="FFFFFF"/>
            <w:tcMar>
              <w:top w:w="130" w:type="dxa"/>
              <w:start w:w="75" w:type="dxa"/>
              <w:bottom w:w="130" w:type="dxa"/>
              <w:end w:w="75"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667085"/>
                <w:sz w:val="16"/>
              </w:rPr>
              <w:t>________________________</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READINESS GATE  Proceed when you can define the intake frame, separate evidence from inference, organize MSE and baseline change, map relational and contextual patterns, screen and route urgent or specialty concerns, compare collateral sources, and write a tentative hypothesis with missing data and a supported next step—not merely a correct letter.</w:t>
            </w:r>
          </w:p>
        </w:tc>
      </w:tr>
    </w:tbl>
    <w:p>
      <w:pPr>
        <w:pStyle w:val="Heading2"/>
      </w:pPr>
      <w:r>
        <w:t>Source and Integrity Notes</w:t>
      </w:r>
    </w:p>
    <w:p>
      <w:pPr>
        <w:pStyle w:val="ListBullet"/>
        <w:spacing w:before="0" w:after="40" w:line="240" w:lineRule="auto"/>
      </w:pPr>
      <w:r>
        <w:rPr>
          <w:rFonts w:ascii="Liberation Sans" w:hAnsi="Liberation Sans" w:eastAsia="Liberation Sans"/>
          <w:b w:val="0"/>
          <w:i w:val="0"/>
          <w:color w:val="1F2937"/>
          <w:sz w:val="17"/>
        </w:rPr>
        <w:t>Association of Marital &amp; Family Therapy Regulatory Boards. 2026 Handbook for Candidates, corrected/revised April 30, 2026.</w:t>
      </w:r>
    </w:p>
    <w:p>
      <w:pPr>
        <w:pStyle w:val="ListBullet"/>
        <w:spacing w:before="0" w:after="40" w:line="240" w:lineRule="auto"/>
      </w:pPr>
      <w:r>
        <w:rPr>
          <w:rFonts w:ascii="Liberation Sans" w:hAnsi="Liberation Sans" w:eastAsia="Liberation Sans"/>
          <w:b w:val="0"/>
          <w:i w:val="0"/>
          <w:color w:val="1F2937"/>
          <w:sz w:val="17"/>
        </w:rPr>
        <w:t>Association of Marital &amp; Family Therapy Regulatory Boards. Detailed Overview of the Examination in Marital and Family Therapy, reviewed July 2026; American Association for Marriage and Family Therapy. AAMFT Code of Ethics, revised edition effective January 1, 2026.</w:t>
      </w:r>
    </w:p>
    <w:p>
      <w:pPr>
        <w:pStyle w:val="ListBullet"/>
        <w:spacing w:before="0" w:after="40" w:line="240" w:lineRule="auto"/>
      </w:pPr>
      <w:r>
        <w:rPr>
          <w:rFonts w:ascii="Liberation Sans" w:hAnsi="Liberation Sans" w:eastAsia="Liberation Sans"/>
          <w:b w:val="0"/>
          <w:i w:val="0"/>
          <w:color w:val="1F2937"/>
          <w:sz w:val="17"/>
        </w:rPr>
        <w:t>Clinical Training &amp; Supervision Academy. CTA LMFT AMFTRB Workbook 3 Master Content Map and 17-Question Item Blueprint, Version 1.0, July 2026.</w:t>
      </w:r>
    </w:p>
    <w:p>
      <w:pPr>
        <w:pStyle w:val="ListBullet"/>
        <w:spacing w:before="0" w:after="40" w:line="240" w:lineRule="auto"/>
      </w:pPr>
      <w:r>
        <w:rPr>
          <w:rFonts w:ascii="Liberation Sans" w:hAnsi="Liberation Sans" w:eastAsia="Liberation Sans"/>
          <w:b w:val="0"/>
          <w:i w:val="0"/>
          <w:color w:val="1F2937"/>
          <w:sz w:val="17"/>
        </w:rPr>
        <w:t>Clinical Training &amp; Supervision Academy. CTA LMFT AMFTRB Workbook 3 Student Workbook, Version 1.0, July 2026.</w:t>
      </w:r>
    </w:p>
    <w:p>
      <w:pPr>
        <w:spacing w:before="100" w:after="0" w:line="240" w:lineRule="auto"/>
      </w:pPr>
      <w:r>
        <w:rPr>
          <w:rFonts w:ascii="Liberation Sans" w:hAnsi="Liberation Sans" w:eastAsia="Liberation Sans"/>
          <w:b w:val="0"/>
          <w:i/>
          <w:color w:val="667085"/>
          <w:sz w:val="17"/>
        </w:rPr>
        <w:t>Integrity notice: All items in this bank are original CTA educational questions. No official AMFTRB or third-party sample question is reproduced. This resource supports readiness but does not guarantee passage, determine eligibility, or represent an official AMFTRB score.</w:t>
      </w:r>
    </w:p>
    <w:sectPr w:rsidR="00FC693F" w:rsidRPr="0006063C" w:rsidSect="00034616">
      <w:headerReference w:type="default" r:id="rId9"/>
      <w:footerReference w:type="default" r:id="rId10"/>
      <w:headerReference w:type="first" r:id="rId12"/>
      <w:headerReference w:type="even" r:id="rId13"/>
      <w:footerReference w:type="first" r:id="rId14"/>
      <w:footerReference w:type="even" r:id="rId15"/>
      <w:pgSz w:w="12240" w:h="15840"/>
      <w:pgMar w:top="835" w:right="893" w:bottom="835" w:left="893" w:header="331"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Liberation Sans" w:hAnsi="Liberation Sans" w:eastAsia="Liberation Sans"/>
        <w:b w:val="0"/>
        <w:i w:val="0"/>
        <w:color w:val="667085"/>
        <w:sz w:val="16"/>
      </w:rPr>
      <w:t xml:space="preserve">CTA LMFT AMFTRB WB3 Rationales v1.0 | Page </w:t>
    </w:r>
    <w:r>
      <w:rPr>
        <w:rFonts w:ascii="Liberation Sans" w:hAnsi="Liberation Sans"/>
        <w:color w:val="667085"/>
        <w:sz w:val="16"/>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2088"/>
      <w:gridCol w:w="8352"/>
    </w:tblGrid>
    <w:tr>
      <w:tc>
        <w:tcPr>
          <w:tcW w:type="dxa" w:w="2088"/>
          <w:vAlign w:val="center"/>
          <w:tcMar>
            <w:top w:w="0" w:type="dxa"/>
            <w:start w:w="0" w:type="dxa"/>
            <w:bottom w:w="0" w:type="dxa"/>
            <w:end w:w="0" w:type="dxa"/>
          </w:tcMar>
          <w:tcBorders>
            <w:bottom w:val="single" w:sz="8" w:color="1A9A96"/>
          </w:tcBorders>
        </w:tcPr>
        <w:p>
          <w:pPr>
            <w:spacing w:before="0" w:after="0" w:line="240" w:lineRule="auto"/>
            <w:jc w:val="left"/>
          </w:pPr>
          <w:r>
            <w:drawing>
              <wp:inline xmlns:a="http://schemas.openxmlformats.org/drawingml/2006/main" xmlns:pic="http://schemas.openxmlformats.org/drawingml/2006/picture">
                <wp:extent cx="1234440" cy="410368"/>
                <wp:docPr id="1" name="Picture 1" descr="Clinical Training &amp; Supervision Academy logo" title="Clinical Training &amp; Supervision Academy logo"/>
                <wp:cNvGraphicFramePr>
                  <a:graphicFrameLocks noChangeAspect="1"/>
                </wp:cNvGraphicFramePr>
                <a:graphic>
                  <a:graphicData uri="http://schemas.openxmlformats.org/drawingml/2006/picture">
                    <pic:pic>
                      <pic:nvPicPr>
                        <pic:cNvPr id="0" name="Primary Logo (Final).jpg"/>
                        <pic:cNvPicPr/>
                      </pic:nvPicPr>
                      <pic:blipFill>
                        <a:blip r:embed="rId1"/>
                        <a:stretch>
                          <a:fillRect/>
                        </a:stretch>
                      </pic:blipFill>
                      <pic:spPr>
                        <a:xfrm>
                          <a:off x="0" y="0"/>
                          <a:ext cx="1234440" cy="410368"/>
                        </a:xfrm>
                        <a:prstGeom prst="rect"/>
                      </pic:spPr>
                    </pic:pic>
                  </a:graphicData>
                </a:graphic>
              </wp:inline>
            </w:drawing>
          </w:r>
        </w:p>
      </w:tc>
      <w:tc>
        <w:tcPr>
          <w:tcW w:type="dxa" w:w="8352"/>
          <w:vAlign w:val="center"/>
          <w:tcMar>
            <w:top w:w="0" w:type="dxa"/>
            <w:start w:w="0" w:type="dxa"/>
            <w:bottom w:w="0" w:type="dxa"/>
            <w:end w:w="0" w:type="dxa"/>
          </w:tcMar>
          <w:tcBorders>
            <w:bottom w:val="single" w:sz="8" w:color="1A9A96"/>
          </w:tcBorders>
        </w:tcPr>
        <w:p>
          <w:pPr>
            <w:spacing w:before="0" w:after="0" w:line="240" w:lineRule="auto"/>
            <w:jc w:val="right"/>
          </w:pPr>
          <w:r>
            <w:rPr>
              <w:rFonts w:ascii="Liberation Sans" w:hAnsi="Liberation Sans" w:eastAsia="Liberation Sans"/>
              <w:b/>
              <w:i w:val="0"/>
              <w:color w:val="1A9A96"/>
              <w:sz w:val="16"/>
            </w:rPr>
            <w:t>CLINICAL TRAINING &amp; SUPERVISION ACADEMY | LMFT AMFTRB EXAM PREPARATION</w:t>
          </w:r>
          <w:r>
            <w:br/>
          </w:r>
          <w:r>
            <w:rPr>
              <w:rFonts w:ascii="Liberation Sans" w:hAnsi="Liberation Sans" w:eastAsia="Liberation Sans"/>
              <w:b w:val="0"/>
              <w:i w:val="0"/>
              <w:color w:val="18365B"/>
              <w:sz w:val="16"/>
            </w:rPr>
            <w:t>Workbook 3 - Controlled Answer Key and Detailed Rationales</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Liberation Sans" w:hAnsi="Liberation Sans" w:eastAsia="Liberation Sans"/>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Liberation Sans" w:hAnsi="Liberation Sans" w:eastAsia="Liberation Sans"/>
      <w:b/>
      <w:bCs/>
      <w:color w:val="18365B"/>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Liberation Sans" w:hAnsi="Liberation Sans" w:eastAsia="Liberation Sans"/>
      <w:b/>
      <w:bCs/>
      <w:color w:val="18365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Liberation Sans" w:hAnsi="Liberation Sans" w:eastAsia="Liberation Sans"/>
      <w:b/>
      <w:bCs/>
      <w:color w:val="1A9A9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Liberation Sans" w:hAnsi="Liberation Sans" w:eastAsia="Liberation Sans"/>
      <w:b/>
      <w:color w:val="18365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AMFTRB Workbook 3 Answer Key and Detailed Rationales</dc:title>
  <dc:subject>Controlled rationale form for Therapeutic Alliance, Systemic Practice, and Self of the Therapist</dc:subject>
  <dc:creator>Clinical Training &amp; Supervision Academy</dc:creator>
  <cp:keywords>CTA, LMFT, AMFTRB, Workbook 3, exam preparation, therapeutic alliance, systemic practice</cp:keywords>
  <dc:description>Version 1.0 - July 2026</dc:description>
  <cp:lastModifiedBy/>
  <cp:revision>1</cp:revision>
  <dcterms:created xsi:type="dcterms:W3CDTF">2013-12-23T23:15:00Z</dcterms:created>
  <dcterms:modified xsi:type="dcterms:W3CDTF">2013-12-23T23:15:00Z</dcterms:modified>
  <cp:category/>
</cp:coreProperties>
</file>