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4 CONTROLLED ASSESSMENT</w:t>
      </w:r>
    </w:p>
    <w:p>
      <w:pPr>
        <w:spacing w:before="160" w:after="80" w:line="240" w:lineRule="auto"/>
        <w:jc w:val="center"/>
      </w:pPr>
      <w:r>
        <w:rPr>
          <w:rFonts w:ascii="Liberation Sans" w:hAnsi="Liberation Sans" w:eastAsia="Liberation Sans"/>
          <w:b/>
          <w:i w:val="0"/>
          <w:color w:val="18365B"/>
          <w:sz w:val="40"/>
        </w:rPr>
        <w:t>Answer Key and Detailed Rationales</w:t>
      </w:r>
    </w:p>
    <w:p>
      <w:pPr>
        <w:spacing w:before="40" w:after="280" w:line="240" w:lineRule="auto"/>
        <w:jc w:val="center"/>
      </w:pPr>
      <w:r>
        <w:rPr>
          <w:rFonts w:ascii="Liberation Sans" w:hAnsi="Liberation Sans" w:eastAsia="Liberation Sans"/>
          <w:b/>
          <w:i w:val="0"/>
          <w:color w:val="18365B"/>
          <w:sz w:val="25"/>
        </w:rPr>
        <w:t>17-Question Practice Bank</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CONTROLLED FORM | Release only after the candidate form has been completed</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Controlled Use and Scoring</w:t>
            </w:r>
          </w:p>
        </w:tc>
      </w:tr>
    </w:tbl>
    <w:tbl>
      <w:tblPr>
        <w:tblW w:type="auto" w:w="0"/>
        <w:jc w:val="center"/>
        <w:tblLook w:firstColumn="1" w:firstRow="1" w:lastColumn="0" w:lastRow="0" w:noHBand="0" w:noVBand="1" w:val="04A0"/>
      </w:tblPr>
      <w:tblGrid>
        <w:gridCol w:w="10454"/>
      </w:tblGrid>
      <w:tr>
        <w:tc>
          <w:tcPr>
            <w:tcW w:type="dxa" w:w="10454"/>
            <w:shd w:fill="FDEDEC"/>
            <w:tcBorders>
              <w:top w:val="single" w:sz="10" w:color="C95555"/>
              <w:left w:val="single" w:sz="10" w:color="C95555"/>
              <w:bottom w:val="single" w:sz="10" w:color="C95555"/>
              <w:right w:val="single" w:sz="10" w:color="C95555"/>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CONTROL  </w:t>
            </w:r>
            <w:r>
              <w:rPr>
                <w:rFonts w:ascii="Liberation Sans" w:hAnsi="Liberation Sans" w:eastAsia="Liberation Sans"/>
                <w:b w:val="0"/>
                <w:i w:val="0"/>
                <w:color w:val="1F2937"/>
                <w:sz w:val="19"/>
              </w:rPr>
              <w:t>This document contains answers, complete option-by-option rationales, item metadata, CTA exam strategies, and remediation rules. It should remain protected until the learner has finalized the candidate form.</w:t>
            </w:r>
          </w:p>
        </w:tc>
      </w:tr>
    </w:tbl>
    <w:tbl>
      <w:tblPr>
        <w:tblW w:type="auto" w:w="0"/>
        <w:jc w:val="center"/>
        <w:tblLayout w:type="fixed"/>
        <w:tblLook w:firstColumn="1" w:firstRow="1" w:lastColumn="0" w:lastRow="0" w:noHBand="0" w:noVBand="1" w:val="04A0"/>
      </w:tblPr>
      <w:tblGrid>
        <w:gridCol w:w="792"/>
        <w:gridCol w:w="792"/>
        <w:gridCol w:w="792"/>
        <w:gridCol w:w="792"/>
        <w:gridCol w:w="792"/>
        <w:gridCol w:w="792"/>
        <w:gridCol w:w="792"/>
        <w:gridCol w:w="792"/>
        <w:gridCol w:w="792"/>
      </w:tblGrid>
      <w:tr>
        <w:trPr>
          <w:tblHeader w:val="true"/>
        </w:trP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COMPACT ANSWER KEY</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2</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3</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4</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5</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6</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7</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8</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9</w:t>
              <w:br/>
              <w:t>A</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10</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11</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12</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13</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14</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15</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16</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17</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r>
          </w:p>
        </w:tc>
      </w:tr>
    </w:tbl>
    <w:p>
      <w:pPr>
        <w:pStyle w:val="Heading2"/>
      </w:pPr>
      <w:r>
        <w:t>Approved Bank Controls</w:t>
      </w:r>
    </w:p>
    <w:tbl>
      <w:tblPr>
        <w:tblW w:type="auto" w:w="0"/>
        <w:jc w:val="center"/>
        <w:tblLayout w:type="fixed"/>
        <w:tblLook w:firstColumn="1" w:firstRow="1" w:lastColumn="0" w:lastRow="0" w:noHBand="0" w:noVBand="1" w:val="04A0"/>
      </w:tblPr>
      <w:tblGrid>
        <w:gridCol w:w="2448"/>
        <w:gridCol w:w="7920"/>
      </w:tblGrid>
      <w:tr>
        <w:trPr>
          <w:tblHeader w:val="true"/>
        </w:trP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Total</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17 original one-best-answer items</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Difficulty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5 Easy | 7 Moderate | 5 Difficult</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Type</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3 Knowledge/Recall | 5 Application | 6 Scenario-Based | 3 Integrated Clinical Reasoning</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Primary domains</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D2: 13 | D5: 2 | D3: 1 | D6: 1</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Answer positions</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A: 5 | B: 4 | C: 4 | D: 4</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Security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Candidate form completed before this controlled form is released</w:t>
            </w:r>
          </w:p>
        </w:tc>
      </w:tr>
    </w:tbl>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PRODUCTION ALIGNMENT NOTE  The final bank matches the approved Workbook 4 item-by-item blueprint: 5 Easy, 7 Moderate, 5 Difficult; 3 Knowledge/Recall, 5 Application, 6 Scenario-Based, and 3 Integrated Clinical Reasoning; D2=13, D5=2, D3=1, D6=1; and answer positions A=5, B=4, C=4, D=4.</w:t>
            </w:r>
          </w:p>
        </w:tc>
      </w:tr>
    </w:tbl>
    <w:p>
      <w:pPr>
        <w:pStyle w:val="Heading2"/>
      </w:pPr>
      <w:r>
        <w:t>Score and Domain Reflection</w:t>
      </w:r>
    </w:p>
    <w:p>
      <w:pPr>
        <w:spacing w:before="0" w:after="0" w:line="240" w:lineRule="auto"/>
      </w:pPr>
      <w:r>
        <w:rPr>
          <w:rFonts w:ascii="Liberation Sans" w:hAnsi="Liberation Sans" w:eastAsia="Liberation Sans"/>
          <w:b w:val="0"/>
          <w:i w:val="0"/>
          <w:color w:val="1F2937"/>
          <w:sz w:val="18"/>
        </w:rPr>
        <w:t>CTA raw scores are not official passing scores. Use accuracy, confidence, time, domain patterns, and Workbook 4 error codes together to identify the next study action.</w:t>
      </w:r>
    </w:p>
    <w:tbl>
      <w:tblPr>
        <w:tblW w:type="auto" w:w="0"/>
        <w:jc w:val="center"/>
        <w:tblLayout w:type="fixed"/>
        <w:tblLook w:firstColumn="1" w:firstRow="1" w:lastColumn="0" w:lastRow="0" w:noHBand="0" w:noVBand="1" w:val="04A0"/>
      </w:tblPr>
      <w:tblGrid>
        <w:gridCol w:w="1296"/>
        <w:gridCol w:w="4608"/>
        <w:gridCol w:w="2160"/>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Domain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Items</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Raw Result</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D2</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Q1-Q12, Q15</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13</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D5</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Q13-Q14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D3</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Q16</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D6</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Q17</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Integrated note</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Several items bridge diagnosis, crisis routing, treatment priorities, systemic formulation, competence, consultation, and referral.</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Review both the primary domain and the error code.</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Highest-priority repair</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________________________________________</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________________________________________</w:t>
            </w:r>
          </w:p>
        </w:tc>
      </w:tr>
    </w:tbl>
    <w:p>
      <w:pPr>
        <w:pStyle w:val="Heading3"/>
      </w:pPr>
      <w:r>
        <w:t>CTA Instructional Score Bands</w:t>
      </w:r>
    </w:p>
    <w:tbl>
      <w:tblPr>
        <w:tblW w:type="auto" w:w="0"/>
        <w:jc w:val="center"/>
        <w:tblLayout w:type="fixed"/>
        <w:tblLook w:firstColumn="1" w:firstRow="1" w:lastColumn="0" w:lastRow="0" w:noHBand="0" w:noVBand="1" w:val="04A0"/>
      </w:tblPr>
      <w:tblGrid>
        <w:gridCol w:w="1224"/>
        <w:gridCol w:w="2520"/>
        <w:gridCol w:w="6624"/>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Raw Score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Interpretation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Recommended Action</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15-17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Strong Workbook 4 foundation</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Review low-confidence correct answers and any high-confidence miss; rehearse the applicable Workbook 4 tool.</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12-14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Developing consistency</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Revisit DIAGNOSE, PTI, DIFF, MEASURE, and FORMULATE; redo missed items without the key.</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9-11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Important assessment gaps</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Study by Workbook 4 error code, repeat the relevant case or worksheet, and retake with a fresh answer record.</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0-8</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Foundation needs reinforcement</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Return to Workbook 4 in sequence and practice one diagnostic-reasoning tool at a time before another timed attempt.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 Correct Answer A | CTA-LMFT-AMFTRB-WB04-Q01</w:t>
            </w:r>
          </w:p>
        </w:tc>
      </w:tr>
    </w:tbl>
    <w:p>
      <w:pPr>
        <w:keepNext/>
        <w:spacing w:before="100" w:after="60" w:line="240" w:lineRule="auto"/>
      </w:pPr>
      <w:r>
        <w:rPr>
          <w:rFonts w:ascii="Liberation Sans" w:hAnsi="Liberation Sans" w:eastAsia="Liberation Sans"/>
          <w:b/>
          <w:i w:val="0"/>
          <w:color w:val="18365B"/>
          <w:sz w:val="20"/>
        </w:rPr>
        <w:t>Which statement correctly distinguishes a symptom, a diagnosis, and a systemic hypothesis?</w:t>
      </w:r>
    </w:p>
    <w:p>
      <w:pPr>
        <w:spacing w:before="0" w:after="40" w:line="240" w:lineRule="auto"/>
        <w:ind w:left="216" w:hanging="216"/>
      </w:pPr>
      <w:r>
        <w:rPr>
          <w:rFonts w:ascii="Liberation Sans" w:hAnsi="Liberation Sans" w:eastAsia="Liberation Sans"/>
          <w:b/>
          <w:i w:val="0"/>
          <w:color w:val="1A9A96"/>
          <w:sz w:val="18"/>
        </w:rPr>
        <w:t>A. A symptom is a specific reported or observed experience; a diagnosis organizes a supported clinical pattern within a recognized system; and a systemic hypothesis is a revisable explanation of reciprocal and contextual influences.</w:t>
      </w:r>
    </w:p>
    <w:p>
      <w:pPr>
        <w:spacing w:before="0" w:after="40" w:line="240" w:lineRule="auto"/>
        <w:ind w:left="216" w:hanging="216"/>
      </w:pPr>
      <w:r>
        <w:rPr>
          <w:rFonts w:ascii="Liberation Sans" w:hAnsi="Liberation Sans" w:eastAsia="Liberation Sans"/>
          <w:b/>
          <w:i w:val="0"/>
          <w:color w:val="1F2937"/>
          <w:sz w:val="18"/>
        </w:rPr>
        <w:t>B. A symptom and a diagnosis are interchangeable, while a systemic hypothesis is the billing code selected for treatment.</w:t>
      </w:r>
    </w:p>
    <w:p>
      <w:pPr>
        <w:spacing w:before="0" w:after="40" w:line="240" w:lineRule="auto"/>
        <w:ind w:left="216" w:hanging="216"/>
      </w:pPr>
      <w:r>
        <w:rPr>
          <w:rFonts w:ascii="Liberation Sans" w:hAnsi="Liberation Sans" w:eastAsia="Liberation Sans"/>
          <w:b/>
          <w:i w:val="0"/>
          <w:color w:val="1F2937"/>
          <w:sz w:val="18"/>
        </w:rPr>
        <w:t>C. A diagnosis explains the entire client system, while symptoms and systemic hypotheses are unnecessary once a label is assigned.</w:t>
      </w:r>
    </w:p>
    <w:p>
      <w:pPr>
        <w:spacing w:before="0" w:after="40" w:line="240" w:lineRule="auto"/>
        <w:ind w:left="216" w:hanging="216"/>
      </w:pPr>
      <w:r>
        <w:rPr>
          <w:rFonts w:ascii="Liberation Sans" w:hAnsi="Liberation Sans" w:eastAsia="Liberation Sans"/>
          <w:b/>
          <w:i w:val="0"/>
          <w:color w:val="1F2937"/>
          <w:sz w:val="18"/>
        </w:rPr>
        <w:t>D. A systemic hypothesis is a definitive causal conclusion, while a diagnosis is only a tentative description of one symptom.</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02.17-02.18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WB4-LO1, WB4-LO7 | Diagnostic language, evidence levels, and systemic formulation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None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CLOSURE / SYSTEM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statement preserves three different levels of reasoning: a specific experience or sign, a formal diagnostic classification, and a tentative systemic explanation that can change as relational and contextual evidence develops.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Symptoms and diagnoses are not interchangeable, and a systemic hypothesis is not a billing code.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diagnosis may guide care, but it does not replace assessment of reciprocal patterns, development, culture, strengths, risk, or treatment unit.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Systemic hypotheses should remain revisable rather than being treated as proven causes, and diagnosis is more than a description of one symptom.</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Keep evidence levels separate. Name what is observed or reported, what diagnostic pattern is supported, and what systemic explanation remains tentative.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DIAGNOSE: define the pattern, identify timeline and impact, assess alternatives, name the current status, and organize systemic meaning before selecting the next action.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2: Correct Answer B | CTA-LMFT-AMFTRB-WB04-Q02</w:t>
            </w:r>
          </w:p>
        </w:tc>
      </w:tr>
    </w:tbl>
    <w:p>
      <w:pPr>
        <w:keepNext/>
        <w:spacing w:before="100" w:after="60" w:line="240" w:lineRule="auto"/>
      </w:pPr>
      <w:r>
        <w:rPr>
          <w:rFonts w:ascii="Liberation Sans" w:hAnsi="Liberation Sans" w:eastAsia="Liberation Sans"/>
          <w:b/>
          <w:i w:val="0"/>
          <w:color w:val="18365B"/>
          <w:sz w:val="20"/>
        </w:rPr>
        <w:t>A client scores above the recommended threshold on a brief depression screener. Which interpretation is BEST?</w:t>
      </w:r>
    </w:p>
    <w:p>
      <w:pPr>
        <w:spacing w:before="0" w:after="40" w:line="240" w:lineRule="auto"/>
        <w:ind w:left="216" w:hanging="216"/>
      </w:pPr>
      <w:r>
        <w:rPr>
          <w:rFonts w:ascii="Liberation Sans" w:hAnsi="Liberation Sans" w:eastAsia="Liberation Sans"/>
          <w:b/>
          <w:i w:val="0"/>
          <w:color w:val="1F2937"/>
          <w:sz w:val="18"/>
        </w:rPr>
        <w:t>A. The score confirms a depressive disorder and should be entered as the final diagnosis.</w:t>
      </w:r>
    </w:p>
    <w:p>
      <w:pPr>
        <w:spacing w:before="0" w:after="40" w:line="240" w:lineRule="auto"/>
        <w:ind w:left="216" w:hanging="216"/>
      </w:pPr>
      <w:r>
        <w:rPr>
          <w:rFonts w:ascii="Liberation Sans" w:hAnsi="Liberation Sans" w:eastAsia="Liberation Sans"/>
          <w:b/>
          <w:i w:val="0"/>
          <w:color w:val="1A9A96"/>
          <w:sz w:val="18"/>
        </w:rPr>
        <w:t>B. The score signals the need for further assessment and should be integrated with interview, observation, functioning, context, and relevant exclusions before a diagnosis is made.</w:t>
      </w:r>
    </w:p>
    <w:p>
      <w:pPr>
        <w:spacing w:before="0" w:after="40" w:line="240" w:lineRule="auto"/>
        <w:ind w:left="216" w:hanging="216"/>
      </w:pPr>
      <w:r>
        <w:rPr>
          <w:rFonts w:ascii="Liberation Sans" w:hAnsi="Liberation Sans" w:eastAsia="Liberation Sans"/>
          <w:b/>
          <w:i w:val="0"/>
          <w:color w:val="1F2937"/>
          <w:sz w:val="18"/>
        </w:rPr>
        <w:t>C. The score should be ignored because screening instruments cannot contribute useful clinical information.</w:t>
      </w:r>
    </w:p>
    <w:p>
      <w:pPr>
        <w:spacing w:before="0" w:after="40" w:line="240" w:lineRule="auto"/>
        <w:ind w:left="216" w:hanging="216"/>
      </w:pPr>
      <w:r>
        <w:rPr>
          <w:rFonts w:ascii="Liberation Sans" w:hAnsi="Liberation Sans" w:eastAsia="Liberation Sans"/>
          <w:b/>
          <w:i w:val="0"/>
          <w:color w:val="1F2937"/>
          <w:sz w:val="18"/>
        </w:rPr>
        <w:t>D. The score is meaningful only after a diagnosis has already been established.</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WB4-LO4 | Screening purpose, psychometric limits, and score interpretation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TOOL / SINGLE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screening threshold identifies possible concern; it does not independently establish a disorder or resolve differential diagnosis.</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Screening results are one source of evidence. They should guide additional assessment and be interpreted with the client's presentation, timeline, impairment, context, and exclusion factors.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Valid screening tools can efficiently identify concerns and support monitoring when used within their purpose and limits.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Screening is often useful before diagnosis to identify areas requiring deeper assessment.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score can raise or lower concern, but it does not replace clinical reasoning. Ask what the tool measures, for whom, under what conditions, and what decision the result can actually support.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MEASURE: match the tool to the unresolved question, evaluate evidence and fit, stay within competence, and state what the result does and does not establish.</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3: Correct Answer C | CTA-LMFT-AMFTRB-WB04-Q03</w:t>
            </w:r>
          </w:p>
        </w:tc>
      </w:tr>
    </w:tbl>
    <w:p>
      <w:pPr>
        <w:keepNext/>
        <w:spacing w:before="100" w:after="60" w:line="240" w:lineRule="auto"/>
      </w:pPr>
      <w:r>
        <w:rPr>
          <w:rFonts w:ascii="Liberation Sans" w:hAnsi="Liberation Sans" w:eastAsia="Liberation Sans"/>
          <w:b/>
          <w:i w:val="0"/>
          <w:color w:val="18365B"/>
          <w:sz w:val="20"/>
        </w:rPr>
        <w:t>A client reports recurrent panic-like episodes and avoidance, but the therapist has only one session of history and learns that a recent medication change may contribute to the symptoms. Which documentation is MOST appropriate?</w:t>
      </w:r>
    </w:p>
    <w:p>
      <w:pPr>
        <w:spacing w:before="0" w:after="40" w:line="240" w:lineRule="auto"/>
        <w:ind w:left="216" w:hanging="216"/>
      </w:pPr>
      <w:r>
        <w:rPr>
          <w:rFonts w:ascii="Liberation Sans" w:hAnsi="Liberation Sans" w:eastAsia="Liberation Sans"/>
          <w:b/>
          <w:i w:val="0"/>
          <w:color w:val="1F2937"/>
          <w:sz w:val="18"/>
        </w:rPr>
        <w:t>A. “Panic disorder confirmed; no further diagnostic assessment is needed.”</w:t>
      </w:r>
    </w:p>
    <w:p>
      <w:pPr>
        <w:spacing w:before="0" w:after="40" w:line="240" w:lineRule="auto"/>
        <w:ind w:left="216" w:hanging="216"/>
      </w:pPr>
      <w:r>
        <w:rPr>
          <w:rFonts w:ascii="Liberation Sans" w:hAnsi="Liberation Sans" w:eastAsia="Liberation Sans"/>
          <w:b/>
          <w:i w:val="0"/>
          <w:color w:val="1F2937"/>
          <w:sz w:val="18"/>
        </w:rPr>
        <w:t>B. “No diagnosis is possible until every medical explanation has been eliminated.”</w:t>
      </w:r>
    </w:p>
    <w:p>
      <w:pPr>
        <w:spacing w:before="0" w:after="40" w:line="240" w:lineRule="auto"/>
        <w:ind w:left="216" w:hanging="216"/>
      </w:pPr>
      <w:r>
        <w:rPr>
          <w:rFonts w:ascii="Liberation Sans" w:hAnsi="Liberation Sans" w:eastAsia="Liberation Sans"/>
          <w:b/>
          <w:i w:val="0"/>
          <w:color w:val="1A9A96"/>
          <w:sz w:val="18"/>
        </w:rPr>
        <w:t>C. “Working or provisional panic-related diagnostic impression; clarify timeline, functional impact, medication effects, and competing explanations before confirming or revising the diagnosis.”</w:t>
      </w:r>
    </w:p>
    <w:p>
      <w:pPr>
        <w:spacing w:before="0" w:after="40" w:line="240" w:lineRule="auto"/>
        <w:ind w:left="216" w:hanging="216"/>
      </w:pPr>
      <w:r>
        <w:rPr>
          <w:rFonts w:ascii="Liberation Sans" w:hAnsi="Liberation Sans" w:eastAsia="Liberation Sans"/>
          <w:b/>
          <w:i w:val="0"/>
          <w:color w:val="1F2937"/>
          <w:sz w:val="18"/>
        </w:rPr>
        <w:t>D. “Rule out panic disorder,” used as the only diagnosis even though panic disorder is the leading current explanation.</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02.17-02.18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WB4-LO6 | Diagnostic certainty and status language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STATUS / CLOSURE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evidence is not yet sufficient for a definitive conclusion, and medication effects remain relevant.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Diagnostic work can proceed while appropriate medical and medication questions are evaluated; absolute certainty is not required.</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wording communicates the current leading impression without overstating certainty and identifies the information that could strengthen, weaken, or replace it.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Rule-out language is typically used for an alternative still under consideration, not as a substitute for naming the current working impression.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Diagnostic status is a claim about certainty. Match the language to the evidence available now and state what additional data will control revision.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STATUS: identify whether the conclusion is working, provisional, rule-out, other specified, unspecified, deferred, or sufficiently established, and document why.</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4: Correct Answer D | CTA-LMFT-AMFTRB-WB04-Q04</w:t>
            </w:r>
          </w:p>
        </w:tc>
      </w:tr>
    </w:tbl>
    <w:p>
      <w:pPr>
        <w:keepNext/>
        <w:spacing w:before="100" w:after="60" w:line="240" w:lineRule="auto"/>
      </w:pPr>
      <w:r>
        <w:rPr>
          <w:rFonts w:ascii="Liberation Sans" w:hAnsi="Liberation Sans" w:eastAsia="Liberation Sans"/>
          <w:b/>
          <w:i w:val="0"/>
          <w:color w:val="18365B"/>
          <w:sz w:val="20"/>
        </w:rPr>
        <w:t>Three weeks after a major loss, a client reports sadness, intermittent insomnia, and reduced concentration but continues working, parenting, and maintaining supportive relationships. Which conclusion is BEST?</w:t>
      </w:r>
    </w:p>
    <w:p>
      <w:pPr>
        <w:spacing w:before="0" w:after="40" w:line="240" w:lineRule="auto"/>
        <w:ind w:left="216" w:hanging="216"/>
      </w:pPr>
      <w:r>
        <w:rPr>
          <w:rFonts w:ascii="Liberation Sans" w:hAnsi="Liberation Sans" w:eastAsia="Liberation Sans"/>
          <w:b/>
          <w:i w:val="0"/>
          <w:color w:val="1F2937"/>
          <w:sz w:val="18"/>
        </w:rPr>
        <w:t>A. The client necessarily has a depressive disorder because sadness and insomnia are present.</w:t>
      </w:r>
    </w:p>
    <w:p>
      <w:pPr>
        <w:spacing w:before="0" w:after="40" w:line="240" w:lineRule="auto"/>
        <w:ind w:left="216" w:hanging="216"/>
      </w:pPr>
      <w:r>
        <w:rPr>
          <w:rFonts w:ascii="Liberation Sans" w:hAnsi="Liberation Sans" w:eastAsia="Liberation Sans"/>
          <w:b/>
          <w:i w:val="0"/>
          <w:color w:val="1F2937"/>
          <w:sz w:val="18"/>
        </w:rPr>
        <w:t>B. The presentation is normal grief, so no safety, impairment, or symptom assessment is needed.</w:t>
      </w:r>
    </w:p>
    <w:p>
      <w:pPr>
        <w:spacing w:before="0" w:after="40" w:line="240" w:lineRule="auto"/>
        <w:ind w:left="216" w:hanging="216"/>
      </w:pPr>
      <w:r>
        <w:rPr>
          <w:rFonts w:ascii="Liberation Sans" w:hAnsi="Liberation Sans" w:eastAsia="Liberation Sans"/>
          <w:b/>
          <w:i w:val="0"/>
          <w:color w:val="1F2937"/>
          <w:sz w:val="18"/>
        </w:rPr>
        <w:t>C. A personality disorder is most likely because the symptoms followed an interpersonal loss.</w:t>
      </w:r>
    </w:p>
    <w:p>
      <w:pPr>
        <w:spacing w:before="0" w:after="40" w:line="240" w:lineRule="auto"/>
        <w:ind w:left="216" w:hanging="216"/>
      </w:pPr>
      <w:r>
        <w:rPr>
          <w:rFonts w:ascii="Liberation Sans" w:hAnsi="Liberation Sans" w:eastAsia="Liberation Sans"/>
          <w:b/>
          <w:i w:val="0"/>
          <w:color w:val="1A9A96"/>
          <w:sz w:val="18"/>
        </w:rPr>
        <w:t>D. The symptoms deserve continued assessment and support, but the available timeline, severity, impairment, course, and exclusions do not yet justify a definitive disorder-level conclusion.</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02.08, 02.17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WB4-LO3 | Pattern, timeline, threshold, impairment, and baseline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TIME / THRESH</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Two symptoms alone do not establish a full disorder or its course, severity, impairment, and exclusions.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Grief-related presentations still require assessment of safety, functioning, symptom progression, culture, supports, and possible co-occurring conditions.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facts do not establish a pervasive, longstanding personality pattern.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preserves diagnostic humility, acknowledges current distress, and identifies the missing threshold and timeline evidence needed for a stronger conclusion.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Do not diagnose from symptom presence alone. Build the chronology, compare baseline, and assess functional impact before moving from distress to disorder.</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PTI: describe the pattern, timeline, threshold evidence, functional impact, and current status before selecting a diagnosis.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5: Correct Answer A | CTA-LMFT-AMFTRB-WB04-Q05</w:t>
            </w:r>
          </w:p>
        </w:tc>
      </w:tr>
    </w:tbl>
    <w:p>
      <w:pPr>
        <w:keepNext/>
        <w:spacing w:before="100" w:after="60" w:line="240" w:lineRule="auto"/>
      </w:pPr>
      <w:r>
        <w:rPr>
          <w:rFonts w:ascii="Liberation Sans" w:hAnsi="Liberation Sans" w:eastAsia="Liberation Sans"/>
          <w:b/>
          <w:i w:val="0"/>
          <w:color w:val="18365B"/>
          <w:sz w:val="20"/>
        </w:rPr>
        <w:t>One partner in a couple meets criteria for a depressive disorder. Which formulation BEST reflects systemic diagnostic reasoning?</w:t>
      </w:r>
    </w:p>
    <w:p>
      <w:pPr>
        <w:spacing w:before="0" w:after="40" w:line="240" w:lineRule="auto"/>
        <w:ind w:left="216" w:hanging="216"/>
      </w:pPr>
      <w:r>
        <w:rPr>
          <w:rFonts w:ascii="Liberation Sans" w:hAnsi="Liberation Sans" w:eastAsia="Liberation Sans"/>
          <w:b/>
          <w:i w:val="0"/>
          <w:color w:val="1A9A96"/>
          <w:sz w:val="18"/>
        </w:rPr>
        <w:t>A. “The depressive pattern contributes to withdrawal and reduced follow-through; the other partner responds with criticism and overfunctioning, which increases shame and further withdrawal. Financial stress and limited support intensify the cycle, while shared commitment and prior problem-solving are strengths. Continue couple assessment while coordinating individual and medical needs.”</w:t>
      </w:r>
    </w:p>
    <w:p>
      <w:pPr>
        <w:spacing w:before="0" w:after="40" w:line="240" w:lineRule="auto"/>
        <w:ind w:left="216" w:hanging="216"/>
      </w:pPr>
      <w:r>
        <w:rPr>
          <w:rFonts w:ascii="Liberation Sans" w:hAnsi="Liberation Sans" w:eastAsia="Liberation Sans"/>
          <w:b/>
          <w:i w:val="0"/>
          <w:color w:val="1F2937"/>
          <w:sz w:val="18"/>
        </w:rPr>
        <w:t>B. “The diagnosed partner is the cause of the couple's problems, so only individual treatment is appropriate.”</w:t>
      </w:r>
    </w:p>
    <w:p>
      <w:pPr>
        <w:spacing w:before="0" w:after="40" w:line="240" w:lineRule="auto"/>
        <w:ind w:left="216" w:hanging="216"/>
      </w:pPr>
      <w:r>
        <w:rPr>
          <w:rFonts w:ascii="Liberation Sans" w:hAnsi="Liberation Sans" w:eastAsia="Liberation Sans"/>
          <w:b/>
          <w:i w:val="0"/>
          <w:color w:val="1F2937"/>
          <w:sz w:val="18"/>
        </w:rPr>
        <w:t>C. “Because symptoms are relationally influenced, diagnosis should be excluded from the formulation.”</w:t>
      </w:r>
    </w:p>
    <w:p>
      <w:pPr>
        <w:spacing w:before="0" w:after="40" w:line="240" w:lineRule="auto"/>
        <w:ind w:left="216" w:hanging="216"/>
      </w:pPr>
      <w:r>
        <w:rPr>
          <w:rFonts w:ascii="Liberation Sans" w:hAnsi="Liberation Sans" w:eastAsia="Liberation Sans"/>
          <w:b/>
          <w:i w:val="0"/>
          <w:color w:val="1F2937"/>
          <w:sz w:val="18"/>
        </w:rPr>
        <w:t>D. “The couple has communication problems,” with no diagnostic impression, timeline, contextual factors, strengths, or next step.</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02.05, 02.18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WB4-LO1, WB4-LO7 | Diagnosis within integrated systemic formulation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SYSTEM / CLOSURE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formulation includes diagnosis, reciprocal interaction, context, strengths, treatment-unit implications, coordination, and a revisable next step.</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option converts diagnosis into individual blame and ignores reciprocal and contextual processes.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Systemic practice can integrate valid diagnosis without reducing the person or system to the label.</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statement is too vague to explain the clinical pattern or guide assessment and treatment priorities.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The strongest MFT formulation holds both levels: a supported diagnostic impression and the reciprocal system in which symptoms, responses, context, and strengths interact.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FORMULATE: facts and impression, alternatives, relational cycle, medical/safety factors, unique context and strengths, priorities, actions, tracking, and collaborative explanation.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6: Correct Answer B | CTA-LMFT-AMFTRB-WB04-Q06</w:t>
            </w:r>
          </w:p>
        </w:tc>
      </w:tr>
    </w:tbl>
    <w:p>
      <w:pPr>
        <w:keepNext/>
        <w:spacing w:before="100" w:after="60" w:line="240" w:lineRule="auto"/>
      </w:pPr>
      <w:r>
        <w:rPr>
          <w:rFonts w:ascii="Liberation Sans" w:hAnsi="Liberation Sans" w:eastAsia="Liberation Sans"/>
          <w:b/>
          <w:i w:val="0"/>
          <w:color w:val="18365B"/>
          <w:sz w:val="20"/>
        </w:rPr>
        <w:t>A client with no documented history of sustained activation develops four days of markedly reduced need for sleep, rapid speech, impulsive spending, and agitation shortly after an antidepressant dose increase and heavy use of stimulant beverages. What should the therapist do FIRST?</w:t>
      </w:r>
    </w:p>
    <w:p>
      <w:pPr>
        <w:spacing w:before="0" w:after="40" w:line="240" w:lineRule="auto"/>
        <w:ind w:left="216" w:hanging="216"/>
      </w:pPr>
      <w:r>
        <w:rPr>
          <w:rFonts w:ascii="Liberation Sans" w:hAnsi="Liberation Sans" w:eastAsia="Liberation Sans"/>
          <w:b/>
          <w:i w:val="0"/>
          <w:color w:val="1F2937"/>
          <w:sz w:val="18"/>
        </w:rPr>
        <w:t>A. Confirm a bipolar disorder because reduced sleep and impulsive spending are present.</w:t>
      </w:r>
    </w:p>
    <w:p>
      <w:pPr>
        <w:spacing w:before="0" w:after="40" w:line="240" w:lineRule="auto"/>
        <w:ind w:left="216" w:hanging="216"/>
      </w:pPr>
      <w:r>
        <w:rPr>
          <w:rFonts w:ascii="Liberation Sans" w:hAnsi="Liberation Sans" w:eastAsia="Liberation Sans"/>
          <w:b/>
          <w:i w:val="0"/>
          <w:color w:val="1A9A96"/>
          <w:sz w:val="18"/>
        </w:rPr>
        <w:t>B. Assess immediate safety and functional impairment, clarify the exact medication, stimulant, sleep, and symptom timeline, and coordinate prompt prescriber or medical evaluation while keeping multiple explanations open.</w:t>
      </w:r>
    </w:p>
    <w:p>
      <w:pPr>
        <w:spacing w:before="0" w:after="40" w:line="240" w:lineRule="auto"/>
        <w:ind w:left="216" w:hanging="216"/>
      </w:pPr>
      <w:r>
        <w:rPr>
          <w:rFonts w:ascii="Liberation Sans" w:hAnsi="Liberation Sans" w:eastAsia="Liberation Sans"/>
          <w:b/>
          <w:i w:val="0"/>
          <w:color w:val="1F2937"/>
          <w:sz w:val="18"/>
        </w:rPr>
        <w:t>C. Advise the client to stop the medication immediately and continue psychotherapy without contacting the prescriber.</w:t>
      </w:r>
    </w:p>
    <w:p>
      <w:pPr>
        <w:spacing w:before="0" w:after="40" w:line="240" w:lineRule="auto"/>
        <w:ind w:left="216" w:hanging="216"/>
      </w:pPr>
      <w:r>
        <w:rPr>
          <w:rFonts w:ascii="Liberation Sans" w:hAnsi="Liberation Sans" w:eastAsia="Liberation Sans"/>
          <w:b/>
          <w:i w:val="0"/>
          <w:color w:val="1F2937"/>
          <w:sz w:val="18"/>
        </w:rPr>
        <w:t>D. Interpret the activation as resistance to treatment and confront the client about poor motivation.</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02.09, 02.17; 03.21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WB4-LO3, WB4-LO5 | Medication, stimulant, sleep, and bipolar-spectrum differential</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EXCL / DIFF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symptoms raise bipolar-spectrum concern, but the timing of medication, stimulant use, and sleep disruption requires differential assessment before confirmation.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addresses urgency, timeline, exclusions, scope, and prescriber coordination while preserving the differential diagnosis.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Directing medication changes exceeds the therapist's role and may create additional risk. Coordination with the prescriber is the appropriate route.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presentation is not adequately explained by motivation or resistance and may involve a medication- or substance-related condition.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activation follows medication or stimulant change, chronology controls. Assess safety, gather decision-changing data, coordinate, and avoid both premature bipolar labeling and unsupported reassurance.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DIFF and REFER: compare bipolar-spectrum, medication-induced, stimulant-related, sleep-related, and other explanations; state the referral question and continuity plan.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7: Correct Answer C | CTA-LMFT-AMFTRB-WB04-Q07</w:t>
            </w:r>
          </w:p>
        </w:tc>
      </w:tr>
    </w:tbl>
    <w:p>
      <w:pPr>
        <w:keepNext/>
        <w:spacing w:before="100" w:after="60" w:line="240" w:lineRule="auto"/>
      </w:pPr>
      <w:r>
        <w:rPr>
          <w:rFonts w:ascii="Liberation Sans" w:hAnsi="Liberation Sans" w:eastAsia="Liberation Sans"/>
          <w:b/>
          <w:i w:val="0"/>
          <w:color w:val="18365B"/>
          <w:sz w:val="20"/>
        </w:rPr>
        <w:t>A trauma survivor reports hearing the abuser's voice during vivid flashbacks triggered by a specific smell. Outside these episodes, the client knows the voice is a memory, shows organized thought, and has intact reality testing. Which formulation is MOST appropriate?</w:t>
      </w:r>
    </w:p>
    <w:p>
      <w:pPr>
        <w:spacing w:before="0" w:after="40" w:line="240" w:lineRule="auto"/>
        <w:ind w:left="216" w:hanging="216"/>
      </w:pPr>
      <w:r>
        <w:rPr>
          <w:rFonts w:ascii="Liberation Sans" w:hAnsi="Liberation Sans" w:eastAsia="Liberation Sans"/>
          <w:b/>
          <w:i w:val="0"/>
          <w:color w:val="1F2937"/>
          <w:sz w:val="18"/>
        </w:rPr>
        <w:t>A. Primary psychotic disorder is established because any voice-hearing experience is psychosis.</w:t>
      </w:r>
    </w:p>
    <w:p>
      <w:pPr>
        <w:spacing w:before="0" w:after="40" w:line="240" w:lineRule="auto"/>
        <w:ind w:left="216" w:hanging="216"/>
      </w:pPr>
      <w:r>
        <w:rPr>
          <w:rFonts w:ascii="Liberation Sans" w:hAnsi="Liberation Sans" w:eastAsia="Liberation Sans"/>
          <w:b/>
          <w:i w:val="0"/>
          <w:color w:val="1F2937"/>
          <w:sz w:val="18"/>
        </w:rPr>
        <w:t>B. The experience should be ignored because trauma-related symptoms never require differential assessment.</w:t>
      </w:r>
    </w:p>
    <w:p>
      <w:pPr>
        <w:spacing w:before="0" w:after="40" w:line="240" w:lineRule="auto"/>
        <w:ind w:left="216" w:hanging="216"/>
      </w:pPr>
      <w:r>
        <w:rPr>
          <w:rFonts w:ascii="Liberation Sans" w:hAnsi="Liberation Sans" w:eastAsia="Liberation Sans"/>
          <w:b/>
          <w:i w:val="0"/>
          <w:color w:val="1A9A96"/>
          <w:sz w:val="18"/>
        </w:rPr>
        <w:t>C. Trauma intrusion or dissociative phenomena are plausible leading explanations, while the therapist should continue assessing reality testing, frequency, context, substance/medical factors, functional impact, and any psychotic symptoms outside trauma cues.</w:t>
      </w:r>
    </w:p>
    <w:p>
      <w:pPr>
        <w:spacing w:before="0" w:after="40" w:line="240" w:lineRule="auto"/>
        <w:ind w:left="216" w:hanging="216"/>
      </w:pPr>
      <w:r>
        <w:rPr>
          <w:rFonts w:ascii="Liberation Sans" w:hAnsi="Liberation Sans" w:eastAsia="Liberation Sans"/>
          <w:b/>
          <w:i w:val="0"/>
          <w:color w:val="1F2937"/>
          <w:sz w:val="18"/>
        </w:rPr>
        <w:t>D. The client is fabricating symptoms because the voice occurs only during reminders.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02.10, 02.17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WB4-LO3, WB4-LO5 | Trauma intrusions, dissociation, psychosis, and contextual reality testing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DIFF / SYSTEM</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Voice-hearing can occur in more than one condition; context, insight, reality testing, and course are essential discriminators.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Trauma-linked experiences still require careful assessment of risk, dissociation, psychosis, medical/substance factors, and impairment.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identifies the most supported current explanation without closing the differential and names the evidence that would change it.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Trigger-linked variability does not demonstrate fabrication.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Do not let one unusual symptom erase context. Compare mechanism, trigger pattern, reality testing, course, and symptoms outside the triggering state.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DIFF: list evidence for and against trauma intrusion, dissociation, psychosis, substance/medical causes, and identify the next discriminator.</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8: Correct Answer D | CTA-LMFT-AMFTRB-WB04-Q08</w:t>
            </w:r>
          </w:p>
        </w:tc>
      </w:tr>
    </w:tbl>
    <w:p>
      <w:pPr>
        <w:keepNext/>
        <w:spacing w:before="100" w:after="60" w:line="240" w:lineRule="auto"/>
      </w:pPr>
      <w:r>
        <w:rPr>
          <w:rFonts w:ascii="Liberation Sans" w:hAnsi="Liberation Sans" w:eastAsia="Liberation Sans"/>
          <w:b/>
          <w:i w:val="0"/>
          <w:color w:val="18365B"/>
          <w:sz w:val="20"/>
        </w:rPr>
        <w:t>A new parent reports repeated unwanted images of harming the infant, feels horrified by them, avoids holding kitchen knives, seeks reassurance, denies desire or intent to act, and demonstrates intact reality testing. Which response is BEST?</w:t>
      </w:r>
    </w:p>
    <w:p>
      <w:pPr>
        <w:spacing w:before="0" w:after="40" w:line="240" w:lineRule="auto"/>
        <w:ind w:left="216" w:hanging="216"/>
      </w:pPr>
      <w:r>
        <w:rPr>
          <w:rFonts w:ascii="Liberation Sans" w:hAnsi="Liberation Sans" w:eastAsia="Liberation Sans"/>
          <w:b/>
          <w:i w:val="0"/>
          <w:color w:val="1F2937"/>
          <w:sz w:val="18"/>
        </w:rPr>
        <w:t>A. Conclude that the parent is dangerous because the thought content involves harm.</w:t>
      </w:r>
    </w:p>
    <w:p>
      <w:pPr>
        <w:spacing w:before="0" w:after="40" w:line="240" w:lineRule="auto"/>
        <w:ind w:left="216" w:hanging="216"/>
      </w:pPr>
      <w:r>
        <w:rPr>
          <w:rFonts w:ascii="Liberation Sans" w:hAnsi="Liberation Sans" w:eastAsia="Liberation Sans"/>
          <w:b/>
          <w:i w:val="0"/>
          <w:color w:val="1F2937"/>
          <w:sz w:val="18"/>
        </w:rPr>
        <w:t>B. Reassure the parent that there is no need for any direct safety assessment because the thoughts are unwanted.</w:t>
      </w:r>
    </w:p>
    <w:p>
      <w:pPr>
        <w:spacing w:before="0" w:after="40" w:line="240" w:lineRule="auto"/>
        <w:ind w:left="216" w:hanging="216"/>
      </w:pPr>
      <w:r>
        <w:rPr>
          <w:rFonts w:ascii="Liberation Sans" w:hAnsi="Liberation Sans" w:eastAsia="Liberation Sans"/>
          <w:b/>
          <w:i w:val="0"/>
          <w:color w:val="1F2937"/>
          <w:sz w:val="18"/>
        </w:rPr>
        <w:t>C. Diagnose a psychotic disorder because the images are disturbing and repetitive.</w:t>
      </w:r>
    </w:p>
    <w:p>
      <w:pPr>
        <w:spacing w:before="0" w:after="40" w:line="240" w:lineRule="auto"/>
        <w:ind w:left="216" w:hanging="216"/>
      </w:pPr>
      <w:r>
        <w:rPr>
          <w:rFonts w:ascii="Liberation Sans" w:hAnsi="Liberation Sans" w:eastAsia="Liberation Sans"/>
          <w:b/>
          <w:i w:val="0"/>
          <w:color w:val="1A9A96"/>
          <w:sz w:val="18"/>
        </w:rPr>
        <w:t>D. Conduct direct safety and reality-testing assessment, evaluate the ego-dystonic and compulsive features, and compare obsessive, trauma-related, depressive, psychotic, and other explanations before determining diagnosis and care needs.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WB4-LO3, WB4-LO5 | Intrusive thoughts, intent, psychosis, and risk differentiation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DIFF / THRESH</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Harm-related content does not by itself establish intent, dangerousness, or a specific diagnosis.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Ego-dystonic thoughts may suggest an obsessive process, but direct assessment of intent, control, psychosis, impairment, and infant safety is still required.</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current facts include intact reality testing and distress about the thoughts, which require differential assessment rather than automatic psychosis labeling.</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protects safety while distinguishing thought content from intent and comparing plausible diagnostic mechanisms.</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Separate content from function and meaning. Ask whether the experience is wanted or unwanted, believed or recognized as a thought, linked to compulsions, accompanied by intent, and associated with impaired reality testing.</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PTI and DIFF: assess pattern, distress, control, intent, reality testing, compulsive responses, impairment, and competing explanations before labeling.</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9: Correct Answer A | CTA-LMFT-AMFTRB-WB04-Q09</w:t>
            </w:r>
          </w:p>
        </w:tc>
      </w:tr>
    </w:tbl>
    <w:p>
      <w:pPr>
        <w:keepNext/>
        <w:spacing w:before="100" w:after="60" w:line="240" w:lineRule="auto"/>
      </w:pPr>
      <w:r>
        <w:rPr>
          <w:rFonts w:ascii="Liberation Sans" w:hAnsi="Liberation Sans" w:eastAsia="Liberation Sans"/>
          <w:b/>
          <w:i w:val="0"/>
          <w:color w:val="18365B"/>
          <w:sz w:val="20"/>
        </w:rPr>
        <w:t>A 62-year-old client with no prior anxiety history develops tremor, palpitations, heat intolerance, weight loss, insomnia, and increasing confusion after a thyroid-medication adjustment. What should the therapist do FIRST?</w:t>
      </w:r>
    </w:p>
    <w:p>
      <w:pPr>
        <w:spacing w:before="0" w:after="40" w:line="240" w:lineRule="auto"/>
        <w:ind w:left="216" w:hanging="216"/>
      </w:pPr>
      <w:r>
        <w:rPr>
          <w:rFonts w:ascii="Liberation Sans" w:hAnsi="Liberation Sans" w:eastAsia="Liberation Sans"/>
          <w:b/>
          <w:i w:val="0"/>
          <w:color w:val="1A9A96"/>
          <w:sz w:val="18"/>
        </w:rPr>
        <w:t>A. Assess immediate safety and the acute change from baseline, then arrange prompt medical evaluation and medication coordination while documenting the referral question and continuity plan.</w:t>
      </w:r>
    </w:p>
    <w:p>
      <w:pPr>
        <w:spacing w:before="0" w:after="40" w:line="240" w:lineRule="auto"/>
        <w:ind w:left="216" w:hanging="216"/>
      </w:pPr>
      <w:r>
        <w:rPr>
          <w:rFonts w:ascii="Liberation Sans" w:hAnsi="Liberation Sans" w:eastAsia="Liberation Sans"/>
          <w:b/>
          <w:i w:val="0"/>
          <w:color w:val="1F2937"/>
          <w:sz w:val="18"/>
        </w:rPr>
        <w:t>B. Diagnose panic disorder and begin exposure exercises because palpitations are present.</w:t>
      </w:r>
    </w:p>
    <w:p>
      <w:pPr>
        <w:spacing w:before="0" w:after="40" w:line="240" w:lineRule="auto"/>
        <w:ind w:left="216" w:hanging="216"/>
      </w:pPr>
      <w:r>
        <w:rPr>
          <w:rFonts w:ascii="Liberation Sans" w:hAnsi="Liberation Sans" w:eastAsia="Liberation Sans"/>
          <w:b/>
          <w:i w:val="0"/>
          <w:color w:val="1F2937"/>
          <w:sz w:val="18"/>
        </w:rPr>
        <w:t>C. Wait several weeks to determine whether the symptoms become chronic enough for a psychiatric diagnosis.</w:t>
      </w:r>
    </w:p>
    <w:p>
      <w:pPr>
        <w:spacing w:before="0" w:after="40" w:line="240" w:lineRule="auto"/>
        <w:ind w:left="216" w:hanging="216"/>
      </w:pPr>
      <w:r>
        <w:rPr>
          <w:rFonts w:ascii="Liberation Sans" w:hAnsi="Liberation Sans" w:eastAsia="Liberation Sans"/>
          <w:b/>
          <w:i w:val="0"/>
          <w:color w:val="1F2937"/>
          <w:sz w:val="18"/>
        </w:rPr>
        <w:t>D. Ask the family to stop discussing the symptoms so attention does not reinforce them.</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02.08-02.09, 02.17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WB4-LO5, WB4-LO8 | Medical and medication exclusions controlling sequence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EXCL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acute onset, medication change, physical signs, and confusion make medical or medication-related causes a priority before routine psychiatric treatment.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Panic symptoms may be considered later, but the medical pattern and medication timing control the immediate sequence.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Delay may increase risk when confusion and systemic physical changes are present.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response minimizes potentially urgent medical information and does not address safety.</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Acute change plus physical signs is an exclusion problem before it is a psychotherapy-technique problem. Route the client while preserving continuity.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EXCL and REFER: name the possible medical or medication explanation, urgency, referral question, responsible party, follow-up, and documentation.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10: Correct Answer B | CTA-LMFT-AMFTRB-WB04-Q10</w:t>
            </w:r>
          </w:p>
        </w:tc>
      </w:tr>
    </w:tbl>
    <w:p>
      <w:pPr>
        <w:keepNext/>
        <w:spacing w:before="100" w:after="60" w:line="240" w:lineRule="auto"/>
      </w:pPr>
      <w:r>
        <w:rPr>
          <w:rFonts w:ascii="Liberation Sans" w:hAnsi="Liberation Sans" w:eastAsia="Liberation Sans"/>
          <w:b/>
          <w:i w:val="0"/>
          <w:color w:val="18365B"/>
          <w:sz w:val="20"/>
        </w:rPr>
        <w:t>A 10-year-old has school refusal and inattention reported by one teacher. The parent reports loud snoring and morning headaches, the child describes bullying, and prior grades suggest an emerging reading difficulty. What should the therapist do NEXT?</w:t>
      </w:r>
    </w:p>
    <w:p>
      <w:pPr>
        <w:spacing w:before="0" w:after="40" w:line="240" w:lineRule="auto"/>
        <w:ind w:left="216" w:hanging="216"/>
      </w:pPr>
      <w:r>
        <w:rPr>
          <w:rFonts w:ascii="Liberation Sans" w:hAnsi="Liberation Sans" w:eastAsia="Liberation Sans"/>
          <w:b/>
          <w:i w:val="0"/>
          <w:color w:val="1F2937"/>
          <w:sz w:val="18"/>
        </w:rPr>
        <w:t>A. Diagnose ADHD because school inattention is the most objective report.</w:t>
      </w:r>
    </w:p>
    <w:p>
      <w:pPr>
        <w:spacing w:before="0" w:after="40" w:line="240" w:lineRule="auto"/>
        <w:ind w:left="216" w:hanging="216"/>
      </w:pPr>
      <w:r>
        <w:rPr>
          <w:rFonts w:ascii="Liberation Sans" w:hAnsi="Liberation Sans" w:eastAsia="Liberation Sans"/>
          <w:b/>
          <w:i w:val="0"/>
          <w:color w:val="1A9A96"/>
          <w:sz w:val="18"/>
        </w:rPr>
        <w:t>B. Gather cross-setting and developmental data, assess anxiety and bullying, clarify sleep and medical concerns, and coordinate appropriate school and pediatric evaluation before reaching a fixed diagnosis.</w:t>
      </w:r>
    </w:p>
    <w:p>
      <w:pPr>
        <w:spacing w:before="0" w:after="40" w:line="240" w:lineRule="auto"/>
        <w:ind w:left="216" w:hanging="216"/>
      </w:pPr>
      <w:r>
        <w:rPr>
          <w:rFonts w:ascii="Liberation Sans" w:hAnsi="Liberation Sans" w:eastAsia="Liberation Sans"/>
          <w:b/>
          <w:i w:val="0"/>
          <w:color w:val="1F2937"/>
          <w:sz w:val="18"/>
        </w:rPr>
        <w:t>C. Diagnose separation anxiety because school refusal always reflects fear of leaving a caregiver.</w:t>
      </w:r>
    </w:p>
    <w:p>
      <w:pPr>
        <w:spacing w:before="0" w:after="40" w:line="240" w:lineRule="auto"/>
        <w:ind w:left="216" w:hanging="216"/>
      </w:pPr>
      <w:r>
        <w:rPr>
          <w:rFonts w:ascii="Liberation Sans" w:hAnsi="Liberation Sans" w:eastAsia="Liberation Sans"/>
          <w:b/>
          <w:i w:val="0"/>
          <w:color w:val="1F2937"/>
          <w:sz w:val="18"/>
        </w:rPr>
        <w:t>D. Begin a behavior contract and postpone assessment until the child demonstrates better compliance.</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02.14, 02.17, 02.20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WB4-LO3, WB4-LO5, WB4-LO8 | Child differential and cross-setting collaboration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SINGLE / DIFF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One setting and one informant do not establish a pervasive neurodevelopmental pattern, especially when sleep, learning, anxiety, and bullying factors are present.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compares plausible explanations, seeks cross-setting evidence, and coordinates evaluations that could materially change diagnosis and treatment.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School refusal has multiple possible mechanisms and cannot be assigned to one diagnosis by definition.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Intervention before adequate assessment may obscure the problem and frame distress as noncompliance.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For child presentations, compare settings, developmental history, learning, sleep, health, peer context, family responses, and functional pattern before selecting a diagnosis.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DIFF: list ADHD, anxiety, learning, sleep/medical, trauma or bullying, and contextual explanations; identify the next discriminator for each.</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11: Correct Answer C | CTA-LMFT-AMFTRB-WB04-Q11</w:t>
            </w:r>
          </w:p>
        </w:tc>
      </w:tr>
    </w:tbl>
    <w:p>
      <w:pPr>
        <w:keepNext/>
        <w:spacing w:before="100" w:after="60" w:line="240" w:lineRule="auto"/>
      </w:pPr>
      <w:r>
        <w:rPr>
          <w:rFonts w:ascii="Liberation Sans" w:hAnsi="Liberation Sans" w:eastAsia="Liberation Sans"/>
          <w:b/>
          <w:i w:val="0"/>
          <w:color w:val="18365B"/>
          <w:sz w:val="20"/>
        </w:rPr>
        <w:t>A therapist is considering a digital symptom measure for a bilingual client with limited literacy and a visual impairment. The only available translation has unclear validation, and the therapist has not been trained in the tool. Which plan is BEST?</w:t>
      </w:r>
    </w:p>
    <w:p>
      <w:pPr>
        <w:spacing w:before="0" w:after="40" w:line="240" w:lineRule="auto"/>
        <w:ind w:left="216" w:hanging="216"/>
      </w:pPr>
      <w:r>
        <w:rPr>
          <w:rFonts w:ascii="Liberation Sans" w:hAnsi="Liberation Sans" w:eastAsia="Liberation Sans"/>
          <w:b/>
          <w:i w:val="0"/>
          <w:color w:val="1F2937"/>
          <w:sz w:val="18"/>
        </w:rPr>
        <w:t>A. Use the tool because digital administration eliminates language and disability bias.</w:t>
      </w:r>
    </w:p>
    <w:p>
      <w:pPr>
        <w:spacing w:before="0" w:after="40" w:line="240" w:lineRule="auto"/>
        <w:ind w:left="216" w:hanging="216"/>
      </w:pPr>
      <w:r>
        <w:rPr>
          <w:rFonts w:ascii="Liberation Sans" w:hAnsi="Liberation Sans" w:eastAsia="Liberation Sans"/>
          <w:b/>
          <w:i w:val="0"/>
          <w:color w:val="1F2937"/>
          <w:sz w:val="18"/>
        </w:rPr>
        <w:t>B. Ask a family member to translate the items and then interpret the score as diagnostic proof.</w:t>
      </w:r>
    </w:p>
    <w:p>
      <w:pPr>
        <w:spacing w:before="0" w:after="40" w:line="240" w:lineRule="auto"/>
        <w:ind w:left="216" w:hanging="216"/>
      </w:pPr>
      <w:r>
        <w:rPr>
          <w:rFonts w:ascii="Liberation Sans" w:hAnsi="Liberation Sans" w:eastAsia="Liberation Sans"/>
          <w:b/>
          <w:i w:val="0"/>
          <w:color w:val="1A9A96"/>
          <w:sz w:val="18"/>
        </w:rPr>
        <w:t>C. Clarify the clinical question, select an accessible and language-appropriate validated option within competence or obtain consultation, document limits and accommodations, and integrate results with other assessment data.</w:t>
      </w:r>
    </w:p>
    <w:p>
      <w:pPr>
        <w:spacing w:before="0" w:after="40" w:line="240" w:lineRule="auto"/>
        <w:ind w:left="216" w:hanging="216"/>
      </w:pPr>
      <w:r>
        <w:rPr>
          <w:rFonts w:ascii="Liberation Sans" w:hAnsi="Liberation Sans" w:eastAsia="Liberation Sans"/>
          <w:b/>
          <w:i w:val="0"/>
          <w:color w:val="1F2937"/>
          <w:sz w:val="18"/>
        </w:rPr>
        <w:t>D. Avoid all standardized measures because no instrument can be used with diverse clients.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WB4-LO4, WB4-LO8 | Instrument fit, language, accessibility, competence, and interpretation limits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TOOL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Digital delivery does not eliminate language, cultural, literacy, disability, privacy, or validity concerns.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Informal translation may change meaning and norms, and no score should be treated as diagnostic proof.</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plan applies purpose, evidence, accessibility, competence, consultation, transparent limits, and multi-source interpretation.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Standardized measures may be useful when selected and interpreted responsibly; the issue is fit and limits, not categorical rejection.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Instrument selection begins with the unresolved decision, not the available app. Fit, evidence, accessibility, competence, and interpretation limits control use.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MEASURE: match, evaluate, assess access, stay within scope, use multiple data sources, review collaboratively, and explain/document limits.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12: Correct Answer D | CTA-LMFT-AMFTRB-WB04-Q12</w:t>
            </w:r>
          </w:p>
        </w:tc>
      </w:tr>
    </w:tbl>
    <w:p>
      <w:pPr>
        <w:keepNext/>
        <w:spacing w:before="100" w:after="60" w:line="240" w:lineRule="auto"/>
      </w:pPr>
      <w:r>
        <w:rPr>
          <w:rFonts w:ascii="Liberation Sans" w:hAnsi="Liberation Sans" w:eastAsia="Liberation Sans"/>
          <w:b/>
          <w:i w:val="0"/>
          <w:color w:val="18365B"/>
          <w:sz w:val="20"/>
        </w:rPr>
        <w:t>A client who abruptly stopped heavy daily alcohol use is sweating, tremulous, agitated, has slept little for two nights, and reports seeing insects on the wall. What is the PRIMARY diagnostic priority?</w:t>
      </w:r>
    </w:p>
    <w:p>
      <w:pPr>
        <w:spacing w:before="0" w:after="40" w:line="240" w:lineRule="auto"/>
        <w:ind w:left="216" w:hanging="216"/>
      </w:pPr>
      <w:r>
        <w:rPr>
          <w:rFonts w:ascii="Liberation Sans" w:hAnsi="Liberation Sans" w:eastAsia="Liberation Sans"/>
          <w:b/>
          <w:i w:val="0"/>
          <w:color w:val="1F2937"/>
          <w:sz w:val="18"/>
        </w:rPr>
        <w:t>A. Determine whether the visual experience represents a longstanding primary psychotic disorder before taking any other action.</w:t>
      </w:r>
    </w:p>
    <w:p>
      <w:pPr>
        <w:spacing w:before="0" w:after="40" w:line="240" w:lineRule="auto"/>
        <w:ind w:left="216" w:hanging="216"/>
      </w:pPr>
      <w:r>
        <w:rPr>
          <w:rFonts w:ascii="Liberation Sans" w:hAnsi="Liberation Sans" w:eastAsia="Liberation Sans"/>
          <w:b/>
          <w:i w:val="0"/>
          <w:color w:val="1F2937"/>
          <w:sz w:val="18"/>
        </w:rPr>
        <w:t>B. Explore childhood attachment patterns to understand why the client stopped drinking.</w:t>
      </w:r>
    </w:p>
    <w:p>
      <w:pPr>
        <w:spacing w:before="0" w:after="40" w:line="240" w:lineRule="auto"/>
        <w:ind w:left="216" w:hanging="216"/>
      </w:pPr>
      <w:r>
        <w:rPr>
          <w:rFonts w:ascii="Liberation Sans" w:hAnsi="Liberation Sans" w:eastAsia="Liberation Sans"/>
          <w:b/>
          <w:i w:val="0"/>
          <w:color w:val="1F2937"/>
          <w:sz w:val="18"/>
        </w:rPr>
        <w:t>C. Begin routine outpatient relapse-prevention work and reassess the symptoms at the next visit.</w:t>
      </w:r>
    </w:p>
    <w:p>
      <w:pPr>
        <w:spacing w:before="0" w:after="40" w:line="240" w:lineRule="auto"/>
        <w:ind w:left="216" w:hanging="216"/>
      </w:pPr>
      <w:r>
        <w:rPr>
          <w:rFonts w:ascii="Liberation Sans" w:hAnsi="Liberation Sans" w:eastAsia="Liberation Sans"/>
          <w:b/>
          <w:i w:val="0"/>
          <w:color w:val="1A9A96"/>
          <w:sz w:val="18"/>
        </w:rPr>
        <w:t>D. Evaluate possible acute withdrawal and medical instability immediately, activate emergency or medical care as indicated, and defer routine psychiatric labeling until the acute condition is addressed.</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02.09, 02.17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WB4-LO3, WB4-LO5 | Withdrawal, sleep disruption, psychotic-like experiences, and urgency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EXCL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primary psychotic disorder may be considered later, but abrupt cessation, autonomic symptoms, and severe sleep loss make withdrawal and medical risk the immediate concern.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Developmental exploration does not address the acute safety and medical presentation.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Routine outpatient follow-up is insufficient when withdrawal may be medically dangerous.</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recognizes that urgent medical evaluation controls the sequence and that psychiatric diagnosis should be reconsidered after stabilization and additional data.</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intoxication, withdrawal, or severe physiological disruption can explain symptoms, address the acute condition before assigning a routine psychiatric diagnosis.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EXCL and REFER: identify substance timeline, physical signs, cognition, safety, urgency, medical route, and continuity plan.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13: Correct Answer A | CTA-LMFT-AMFTRB-WB04-Q13</w:t>
            </w:r>
          </w:p>
        </w:tc>
      </w:tr>
    </w:tbl>
    <w:p>
      <w:pPr>
        <w:keepNext/>
        <w:spacing w:before="100" w:after="60" w:line="240" w:lineRule="auto"/>
      </w:pPr>
      <w:r>
        <w:rPr>
          <w:rFonts w:ascii="Liberation Sans" w:hAnsi="Liberation Sans" w:eastAsia="Liberation Sans"/>
          <w:b/>
          <w:i w:val="0"/>
          <w:color w:val="18365B"/>
          <w:sz w:val="20"/>
        </w:rPr>
        <w:t>A collegiate athlete reports severe food restriction, two recent fainting episodes, chest fluttering, compulsive exercise despite a stress fracture, and intense fear of losing a scholarship if treatment affects training. What should the therapist do FIRST?</w:t>
      </w:r>
    </w:p>
    <w:p>
      <w:pPr>
        <w:spacing w:before="0" w:after="40" w:line="240" w:lineRule="auto"/>
        <w:ind w:left="216" w:hanging="216"/>
      </w:pPr>
      <w:r>
        <w:rPr>
          <w:rFonts w:ascii="Liberation Sans" w:hAnsi="Liberation Sans" w:eastAsia="Liberation Sans"/>
          <w:b/>
          <w:i w:val="0"/>
          <w:color w:val="1A9A96"/>
          <w:sz w:val="18"/>
        </w:rPr>
        <w:t>A. Assess immediate safety and medical stability and arrange urgent medical evaluation, while communicating nonjudgmentally, preserving continuity, and coordinating multidisciplinary care.</w:t>
      </w:r>
    </w:p>
    <w:p>
      <w:pPr>
        <w:spacing w:before="0" w:after="40" w:line="240" w:lineRule="auto"/>
        <w:ind w:left="216" w:hanging="216"/>
      </w:pPr>
      <w:r>
        <w:rPr>
          <w:rFonts w:ascii="Liberation Sans" w:hAnsi="Liberation Sans" w:eastAsia="Liberation Sans"/>
          <w:b/>
          <w:i w:val="0"/>
          <w:color w:val="1F2937"/>
          <w:sz w:val="18"/>
        </w:rPr>
        <w:t>B. Complete a body-image worksheet before discussing referral so the athlete does not feel pressured.</w:t>
      </w:r>
    </w:p>
    <w:p>
      <w:pPr>
        <w:spacing w:before="0" w:after="40" w:line="240" w:lineRule="auto"/>
        <w:ind w:left="216" w:hanging="216"/>
      </w:pPr>
      <w:r>
        <w:rPr>
          <w:rFonts w:ascii="Liberation Sans" w:hAnsi="Liberation Sans" w:eastAsia="Liberation Sans"/>
          <w:b/>
          <w:i w:val="0"/>
          <w:color w:val="1F2937"/>
          <w:sz w:val="18"/>
        </w:rPr>
        <w:t>C. Wait for a definitive eating-disorder diagnosis because referral before diagnostic certainty may damage alliance.</w:t>
      </w:r>
    </w:p>
    <w:p>
      <w:pPr>
        <w:spacing w:before="0" w:after="40" w:line="240" w:lineRule="auto"/>
        <w:ind w:left="216" w:hanging="216"/>
      </w:pPr>
      <w:r>
        <w:rPr>
          <w:rFonts w:ascii="Liberation Sans" w:hAnsi="Liberation Sans" w:eastAsia="Liberation Sans"/>
          <w:b/>
          <w:i w:val="0"/>
          <w:color w:val="1F2937"/>
          <w:sz w:val="18"/>
        </w:rPr>
        <w:t>D. Focus first on scholarship stress because the contextual concern explains the physical symptoms.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D5 - Assessing and Managing Crisis Situations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02.08, 02.17 | D5 bridge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WB4-LO5, WB4-LO8 | Restrictive eating, physiological red flags, and medical priority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EXCL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Fainting, cardiac symptoms, severe restriction, and continued exercise with injury are physiological red flags. Medical stability must be addressed before routine outpatient diagnostic work continues.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Psychotherapy may be part of care, but a worksheet does not address possible immediate medical instability.</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Referral and safety action do not require final diagnostic certainty when red flags are present.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Scholarship pressure matters systemically but does not explain away potential medical danger.</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In eating-related cases, do not let weight, motivation, or identity distract from physiological risk. Medical stability controls the first step.</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REFER: state the urgency, referral question, responsible contact, authorization, continuity plan, and what evidence will guide later diagnosis.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14: Correct Answer B | CTA-LMFT-AMFTRB-WB04-Q14</w:t>
            </w:r>
          </w:p>
        </w:tc>
      </w:tr>
    </w:tbl>
    <w:p>
      <w:pPr>
        <w:keepNext/>
        <w:spacing w:before="100" w:after="60" w:line="240" w:lineRule="auto"/>
      </w:pPr>
      <w:r>
        <w:rPr>
          <w:rFonts w:ascii="Liberation Sans" w:hAnsi="Liberation Sans" w:eastAsia="Liberation Sans"/>
          <w:b/>
          <w:i w:val="0"/>
          <w:color w:val="18365B"/>
          <w:sz w:val="20"/>
        </w:rPr>
        <w:t>During a video session, a normally organized older client has fluctuating attention, cannot identify the date, reports seeing small animals in the room, and recently began treatment for an infection and a new medication. What should the therapist do FIRST?</w:t>
      </w:r>
    </w:p>
    <w:p>
      <w:pPr>
        <w:spacing w:before="0" w:after="40" w:line="240" w:lineRule="auto"/>
        <w:ind w:left="216" w:hanging="216"/>
      </w:pPr>
      <w:r>
        <w:rPr>
          <w:rFonts w:ascii="Liberation Sans" w:hAnsi="Liberation Sans" w:eastAsia="Liberation Sans"/>
          <w:b/>
          <w:i w:val="0"/>
          <w:color w:val="1F2937"/>
          <w:sz w:val="18"/>
        </w:rPr>
        <w:t>A. Diagnose a primary psychotic disorder because visual hallucinations are present.</w:t>
      </w:r>
    </w:p>
    <w:p>
      <w:pPr>
        <w:spacing w:before="0" w:after="40" w:line="240" w:lineRule="auto"/>
        <w:ind w:left="216" w:hanging="216"/>
      </w:pPr>
      <w:r>
        <w:rPr>
          <w:rFonts w:ascii="Liberation Sans" w:hAnsi="Liberation Sans" w:eastAsia="Liberation Sans"/>
          <w:b/>
          <w:i w:val="0"/>
          <w:color w:val="1A9A96"/>
          <w:sz w:val="18"/>
        </w:rPr>
        <w:t>B. Maintain contact while assessing immediate safety and location, arrange urgent medical or emergency evaluation for possible delirium or other acute causes, and coordinate follow-up after stabilization.</w:t>
      </w:r>
    </w:p>
    <w:p>
      <w:pPr>
        <w:spacing w:before="0" w:after="40" w:line="240" w:lineRule="auto"/>
        <w:ind w:left="216" w:hanging="216"/>
      </w:pPr>
      <w:r>
        <w:rPr>
          <w:rFonts w:ascii="Liberation Sans" w:hAnsi="Liberation Sans" w:eastAsia="Liberation Sans"/>
          <w:b/>
          <w:i w:val="0"/>
          <w:color w:val="1F2937"/>
          <w:sz w:val="18"/>
        </w:rPr>
        <w:t>C. Use grounding and schedule a longer psychotherapy session for the next day.</w:t>
      </w:r>
    </w:p>
    <w:p>
      <w:pPr>
        <w:spacing w:before="0" w:after="40" w:line="240" w:lineRule="auto"/>
        <w:ind w:left="216" w:hanging="216"/>
      </w:pPr>
      <w:r>
        <w:rPr>
          <w:rFonts w:ascii="Liberation Sans" w:hAnsi="Liberation Sans" w:eastAsia="Liberation Sans"/>
          <w:b/>
          <w:i w:val="0"/>
          <w:color w:val="1F2937"/>
          <w:sz w:val="18"/>
        </w:rPr>
        <w:t>D. Ask family members to monitor the client without sharing the concern with medical providers.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D5 - Assessing and Managing Crisis Situations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02.02, 02.17 | D5 bridge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WB4-LO5, WB4-LO8 | Acute confusion, delirium, neurological and substance differential</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TIME / EXCL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Sudden fluctuating cognition, infection, and medication change require urgent medical differential assessment before a primary psychotic conclusion.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integrates baseline change, MSE, telehealth safety, medical urgency, appropriate routing, and continuity.</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Grounding does not resolve potential delirium or medical instability, and delay may increase risk.</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Informal monitoring alone is insufficient and fails to coordinate needed evaluation.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Acute fluctuating cognition is a baseline and medical-emergency problem before it is a diagnostic-label problem. Preserve contact, locate, route, and document.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PTI and REFER: identify sudden onset, fluctuation, orientation and attention changes, medical/medication context, immediate safety, location, route, and follow-up.</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15: Correct Answer C | CTA-LMFT-AMFTRB-WB04-Q15</w:t>
            </w:r>
          </w:p>
        </w:tc>
      </w:tr>
    </w:tbl>
    <w:p>
      <w:pPr>
        <w:keepNext/>
        <w:spacing w:before="100" w:after="60" w:line="240" w:lineRule="auto"/>
      </w:pPr>
      <w:r>
        <w:rPr>
          <w:rFonts w:ascii="Liberation Sans" w:hAnsi="Liberation Sans" w:eastAsia="Liberation Sans"/>
          <w:b/>
          <w:i w:val="0"/>
          <w:color w:val="18365B"/>
          <w:sz w:val="20"/>
        </w:rPr>
        <w:t>A client in a recently abusive relationship shows intense fear of abandonment, episodic self-injury, alcohol misuse, and rapid shifts in closeness with the therapist. Records before the relationship are limited. Which diagnostic approach is MOST appropriate?</w:t>
      </w:r>
    </w:p>
    <w:p>
      <w:pPr>
        <w:spacing w:before="0" w:after="40" w:line="240" w:lineRule="auto"/>
        <w:ind w:left="216" w:hanging="216"/>
      </w:pPr>
      <w:r>
        <w:rPr>
          <w:rFonts w:ascii="Liberation Sans" w:hAnsi="Liberation Sans" w:eastAsia="Liberation Sans"/>
          <w:b/>
          <w:i w:val="0"/>
          <w:color w:val="1F2937"/>
          <w:sz w:val="18"/>
        </w:rPr>
        <w:t>A. Confirm a personality disorder immediately because abandonment fear and self-injury are present.</w:t>
      </w:r>
    </w:p>
    <w:p>
      <w:pPr>
        <w:spacing w:before="0" w:after="40" w:line="240" w:lineRule="auto"/>
        <w:ind w:left="216" w:hanging="216"/>
      </w:pPr>
      <w:r>
        <w:rPr>
          <w:rFonts w:ascii="Liberation Sans" w:hAnsi="Liberation Sans" w:eastAsia="Liberation Sans"/>
          <w:b/>
          <w:i w:val="0"/>
          <w:color w:val="1F2937"/>
          <w:sz w:val="18"/>
        </w:rPr>
        <w:t>B. Exclude personality pathology because trauma and substance use can explain every symptom.</w:t>
      </w:r>
    </w:p>
    <w:p>
      <w:pPr>
        <w:spacing w:before="0" w:after="40" w:line="240" w:lineRule="auto"/>
        <w:ind w:left="216" w:hanging="216"/>
      </w:pPr>
      <w:r>
        <w:rPr>
          <w:rFonts w:ascii="Liberation Sans" w:hAnsi="Liberation Sans" w:eastAsia="Liberation Sans"/>
          <w:b/>
          <w:i w:val="0"/>
          <w:color w:val="1A9A96"/>
          <w:sz w:val="18"/>
        </w:rPr>
        <w:t>C. Maintain a longitudinal differential that compares pervasive cross-context personality patterns with trauma responses, mood episodes, substance effects, neurodevelopmental factors, and current relational danger while repeatedly assessing risk.</w:t>
      </w:r>
    </w:p>
    <w:p>
      <w:pPr>
        <w:spacing w:before="0" w:after="40" w:line="240" w:lineRule="auto"/>
        <w:ind w:left="216" w:hanging="216"/>
      </w:pPr>
      <w:r>
        <w:rPr>
          <w:rFonts w:ascii="Liberation Sans" w:hAnsi="Liberation Sans" w:eastAsia="Liberation Sans"/>
          <w:b/>
          <w:i w:val="0"/>
          <w:color w:val="1F2937"/>
          <w:sz w:val="18"/>
        </w:rPr>
        <w:t>D. Diagnose bipolar disorder because rapid interpersonal shifts are equivalent to mood episodes.</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02.14, 02.17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WB4-LO2, WB4-LO3, WB4-LO5, WB4-LO6 | Personality-pattern diagnosis and longitudinal differential</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CLOSURE / DIFF / TIME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Two salient features do not establish a pervasive, enduring pattern across contexts and time.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Trauma and substance use may explain or intensify symptoms, but they do not automatically exclude co-occurring personality pathology.</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requires longitudinal and cross-context evidence, compares alternatives and comorbidity, and keeps current safety central.</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Interpersonal reactivity is not equivalent to a sustained mood episode and requires timeline-based comparison.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Personality diagnosis is a pattern-and-course judgment. Look for pervasiveness, stability, onset, cross-context evidence, alternatives, comorbidity, and the effect of current danger.</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DIFF and TIME: compare longitudinal personality pattern, trauma, mood, substance, and neurodevelopmental explanations; identify what evidence would distinguish them.</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16: Correct Answer D | CTA-LMFT-AMFTRB-WB04-Q16</w:t>
            </w:r>
          </w:p>
        </w:tc>
      </w:tr>
    </w:tbl>
    <w:p>
      <w:pPr>
        <w:keepNext/>
        <w:spacing w:before="100" w:after="60" w:line="240" w:lineRule="auto"/>
      </w:pPr>
      <w:r>
        <w:rPr>
          <w:rFonts w:ascii="Liberation Sans" w:hAnsi="Liberation Sans" w:eastAsia="Liberation Sans"/>
          <w:b/>
          <w:i w:val="0"/>
          <w:color w:val="18365B"/>
          <w:sz w:val="20"/>
        </w:rPr>
        <w:t>A client in couple therapy has a supported alcohol-use disorder and depressive disorder. Drinking increases after criticism, the partner monitors and threatens, conflict escalates, and both report occasional property damage but deny current interpersonal violence. Which treatment-priority statement is BEST?</w:t>
      </w:r>
    </w:p>
    <w:p>
      <w:pPr>
        <w:spacing w:before="0" w:after="40" w:line="240" w:lineRule="auto"/>
        <w:ind w:left="216" w:hanging="216"/>
      </w:pPr>
      <w:r>
        <w:rPr>
          <w:rFonts w:ascii="Liberation Sans" w:hAnsi="Liberation Sans" w:eastAsia="Liberation Sans"/>
          <w:b/>
          <w:i w:val="0"/>
          <w:color w:val="1F2937"/>
          <w:sz w:val="18"/>
        </w:rPr>
        <w:t>A. Treat only the alcohol diagnosis because relational patterns are secondary and should not affect sequencing.</w:t>
      </w:r>
    </w:p>
    <w:p>
      <w:pPr>
        <w:spacing w:before="0" w:after="40" w:line="240" w:lineRule="auto"/>
        <w:ind w:left="216" w:hanging="216"/>
      </w:pPr>
      <w:r>
        <w:rPr>
          <w:rFonts w:ascii="Liberation Sans" w:hAnsi="Liberation Sans" w:eastAsia="Liberation Sans"/>
          <w:b/>
          <w:i w:val="0"/>
          <w:color w:val="1F2937"/>
          <w:sz w:val="18"/>
        </w:rPr>
        <w:t>B. Begin intensive communication exercises immediately and postpone substance and safety assessment to protect the couple alliance.</w:t>
      </w:r>
    </w:p>
    <w:p>
      <w:pPr>
        <w:spacing w:before="0" w:after="40" w:line="240" w:lineRule="auto"/>
        <w:ind w:left="216" w:hanging="216"/>
      </w:pPr>
      <w:r>
        <w:rPr>
          <w:rFonts w:ascii="Liberation Sans" w:hAnsi="Liberation Sans" w:eastAsia="Liberation Sans"/>
          <w:b/>
          <w:i w:val="0"/>
          <w:color w:val="1F2937"/>
          <w:sz w:val="18"/>
        </w:rPr>
        <w:t>C. End couple involvement because any individual diagnosis makes systemic treatment inappropriate.</w:t>
      </w:r>
    </w:p>
    <w:p>
      <w:pPr>
        <w:spacing w:before="0" w:after="40" w:line="240" w:lineRule="auto"/>
        <w:ind w:left="216" w:hanging="216"/>
      </w:pPr>
      <w:r>
        <w:rPr>
          <w:rFonts w:ascii="Liberation Sans" w:hAnsi="Liberation Sans" w:eastAsia="Liberation Sans"/>
          <w:b/>
          <w:i w:val="0"/>
          <w:color w:val="1A9A96"/>
          <w:sz w:val="18"/>
        </w:rPr>
        <w:t>D. Prioritize ongoing safety and violence assessment, substance and medical coordination, stabilization and functional goals, and a clear treatment frame; use the reciprocal cycle to guide engagement and decide when conjoint work is safe and clinically useful.</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D3 - Designing and Conducting Treatment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02.18 | D3 treatment-priority bridge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WB4-LO7, WB4-LO8 | Co-occurrence, reciprocal effects, and treatment priorities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SYSTEM /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Alcohol-related care is important, but reciprocal escalation, depression, safety, medical needs, and treatment-unit decisions also affect priorities.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Communication work should not precede adequate safety, substance, and stabilization assessment.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Individual diagnoses do not automatically eliminate systemic participation; the treatment unit should be selected based on safety, goals, fit, and evidence.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answer translates an integrated formulation into sequenced priorities without prematurely choosing a detailed treatment model.</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Treatment priorities should follow the formulation: address what is dangerous or destabilizing, coordinate what is outside scope, preserve engagement, and select the treatment unit deliberately.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FORMULATE: name risk and medical factors, reciprocal cycle, context and strengths, likely priorities, coordination, treatment-unit conditions, and tracking plan.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17: Correct Answer A | CTA-LMFT-AMFTRB-WB04-Q17</w:t>
            </w:r>
          </w:p>
        </w:tc>
      </w:tr>
    </w:tbl>
    <w:p>
      <w:pPr>
        <w:keepNext/>
        <w:spacing w:before="100" w:after="60" w:line="240" w:lineRule="auto"/>
      </w:pPr>
      <w:r>
        <w:rPr>
          <w:rFonts w:ascii="Liberation Sans" w:hAnsi="Liberation Sans" w:eastAsia="Liberation Sans"/>
          <w:b/>
          <w:i w:val="0"/>
          <w:color w:val="18365B"/>
          <w:sz w:val="20"/>
        </w:rPr>
        <w:t>A client's self-report, partner report, and prior records conflict about memory problems and mood changes. Specialized neuropsychological testing may be useful, but the therapist is not trained to administer or interpret it, and the client is unsure what information may be shared. What should the therapist do NEXT?</w:t>
      </w:r>
    </w:p>
    <w:p>
      <w:pPr>
        <w:spacing w:before="0" w:after="40" w:line="240" w:lineRule="auto"/>
        <w:ind w:left="216" w:hanging="216"/>
      </w:pPr>
      <w:r>
        <w:rPr>
          <w:rFonts w:ascii="Liberation Sans" w:hAnsi="Liberation Sans" w:eastAsia="Liberation Sans"/>
          <w:b/>
          <w:i w:val="0"/>
          <w:color w:val="1A9A96"/>
          <w:sz w:val="18"/>
        </w:rPr>
        <w:t>A. Explain the uncertainty and purpose of further evaluation, clarify consent and information-sharing limits, consult or refer to a qualified evaluator with a focused question, preserve continuity, and document the conflicting data and rationale.</w:t>
      </w:r>
    </w:p>
    <w:p>
      <w:pPr>
        <w:spacing w:before="0" w:after="40" w:line="240" w:lineRule="auto"/>
        <w:ind w:left="216" w:hanging="216"/>
      </w:pPr>
      <w:r>
        <w:rPr>
          <w:rFonts w:ascii="Liberation Sans" w:hAnsi="Liberation Sans" w:eastAsia="Liberation Sans"/>
          <w:b/>
          <w:i w:val="0"/>
          <w:color w:val="1F2937"/>
          <w:sz w:val="18"/>
        </w:rPr>
        <w:t>B. Administer an online cognitive test and use the generated interpretation as the diagnosis because referral may delay treatment.</w:t>
      </w:r>
    </w:p>
    <w:p>
      <w:pPr>
        <w:spacing w:before="0" w:after="40" w:line="240" w:lineRule="auto"/>
        <w:ind w:left="216" w:hanging="216"/>
      </w:pPr>
      <w:r>
        <w:rPr>
          <w:rFonts w:ascii="Liberation Sans" w:hAnsi="Liberation Sans" w:eastAsia="Liberation Sans"/>
          <w:b/>
          <w:i w:val="0"/>
          <w:color w:val="1F2937"/>
          <w:sz w:val="18"/>
        </w:rPr>
        <w:t>C. Accept the partner's account as most accurate and document the client as lacking insight.</w:t>
      </w:r>
    </w:p>
    <w:p>
      <w:pPr>
        <w:spacing w:before="0" w:after="40" w:line="240" w:lineRule="auto"/>
        <w:ind w:left="216" w:hanging="216"/>
      </w:pPr>
      <w:r>
        <w:rPr>
          <w:rFonts w:ascii="Liberation Sans" w:hAnsi="Liberation Sans" w:eastAsia="Liberation Sans"/>
          <w:b/>
          <w:i w:val="0"/>
          <w:color w:val="1F2937"/>
          <w:sz w:val="18"/>
        </w:rPr>
        <w:t>D. Stop treatment until the client agrees to release all records and authorize unrestricted communication.</w:t>
      </w:r>
    </w:p>
    <w:tbl>
      <w:tblPr>
        <w:tblW w:type="auto" w:w="0"/>
        <w:jc w:val="center"/>
        <w:tblLayout w:type="fixed"/>
        <w:tblLook w:firstColumn="1" w:firstRow="1" w:lastColumn="0" w:lastRow="0" w:noHBand="0" w:noVBand="1" w:val="04A0"/>
      </w:tblPr>
      <w:tblGrid>
        <w:gridCol w:w="2376"/>
        <w:gridCol w:w="7992"/>
      </w:tblGrid>
      <w:tr>
        <w:trPr>
          <w:cantSplit/>
          <w:tblHeader w:val="true"/>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CTA-LMFT-AMFTRB-WB04-Q17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02.20-02.22 | D6 06.05, 06.12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WB4-LO4, WB4-LO8 | Conflicting data, competence, collaboration, referral, and documentation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TOOL / REFER / STATUS</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rPr>
          <w:tblHeader w:val="true"/>
        </w:trP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respects competence and client rights, converts uncertainty into a focused consultation or referral question, preserves continuity, and documents the decision process.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Using an unfamiliar or automated tool outside competence does not solve the assessment problem and may produce misleading conclusions.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Conflicting sources should be compared rather than converted into a credibility verdict without further evidence.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All-or-nothing release demands are unnecessary and may disrupt care; information sharing should be purposeful and appropriately limited.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data conflict and the next assessment exceeds competence, do not improvise. Clarify the decision, obtain appropriate authorization, consult or refer, and keep care connected.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REFER and STATUS: state the unresolved question, current certainty, competence limit, authorization, qualified resource, continuity plan, and documentation.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Final Remediation Plan</w:t>
            </w:r>
          </w:p>
        </w:tc>
      </w:tr>
    </w:tbl>
    <w:tbl>
      <w:tblPr>
        <w:tblW w:type="auto" w:w="0"/>
        <w:jc w:val="center"/>
        <w:tblLayout w:type="fixed"/>
        <w:tblLook w:firstColumn="1" w:firstRow="1" w:lastColumn="0" w:lastRow="0" w:noHBand="0" w:noVBand="1" w:val="04A0"/>
      </w:tblPr>
      <w:tblGrid>
        <w:gridCol w:w="1080"/>
        <w:gridCol w:w="3600"/>
        <w:gridCol w:w="5688"/>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Code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Meaning</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Repair Rule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CLOSURE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Reached a definitive diagnosis before timeline, threshold, exclusions, or competing explanations were adequately assessed.</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Write two plausible alternatives and the next fact needed to distinguish them.</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SINGLE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Allowed one dramatic symptom, one informant, or one score to control the conclusion.</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Rebuild the case using pattern, source, timeline, impairment, and cross-setting evidence.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TIME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Ignored onset, baseline, episode duration, remission, or relation to medication, substances, sleep, trauma, or life events.</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Create a chronology before comparing diagnostic options.</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THRESH</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Confused symptoms with a full disorder or overlooked severity, distress, duration, or functional impairment.</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State which threshold elements are supported, missing, or contradicted.</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EXCL</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Failed to evaluate medical, neurological, medication, substance, sleep, nutrition, or acute-change explanations.</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Name the exclusion and the evaluation or coordination step that addresses it.</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DIFF</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Selected the first plausible diagnosis without comparing mechanism, course, context, or comorbidity.</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Complete the DIFF grid for at least two competing explanations.</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STATUS</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Overstated or understated certainty or misused provisional, rule-out, other specified, unspecified, or deferred language.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Match diagnostic language to the available evidence and current stage.</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TOOL</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Used an instrument outside its purpose or limits, treated a score as diagnosis, or ignored culture, access, competence, or measurement error.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MEASURE and state what the result does and does not establish.</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SYSTEM</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Reduced the case to an individual label and omitted reciprocal patterns, context, strengths, treatment unit, or relational impact.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Add one relational cycle, one contextual influence, one strength, and one treatment-unit decision.</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REFER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Delayed consultation, medical/prescriber coordination, specialty evaluation, or higher-level assessment when it could change safety or diagnosis.</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State the referral question, urgency, authorization, continuity plan, and documentation.</w:t>
            </w:r>
          </w:p>
        </w:tc>
      </w:tr>
    </w:tbl>
    <w:p>
      <w:pPr>
        <w:pStyle w:val="Heading2"/>
      </w:pPr>
      <w:r>
        <w:rPr/>
        <w:t>My Workbook 4 Repair Plan</w:t>
      </w:r>
    </w:p>
    <w:tbl>
      <w:tblPr>
        <w:tblW w:type="auto" w:w="0"/>
        <w:jc w:val="center"/>
        <w:tblLayout w:type="fixed"/>
        <w:tblLook w:firstColumn="1" w:firstRow="1" w:lastColumn="0" w:lastRow="0" w:noHBand="0" w:noVBand="1" w:val="04A0"/>
      </w:tblPr>
      <w:tblGrid>
        <w:gridCol w:w="2088"/>
        <w:gridCol w:w="2952"/>
        <w:gridCol w:w="3240"/>
        <w:gridCol w:w="2088"/>
      </w:tblGrid>
      <w:tr>
        <w:trPr>
          <w:tblHeader w:val="true"/>
        </w:trPr>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Priority Skill</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Evidence from My Work</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Next Practice Action</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Date / Result</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READINESS GATE  Proceed when you can distinguish symptom, syndrome, diagnosis, contextual condition, and systemic hypothesis; use timeline, threshold, impairment, and exclusions; compare competing diagnoses; interpret instruments within limits; recognize medical or crisis routing needs; and write a concise systemic formulation with an appropriate consultation or referral plan.</w:t>
            </w:r>
          </w:p>
        </w:tc>
      </w:tr>
    </w:tbl>
    <w:p>
      <w:pPr>
        <w:pStyle w:val="Heading2"/>
      </w:pPr>
      <w:r>
        <w:t>Source and Integrity Notes</w:t>
      </w:r>
    </w:p>
    <w:p>
      <w:pPr>
        <w:pStyle w:val="ListBullet"/>
        <w:spacing w:before="0" w:after="0" w:line="240" w:lineRule="auto"/>
      </w:pPr>
      <w:r>
        <w:rPr>
          <w:sz w:val="16"/>
        </w:rPr>
        <w:t>Official examination sources: AMFTRB corrected 2026 Handbook for Candidates and Detailed Overview of the Examination, reviewed July 2026.</w:t>
      </w:r>
    </w:p>
    <w:p>
      <w:pPr>
        <w:pStyle w:val="ListBullet"/>
        <w:spacing w:before="0" w:after="0" w:line="240" w:lineRule="auto"/>
      </w:pPr>
      <w:r>
        <w:rPr>
          <w:sz w:val="16"/>
        </w:rPr>
        <w:t>Professional and CTA sources: AAMFT Code of Ethics (effective January 1, 2026); CTA Workbook 4 Content Map and Student Workbook, v1.0, July 2026.</w:t>
      </w:r>
    </w:p>
    <w:p>
      <w:pPr>
        <w:pStyle w:val="ListBullet"/>
        <w:spacing w:before="0" w:after="0" w:line="240" w:lineRule="auto"/>
      </w:pPr>
      <w:r>
        <w:rPr>
          <w:sz w:val="16"/>
        </w:rPr>
        <w:t>All 17 items are original CTA educational questions; no official AMFTRB or third-party sample question is reproduced.</w:t>
      </w:r>
    </w:p>
    <w:p>
      <w:pPr>
        <w:pStyle w:val="ListBullet"/>
        <w:spacing w:before="0" w:after="0" w:line="240" w:lineRule="auto"/>
      </w:pPr>
      <w:r>
        <w:rPr>
          <w:sz w:val="16"/>
        </w:rPr>
        <w:t>This resource supports readiness but does not guarantee passage, determine eligibility, or represent an official AMFTRB score.</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WB4 Rationales v1.0 | Page </w:t>
    </w:r>
    <w:r>
      <w:rPr>
        <w:rFonts w:ascii="Liberation Sans" w:hAnsi="Liberation Sans"/>
        <w:color w:val="667085"/>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br/>
            <w:t>Workbook 4 - Controlled Answer Key and Detailed Rationales</w:t>
          </w:r>
          <w:r/>
          <w:r>
            <w:rPr>
              <w:rFonts w:ascii="Liberation Sans" w:hAnsi="Liberation Sans" w:eastAsia="Liberation Sans"/>
              <w:b w:val="0"/>
              <w:i w:val="0"/>
              <w:color w:val="18365B"/>
              <w:sz w:val="16"/>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3 Answer Key and Detailed Rationales</dc:title>
  <dc:subject>Controlled rationale form for Therapeutic Alliance, Systemic Practice, and Self of the Therapist</dc:subject>
  <dc:creator>Clinical Training &amp; Supervision Academy</dc:creator>
  <cp:keywords>CTA, LMFT, AMFTRB, Workbook 3,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