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0"/>
        <w:jc w:val="center"/>
      </w:pPr>
      <w:r>
        <w:drawing>
          <wp:inline xmlns:a="http://schemas.openxmlformats.org/drawingml/2006/main" xmlns:pic="http://schemas.openxmlformats.org/drawingml/2006/picture">
            <wp:extent cx="4389120" cy="3018971"/>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1"/>
                    <a:stretch>
                      <a:fillRect/>
                    </a:stretch>
                  </pic:blipFill>
                  <pic:spPr>
                    <a:xfrm>
                      <a:off x="0" y="0"/>
                      <a:ext cx="4389120" cy="3018971"/>
                    </a:xfrm>
                    <a:prstGeom prst="rect"/>
                  </pic:spPr>
                </pic:pic>
              </a:graphicData>
            </a:graphic>
          </wp:inline>
        </w:drawing>
      </w:r>
    </w:p>
    <w:p>
      <w:pPr>
        <w:spacing w:after="60"/>
        <w:jc w:val="center"/>
      </w:pPr>
      <w:r>
        <w:rPr>
          <w:rFonts w:ascii="Calibri" w:hAnsi="Calibri"/>
          <w:b/>
          <w:color w:val="12385B"/>
          <w:sz w:val="34"/>
        </w:rPr>
        <w:t>CTA LMFT AMFTRB</w:t>
      </w:r>
    </w:p>
    <w:p>
      <w:pPr>
        <w:spacing w:after="280"/>
        <w:jc w:val="center"/>
      </w:pPr>
      <w:r>
        <w:rPr>
          <w:rFonts w:ascii="Calibri" w:hAnsi="Calibri"/>
          <w:b/>
          <w:color w:val="13A6A6"/>
          <w:sz w:val="21"/>
        </w:rPr>
        <w:t>NATIONAL EXAM PREPARATION PROGRAM</w:t>
      </w:r>
    </w:p>
    <w:p>
      <w:pPr>
        <w:spacing w:after="140"/>
        <w:jc w:val="center"/>
      </w:pPr>
      <w:r>
        <w:rPr>
          <w:rFonts w:ascii="Calibri" w:hAnsi="Calibri"/>
          <w:b/>
          <w:color w:val="9B1C1C"/>
          <w:sz w:val="20"/>
        </w:rPr>
        <w:t>CONTROLLED DOCUMENT</w:t>
      </w:r>
    </w:p>
    <w:p>
      <w:pPr>
        <w:pStyle w:val="Title"/>
        <w:jc w:val="center"/>
      </w:pPr>
      <w:r>
        <w:t>Answer Key and Detailed Rationales</w:t>
      </w:r>
    </w:p>
    <w:p>
      <w:pPr>
        <w:pStyle w:val="Subtitle"/>
        <w:jc w:val="center"/>
      </w:pPr>
      <w:r>
        <w:t>CTA LMFT AMFTRB Workbook 7</w:t>
      </w:r>
    </w:p>
    <w:p>
      <w:pPr>
        <w:spacing w:after="360"/>
        <w:jc w:val="center"/>
      </w:pPr>
      <w:r>
        <w:rPr>
          <w:rFonts w:ascii="Calibri" w:hAnsi="Calibri"/>
          <w:b/>
          <w:color w:val="12385B"/>
          <w:sz w:val="27"/>
        </w:rPr>
        <w:t>Couple, Family, Attachment, Structural, Strategic,</w:t>
        <w:br/>
        <w:t>and Intergenerational Interventions</w:t>
      </w:r>
    </w:p>
    <w:p>
      <w:pPr>
        <w:spacing w:after="100"/>
        <w:jc w:val="center"/>
      </w:pPr>
      <w:r>
        <w:rPr>
          <w:rFonts w:ascii="Calibri" w:hAnsi="Calibri"/>
          <w:color w:val="5A6872"/>
          <w:sz w:val="20"/>
        </w:rPr>
        <w:t>Version 1.0 - August 2026</w:t>
      </w:r>
    </w:p>
    <w:p>
      <w:pPr>
        <w:jc w:val="center"/>
      </w:pPr>
      <w:r>
        <w:rPr>
          <w:rFonts w:ascii="Calibri" w:hAnsi="Calibri"/>
          <w:b/>
          <w:color w:val="12385B"/>
          <w:sz w:val="21"/>
        </w:rPr>
        <w:t>Clinical Training &amp; Supervision Academy</w:t>
      </w:r>
    </w:p>
    <w:p>
      <w:pPr>
        <w:pStyle w:val="Heading1"/>
        <w:pageBreakBefore/>
      </w:pPr>
      <w:r>
        <w:t>Scoring and Use Instructions</w:t>
      </w:r>
    </w:p>
    <w:p>
      <w:pPr>
        <w:numPr>
          <w:ilvl w:val="0"/>
          <w:numId w:val="10"/>
        </w:numPr>
        <w:spacing w:after="80" w:line="300" w:lineRule="auto"/>
        <w:ind w:left="540" w:hanging="271"/>
      </w:pPr>
      <w:r>
        <w:rPr>
          <w:rFonts w:ascii="Calibri" w:hAnsi="Calibri"/>
          <w:color w:val="1E2D38"/>
          <w:sz w:val="22"/>
        </w:rPr>
        <w:t>Score the first attempt using the compact key. Preserve the learner's original answers, confidence ratings, and time used.</w:t>
      </w:r>
    </w:p>
    <w:p>
      <w:pPr>
        <w:numPr>
          <w:ilvl w:val="0"/>
          <w:numId w:val="10"/>
        </w:numPr>
        <w:spacing w:after="80" w:line="300" w:lineRule="auto"/>
        <w:ind w:left="540" w:hanging="271"/>
      </w:pPr>
      <w:r>
        <w:rPr>
          <w:rFonts w:ascii="Calibri" w:hAnsi="Calibri"/>
          <w:color w:val="1E2D38"/>
          <w:sz w:val="22"/>
        </w:rPr>
        <w:t>Review every incorrect answer and every correct answer marked confidence 1 or 2. Read all four option rationales before writing a transfer rule.</w:t>
      </w:r>
    </w:p>
    <w:p>
      <w:pPr>
        <w:numPr>
          <w:ilvl w:val="0"/>
          <w:numId w:val="10"/>
        </w:numPr>
        <w:spacing w:after="80" w:line="300" w:lineRule="auto"/>
        <w:ind w:left="540" w:hanging="271"/>
      </w:pPr>
      <w:r>
        <w:rPr>
          <w:rFonts w:ascii="Calibri" w:hAnsi="Calibri"/>
          <w:color w:val="1E2D38"/>
          <w:sz w:val="22"/>
        </w:rPr>
        <w:t>Assign the controlled remediation code and examine whether another recurring reasoning pattern also contributed.</w:t>
      </w:r>
    </w:p>
    <w:p>
      <w:pPr>
        <w:numPr>
          <w:ilvl w:val="0"/>
          <w:numId w:val="10"/>
        </w:numPr>
        <w:spacing w:after="80" w:line="300" w:lineRule="auto"/>
        <w:ind w:left="540" w:hanging="271"/>
      </w:pPr>
      <w:r>
        <w:rPr>
          <w:rFonts w:ascii="Calibri" w:hAnsi="Calibri"/>
          <w:color w:val="1E2D38"/>
          <w:sz w:val="22"/>
        </w:rPr>
        <w:t>Return to the named objective and chapter/tool, complete the remediation plan, and retake only after the learner can explain the decision point and competing-option defects.</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CONTROLLED USE:  </w:t>
            </w:r>
            <w:r>
              <w:rPr>
                <w:rFonts w:ascii="Calibri" w:hAnsi="Calibri"/>
                <w:color w:val="1E2D38"/>
                <w:sz w:val="20"/>
              </w:rPr>
              <w:t>Release only after the candidate completes and records the first timed attempt. Keep this file separate from the learner-facing candidate bank.</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CURRENCY CONTROL:  </w:t>
            </w:r>
            <w:r>
              <w:rPr>
                <w:rFonts w:ascii="Calibri" w:hAnsi="Calibri"/>
                <w:color w:val="1E2D38"/>
                <w:sz w:val="20"/>
              </w:rPr>
              <w:t>Clinical reasoning in this file does not replace current law, regulation, ethics, board guidance, organizational policy, or individualized consultation. Jurisdiction-dependent requirements must be verified before practice application.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PROGRAM DESIGNATION:  </w:t>
            </w:r>
            <w:r>
              <w:rPr>
                <w:rFonts w:ascii="Calibri" w:hAnsi="Calibri"/>
                <w:color w:val="1E2D38"/>
                <w:sz w:val="20"/>
              </w:rPr>
              <w:t>Editable Word document | Original CTA exam preparation | No CE credit | Participation does not guarantee examination passage.</w:t>
            </w:r>
          </w:p>
        </w:tc>
      </w:tr>
    </w:tbl>
    <w:p>
      <w:pPr>
        <w:spacing w:after="20"/>
      </w:pPr>
    </w:p>
    <w:p>
      <w:pPr>
        <w:pStyle w:val="Heading2"/>
      </w:pPr>
      <w:r>
        <w:t>Compact Answer Key</w:t>
      </w:r>
    </w:p>
    <w:tbl>
      <w:tblPr>
        <w:tblW w:type="dxa" w:w="9360"/>
        <w:jc w:val="center"/>
        <w:tblLayout w:type="fixed"/>
        <w:tblLook w:firstColumn="1" w:firstRow="1" w:lastColumn="0" w:lastRow="0" w:noHBand="0" w:noVBand="1" w:val="04A0"/>
        <w:tblInd w:w="120" w:type="dxa"/>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rPr>
          <w:tblHeader w:val="true"/>
          <w:cantSplit/>
        </w:trPr>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2</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3</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4</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5</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6</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7</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8</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9</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10</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11</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12</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13</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14</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15</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16</w:t>
            </w:r>
          </w:p>
        </w:tc>
        <w:tc>
          <w:tcPr>
            <w:tcW w:type="dxa" w:w="520"/>
            <w:shd w:fill="12385B"/>
            <w:tcMar>
              <w:top w:w="80" w:type="dxa"/>
              <w:start w:w="120" w:type="dxa"/>
              <w:bottom w:w="80" w:type="dxa"/>
              <w:end w:w="120" w:type="dxa"/>
            </w:tcMar>
            <w:vAlign w:val="center"/>
          </w:tcPr>
          <w:p>
            <w:pPr>
              <w:spacing w:after="0"/>
              <w:jc w:val="center"/>
            </w:pPr>
            <w:r/>
            <w:r>
              <w:rPr>
                <w:rFonts w:ascii="Calibri" w:hAnsi="Calibri"/>
                <w:b/>
                <w:color w:val="FFFFFF"/>
                <w:sz w:val="18"/>
              </w:rPr>
              <w:t>17</w:t>
            </w:r>
          </w:p>
        </w:tc>
      </w:tr>
      <w:tr>
        <w:trPr>
          <w:cantSplit/>
        </w:trPr>
        <w:tc>
          <w:tcPr>
            <w:tcW w:type="dxa" w:w="520"/>
            <w:tcMar>
              <w:top w:w="80" w:type="dxa"/>
              <w:start w:w="120" w:type="dxa"/>
              <w:bottom w:w="80" w:type="dxa"/>
              <w:end w:w="120" w:type="dxa"/>
            </w:tcMar>
            <w:vAlign w:val="center"/>
          </w:tcPr>
          <w:p>
            <w:pPr>
              <w:spacing w:after="0" w:line="259" w:lineRule="auto"/>
              <w:jc w:val="center"/>
            </w:pPr>
            <w:r/>
            <w:r>
              <w:rPr>
                <w:rFonts w:ascii="Calibri" w:hAnsi="Calibri"/>
                <w:color w:val="1E2D38"/>
                <w:sz w:val="15"/>
              </w:rPr>
              <w:t>Key</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20"/>
            <w:tcMar>
              <w:top w:w="80" w:type="dxa"/>
              <w:start w:w="120" w:type="dxa"/>
              <w:bottom w:w="80" w:type="dxa"/>
              <w:end w:w="120" w:type="dxa"/>
            </w:tcMar>
            <w:vAlign w:val="center"/>
          </w:tcPr>
          <w:p>
            <w:pPr>
              <w:spacing w:after="0" w:line="259" w:lineRule="auto"/>
            </w:pPr>
            <w:r/>
            <w:r>
              <w:rPr>
                <w:rFonts w:ascii="Calibri" w:hAnsi="Calibri"/>
                <w:color w:val="1E2D38"/>
                <w:sz w:val="15"/>
              </w:rPr>
              <w:t>A</w:t>
            </w:r>
          </w:p>
        </w:tc>
      </w:tr>
      <w:tr>
        <w:trPr>
          <w:cantSplit/>
        </w:trPr>
        <w:tc>
          <w:tcPr>
            <w:tcW w:type="dxa" w:w="5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5"/>
              </w:rPr>
              <w:t>Code</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2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r>
    </w:tbl>
    <w:p>
      <w:pPr>
        <w:spacing w:after="20"/>
      </w:pPr>
    </w:p>
    <w:p>
      <w:pPr>
        <w:pStyle w:val="Heading2"/>
        <w:pageBreakBefore/>
      </w:pPr>
      <w:r>
        <w:t>Blueprint Synchronization Audit</w:t>
      </w:r>
    </w:p>
    <w:tbl>
      <w:tblPr>
        <w:tblW w:type="dxa" w:w="9360"/>
        <w:jc w:val="center"/>
        <w:tblLayout w:type="fixed"/>
        <w:tblLook w:firstColumn="1" w:firstRow="1" w:lastColumn="0" w:lastRow="0" w:noHBand="0" w:noVBand="1" w:val="04A0"/>
        <w:tblInd w:w="120" w:type="dxa"/>
      </w:tblPr>
      <w:tblGrid>
        <w:gridCol w:w="1600"/>
        <w:gridCol w:w="2900"/>
        <w:gridCol w:w="3240"/>
        <w:gridCol w:w="1620"/>
      </w:tblGrid>
      <w:tr>
        <w:trPr>
          <w:tblHeader w:val="true"/>
          <w:cantSplit/>
        </w:trPr>
        <w:tc>
          <w:tcPr>
            <w:tcW w:type="dxa" w:w="1600"/>
            <w:shd w:fill="12385B"/>
            <w:tcMar>
              <w:top w:w="80" w:type="dxa"/>
              <w:start w:w="120" w:type="dxa"/>
              <w:bottom w:w="80" w:type="dxa"/>
              <w:end w:w="120" w:type="dxa"/>
            </w:tcMar>
            <w:vAlign w:val="center"/>
          </w:tcPr>
          <w:p>
            <w:pPr>
              <w:spacing w:after="0"/>
              <w:jc w:val="center"/>
            </w:pPr>
            <w:r/>
            <w:r>
              <w:rPr>
                <w:rFonts w:ascii="Calibri" w:hAnsi="Calibri"/>
                <w:b/>
                <w:color w:val="FFFFFF"/>
                <w:sz w:val="18"/>
              </w:rPr>
              <w:t>Dimension</w:t>
            </w:r>
          </w:p>
        </w:tc>
        <w:tc>
          <w:tcPr>
            <w:tcW w:type="dxa" w:w="2900"/>
            <w:shd w:fill="12385B"/>
            <w:tcMar>
              <w:top w:w="80" w:type="dxa"/>
              <w:start w:w="120" w:type="dxa"/>
              <w:bottom w:w="80" w:type="dxa"/>
              <w:end w:w="120" w:type="dxa"/>
            </w:tcMar>
            <w:vAlign w:val="center"/>
          </w:tcPr>
          <w:p>
            <w:pPr>
              <w:spacing w:after="0"/>
              <w:jc w:val="center"/>
            </w:pPr>
            <w:r/>
            <w:r>
              <w:rPr>
                <w:rFonts w:ascii="Calibri" w:hAnsi="Calibri"/>
                <w:b/>
                <w:color w:val="FFFFFF"/>
                <w:sz w:val="18"/>
              </w:rPr>
              <w:t>Required</w:t>
            </w:r>
          </w:p>
        </w:tc>
        <w:tc>
          <w:tcPr>
            <w:tcW w:type="dxa" w:w="3240"/>
            <w:shd w:fill="12385B"/>
            <w:tcMar>
              <w:top w:w="80" w:type="dxa"/>
              <w:start w:w="120" w:type="dxa"/>
              <w:bottom w:w="80" w:type="dxa"/>
              <w:end w:w="120" w:type="dxa"/>
            </w:tcMar>
            <w:vAlign w:val="center"/>
          </w:tcPr>
          <w:p>
            <w:pPr>
              <w:spacing w:after="0"/>
              <w:jc w:val="left"/>
            </w:pPr>
            <w:r/>
            <w:r>
              <w:rPr>
                <w:rFonts w:ascii="Calibri" w:hAnsi="Calibri"/>
                <w:b/>
                <w:color w:val="FFFFFF"/>
                <w:sz w:val="18"/>
              </w:rPr>
              <w:t>Controlled result</w:t>
            </w:r>
          </w:p>
        </w:tc>
        <w:tc>
          <w:tcPr>
            <w:tcW w:type="dxa" w:w="1620"/>
            <w:shd w:fill="12385B"/>
            <w:tcMar>
              <w:top w:w="80" w:type="dxa"/>
              <w:start w:w="120" w:type="dxa"/>
              <w:bottom w:w="80" w:type="dxa"/>
              <w:end w:w="120" w:type="dxa"/>
            </w:tcMar>
            <w:vAlign w:val="center"/>
          </w:tcPr>
          <w:p>
            <w:pPr>
              <w:spacing w:after="0"/>
              <w:jc w:val="center"/>
            </w:pPr>
            <w:r/>
            <w:r>
              <w:rPr>
                <w:rFonts w:ascii="Calibri" w:hAnsi="Calibri"/>
                <w:b/>
                <w:color w:val="FFFFFF"/>
                <w:sz w:val="18"/>
              </w:rPr>
              <w:t>Status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7"/>
              </w:rPr>
              <w:t>Total</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17</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17</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7"/>
              </w:rPr>
              <w:t>Difficulty</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7"/>
              </w:rPr>
              <w:t>E=5; M=7; D=5</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7"/>
              </w:rPr>
              <w:t>E=5; M=7; D=5</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7"/>
              </w:rPr>
              <w:t>Type</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K=3; A=5; S=6; I=3</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K=3; A=5; S=6; I=3</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7"/>
              </w:rPr>
              <w:t>Primary domain</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7"/>
              </w:rPr>
              <w:t>D1=3; D3=11; D4=1; D5=1; D6=1</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7"/>
              </w:rPr>
              <w:t>D1=3; D3=11; D4=1; D5=1; D6=1</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tcPr>
          <w:p>
            <w:pPr>
              <w:spacing w:after="0" w:line="259" w:lineRule="auto"/>
            </w:pPr>
            <w:r/>
            <w:r>
              <w:rPr>
                <w:rFonts w:ascii="Calibri" w:hAnsi="Calibri"/>
                <w:color w:val="1E2D38"/>
                <w:sz w:val="17"/>
              </w:rPr>
              <w:t>Key position</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A=5; B=4; C=4; D=4</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A=5; B=4; C=4; D=4</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bl>
    <w:p>
      <w:pPr>
        <w:spacing w:after="20"/>
      </w:pPr>
    </w:p>
    <w:p>
      <w:pPr>
        <w:pStyle w:val="Heading1"/>
      </w:pPr>
      <w:r>
        <w:t>Item 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seeks help for escalating anxiety. The client repeatedly asks a partner for reassurance; the partner provides lengthy reassurance; relief lasts briefly; and the client soon asks again. Which statement BEST identifies a systemic treatment target?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The reciprocal reassurance-relief-reassurance sequence and the conditions that keep it operating.</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The client's anxiety alone, because symptoms belong only to the person who reports them.</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The partner's failure to give sufficiently convincing reassurance.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The couple's family histories before any current interaction is assessed.</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vignette describes a reciprocal interaction in which reassurance temporarily lowers distress and then helps restart the same sequence. Option A identifies both the systemic treatment target and the conditions maintaining it, allowing the therapist to retain the client's anxiety while also treating the relational feedback loop.</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names an observable reciprocal sequence, includes both partners' responses, and focuses on the mechanism that can be tested and changed.</w:t>
      </w:r>
    </w:p>
    <w:p>
      <w:pPr>
        <w:keepLines/>
        <w:spacing w:after="100" w:line="283" w:lineRule="auto"/>
      </w:pPr>
      <w:r>
        <w:rPr>
          <w:rFonts w:ascii="Calibri" w:hAnsi="Calibri"/>
          <w:b/>
          <w:color w:val="12385B"/>
          <w:sz w:val="21"/>
        </w:rPr>
        <w:t xml:space="preserve">B: </w:t>
      </w:r>
      <w:r>
        <w:rPr>
          <w:rFonts w:ascii="Calibri" w:hAnsi="Calibri"/>
          <w:color w:val="1E2D38"/>
          <w:sz w:val="21"/>
        </w:rPr>
        <w:t>Treatment-unit mismatch. Individual anxiety remains clinically important, but assigning the symptom only to the identified client ignores the recurring partner response that maintains the presenting pattern.</w:t>
      </w:r>
    </w:p>
    <w:p>
      <w:pPr>
        <w:keepLines/>
        <w:spacing w:after="100" w:line="283" w:lineRule="auto"/>
      </w:pPr>
      <w:r>
        <w:rPr>
          <w:rFonts w:ascii="Calibri" w:hAnsi="Calibri"/>
          <w:b/>
          <w:color w:val="12385B"/>
          <w:sz w:val="21"/>
        </w:rPr>
        <w:t xml:space="preserve">C: </w:t>
      </w:r>
      <w:r>
        <w:rPr>
          <w:rFonts w:ascii="Calibri" w:hAnsi="Calibri"/>
          <w:color w:val="1E2D38"/>
          <w:sz w:val="21"/>
        </w:rPr>
        <w:t>Linear and unsupported. The issue is not the persuasive quality of reassurance; repeated reassurance is already producing only short-lived relief and reinforcing the loop.</w:t>
      </w:r>
    </w:p>
    <w:p>
      <w:pPr>
        <w:keepLines/>
        <w:spacing w:after="100" w:line="283" w:lineRule="auto"/>
      </w:pPr>
      <w:r>
        <w:rPr>
          <w:rFonts w:ascii="Calibri" w:hAnsi="Calibri"/>
          <w:b/>
          <w:color w:val="12385B"/>
          <w:sz w:val="21"/>
        </w:rPr>
        <w:t xml:space="preserve">D: </w:t>
      </w:r>
      <w:r>
        <w:rPr>
          <w:rFonts w:ascii="Calibri" w:hAnsi="Calibri"/>
          <w:color w:val="1E2D38"/>
          <w:sz w:val="21"/>
        </w:rPr>
        <w:t>Premature. Family history may later deepen formulation, but the current maintaining sequence is already visible and should be clarified before historical exploration controls treatment.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stem gives a repeating interaction, select the option that names the full feedback loop rather than locating the problem inside one person.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Clarify the treatment unit and describe cue, response, impact, and reinforcing feedback before selecting a technique.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Identify treatment unit and systemic target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FIT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writes, “The spouse's withdrawal causes the client to criticize.” Which revision BEST expresses a circular systemic hypothesis?</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The spouse withdraws because the client has a critical personality.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 criticism increases, withdrawal increases; the resulting distance heightens alarm and further criticism, reinforcing both responses.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The relationship will improve after the therapist determines which partner began the pattern.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Both partners are equally responsible for every behavior in the relationship.</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replaces a one-way causal claim with a circular, observable formulation: criticism and withdrawal amplify one another through increasing distance and alarm. It does not require the therapist to decide who started the pattern or to assign equal responsibility.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Still linear. It attributes withdrawal to a fixed characteristic in the other partner and does not explain reciprocal maintenance.</w:t>
      </w:r>
    </w:p>
    <w:p>
      <w:pPr>
        <w:keepLines/>
        <w:spacing w:after="100" w:line="283" w:lineRule="auto"/>
      </w:pPr>
      <w:r>
        <w:rPr>
          <w:rFonts w:ascii="Calibri" w:hAnsi="Calibri"/>
          <w:b/>
          <w:color w:val="1F3A5F"/>
          <w:sz w:val="21"/>
        </w:rPr>
        <w:t xml:space="preserve">B: </w:t>
      </w:r>
      <w:r>
        <w:rPr>
          <w:rFonts w:ascii="Calibri" w:hAnsi="Calibri"/>
          <w:color w:val="1E2D38"/>
          <w:sz w:val="21"/>
        </w:rPr>
        <w:t>Correct. It describes how each response becomes context for the next and states the feedback that strengthens both reactions.</w:t>
      </w:r>
    </w:p>
    <w:p>
      <w:pPr>
        <w:keepLines/>
        <w:spacing w:after="100" w:line="283" w:lineRule="auto"/>
      </w:pPr>
      <w:r>
        <w:rPr>
          <w:rFonts w:ascii="Calibri" w:hAnsi="Calibri"/>
          <w:b/>
          <w:color w:val="12385B"/>
          <w:sz w:val="21"/>
        </w:rPr>
        <w:t xml:space="preserve">C: </w:t>
      </w:r>
      <w:r>
        <w:rPr>
          <w:rFonts w:ascii="Calibri" w:hAnsi="Calibri"/>
          <w:color w:val="1E2D38"/>
          <w:sz w:val="21"/>
        </w:rPr>
        <w:t>Not clinically useful. Determining who began the sequence does not explain how it currently continues or identify a shared change point.</w:t>
      </w:r>
    </w:p>
    <w:p>
      <w:pPr>
        <w:keepLines/>
        <w:spacing w:after="100" w:line="283" w:lineRule="auto"/>
      </w:pPr>
      <w:r>
        <w:rPr>
          <w:rFonts w:ascii="Calibri" w:hAnsi="Calibri"/>
          <w:b/>
          <w:color w:val="12385B"/>
          <w:sz w:val="21"/>
        </w:rPr>
        <w:t xml:space="preserve">D: </w:t>
      </w:r>
      <w:r>
        <w:rPr>
          <w:rFonts w:ascii="Calibri" w:hAnsi="Calibri"/>
          <w:color w:val="1E2D38"/>
          <w:sz w:val="21"/>
        </w:rPr>
        <w:t>False equivalence. Circularity does not mean every action has identical impact, power, or responsibility.</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 systemic hypothesis uses interactional verbs and feedback, not personality blame, first-cause searching, or automatic equal-responsibility language.</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Rewrite linear claims as observable reciprocal sequences while preserving differences in impact and accountability.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Circular sequence versus linear blame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FIT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a family with an adult son, the parents repeatedly complete tasks he misses, then criticize him for being dependent. He promises to change, misses another task, and the cycle repeats. The working hypothesis is that rescue and criticism together maintain dependency and resentment. Which intervention BEST follows from this hypothesis?</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Explore the son's earliest childhood memory before discussing the current sequence.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the parents to provide more reminders so the son cannot overlook a task.</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Collaboratively define one responsibility the son will manage, specify how the parents will refrain from rescuing, and review the system's response.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Tell the son that treatment cannot continue until he becomes fully independent.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working hypothesis identifies rescue and criticism as maintaining dependency and resentment. Option C directly tests that mechanism by changing one responsibility and the parents' rescue response, while defining an observable system response for review.</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Technique-before-formulation. Historical exploration could eventually be relevant, but it does not test the stated current mechanism.</w:t>
      </w:r>
    </w:p>
    <w:p>
      <w:pPr>
        <w:keepLines/>
        <w:spacing w:after="100" w:line="283" w:lineRule="auto"/>
      </w:pPr>
      <w:r>
        <w:rPr>
          <w:rFonts w:ascii="Calibri" w:hAnsi="Calibri"/>
          <w:b/>
          <w:color w:val="12385B"/>
          <w:sz w:val="21"/>
        </w:rPr>
        <w:t xml:space="preserve">B: </w:t>
      </w:r>
      <w:r>
        <w:rPr>
          <w:rFonts w:ascii="Calibri" w:hAnsi="Calibri"/>
          <w:color w:val="1E2D38"/>
          <w:sz w:val="21"/>
        </w:rPr>
        <w:t>Contradicts the hypothesis. More reminders extend parental overfunctioning and may preserve the same dependency sequence.</w:t>
      </w:r>
    </w:p>
    <w:p>
      <w:pPr>
        <w:keepLines/>
        <w:spacing w:after="100" w:line="283" w:lineRule="auto"/>
      </w:pPr>
      <w:r>
        <w:rPr>
          <w:rFonts w:ascii="Calibri" w:hAnsi="Calibri"/>
          <w:b/>
          <w:color w:val="1F3A5F"/>
          <w:sz w:val="21"/>
        </w:rPr>
        <w:t xml:space="preserve">C: </w:t>
      </w:r>
      <w:r>
        <w:rPr>
          <w:rFonts w:ascii="Calibri" w:hAnsi="Calibri"/>
          <w:color w:val="1E2D38"/>
          <w:sz w:val="21"/>
        </w:rPr>
        <w:t>Correct. It changes the hypothesized maintaining behavior collaboratively and creates a specific response to observe.</w:t>
      </w:r>
    </w:p>
    <w:p>
      <w:pPr>
        <w:keepLines/>
        <w:spacing w:after="100" w:line="283" w:lineRule="auto"/>
      </w:pPr>
      <w:r>
        <w:rPr>
          <w:rFonts w:ascii="Calibri" w:hAnsi="Calibri"/>
          <w:b/>
          <w:color w:val="12385B"/>
          <w:sz w:val="21"/>
        </w:rPr>
        <w:t xml:space="preserve">D: </w:t>
      </w:r>
      <w:r>
        <w:rPr>
          <w:rFonts w:ascii="Calibri" w:hAnsi="Calibri"/>
          <w:color w:val="1E2D38"/>
          <w:sz w:val="21"/>
        </w:rPr>
        <w:t>Overly coercive and all-or-nothing. It replaces collaborative treatment with a condition unrelated to the next testable step.</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the stem supplies a working hypothesis, choose the intervention that directly changes or tests that hypothesis.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Link intervention to mechanism: name what will change, who will do it, and what response will confirm or revise the formulation.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Select intervention from working hypothesis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FIT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During family therapy, an adult daughter describes a parent's repeated financial control. The parent says the daughter is “ungrateful,” and another family member asks the therapist to remain neutral. Which response BEST demonstrates multipartial alliance without false equivalence?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Avoid discussing control so every family member experiences the therapist as supportive.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State that each participant must be equally responsible because all family problems are systemic.</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Align with the daughter and end all engagement with the parent.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Maintain engagement with each person while naming the reported behavior and its impact, assessing safety and choice, and avoiding equal assignment of responsibility without evidence.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Multipartiality requires meaningful engagement with each participant without treating all behavior as equivalent. Option D preserves alliance, names the reported control and impact, assesses safety and choice, and avoids assigning equal responsibility without evidence.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Avoidant neutrality. Silence about control may protect the therapist's comfort while leaving harmful power unexamined.</w:t>
      </w:r>
    </w:p>
    <w:p>
      <w:pPr>
        <w:keepLines/>
        <w:spacing w:after="100" w:line="283" w:lineRule="auto"/>
      </w:pPr>
      <w:r>
        <w:rPr>
          <w:rFonts w:ascii="Calibri" w:hAnsi="Calibri"/>
          <w:b/>
          <w:color w:val="12385B"/>
          <w:sz w:val="21"/>
        </w:rPr>
        <w:t xml:space="preserve">B: </w:t>
      </w:r>
      <w:r>
        <w:rPr>
          <w:rFonts w:ascii="Calibri" w:hAnsi="Calibri"/>
          <w:color w:val="1E2D38"/>
          <w:sz w:val="21"/>
        </w:rPr>
        <w:t>False equivalence. A systemic frame does not require equal responsibility for conduct, impact, or risk.</w:t>
      </w:r>
    </w:p>
    <w:p>
      <w:pPr>
        <w:keepLines/>
        <w:spacing w:after="100" w:line="283" w:lineRule="auto"/>
      </w:pPr>
      <w:r>
        <w:rPr>
          <w:rFonts w:ascii="Calibri" w:hAnsi="Calibri"/>
          <w:b/>
          <w:color w:val="12385B"/>
          <w:sz w:val="21"/>
        </w:rPr>
        <w:t xml:space="preserve">C: </w:t>
      </w:r>
      <w:r>
        <w:rPr>
          <w:rFonts w:ascii="Calibri" w:hAnsi="Calibri"/>
          <w:color w:val="1E2D38"/>
          <w:sz w:val="21"/>
        </w:rPr>
        <w:t>Polarizing. Ending all engagement with the parent prevents assessment, accountability, and a workable multipartial stance unless safety or role limits require a different format.</w:t>
      </w:r>
    </w:p>
    <w:p>
      <w:pPr>
        <w:keepLines/>
        <w:spacing w:after="100" w:line="283" w:lineRule="auto"/>
      </w:pPr>
      <w:r>
        <w:rPr>
          <w:rFonts w:ascii="Calibri" w:hAnsi="Calibri"/>
          <w:b/>
          <w:color w:val="1F3A5F"/>
          <w:sz w:val="21"/>
        </w:rPr>
        <w:t xml:space="preserve">D: </w:t>
      </w:r>
      <w:r>
        <w:rPr>
          <w:rFonts w:ascii="Calibri" w:hAnsi="Calibri"/>
          <w:color w:val="1E2D38"/>
          <w:sz w:val="21"/>
        </w:rPr>
        <w:t>Correct. It balances engagement with accurate naming, safety assessment, autonomy, and evidence-based accountability.</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Do not confuse multipartiality with silence, equal blame, or automatic alignment against one participant.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Join each person while naming behavior, impact, power, and responsibility accurately and reassessing safety.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Multipartial alliance without false equivalence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JOIN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a conjoint session, one partner privately reports that the other has threatened serious harm, keeps an accessible firearm, and punishes disagreement after sessions. The reporting partner asks the therapist not to mention the disclosure in the next meeting.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Conduct a private, behaviorally specific assessment of danger, coercion, retaliation risk, voluntariness, and safe response options before deciding whether conjoint work can continue.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Open the next conjoint session by asking the threatening partner to respond to the allegations.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Proceed with the planned mutual-disclosure exercise to improve honesty.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Promise that the information will never affect treatment because it was disclosed privately.</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serious threat, firearm access, and post-session retaliation make the treatment format itself a safety decision. Option A first gathers private, behaviorally specific information about danger, coercion, voluntariness, and safe options before any conjoint disclosure or technique is attempted.</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prioritizes private assessment and collaborative safety planning before deciding whether conjoint treatment remains appropriate.</w:t>
      </w:r>
    </w:p>
    <w:p>
      <w:pPr>
        <w:keepLines/>
        <w:spacing w:after="100" w:line="283" w:lineRule="auto"/>
      </w:pPr>
      <w:r>
        <w:rPr>
          <w:rFonts w:ascii="Calibri" w:hAnsi="Calibri"/>
          <w:b/>
          <w:color w:val="9B1C1C"/>
          <w:sz w:val="21"/>
        </w:rPr>
        <w:t xml:space="preserve">B: </w:t>
      </w:r>
      <w:r>
        <w:rPr>
          <w:rFonts w:ascii="Calibri" w:hAnsi="Calibri"/>
          <w:color w:val="1E2D38"/>
          <w:sz w:val="21"/>
        </w:rPr>
        <w:t>Unsafe disclosure. Raising the allegation conjointly could reveal help-seeking and increase danger or retaliation.</w:t>
      </w:r>
    </w:p>
    <w:p>
      <w:pPr>
        <w:keepLines/>
        <w:spacing w:after="100" w:line="283" w:lineRule="auto"/>
      </w:pPr>
      <w:r>
        <w:rPr>
          <w:rFonts w:ascii="Calibri" w:hAnsi="Calibri"/>
          <w:b/>
          <w:color w:val="12385B"/>
          <w:sz w:val="21"/>
        </w:rPr>
        <w:t xml:space="preserve">C: </w:t>
      </w:r>
      <w:r>
        <w:rPr>
          <w:rFonts w:ascii="Calibri" w:hAnsi="Calibri"/>
          <w:color w:val="1E2D38"/>
          <w:sz w:val="21"/>
        </w:rPr>
        <w:t>Contraindicated at this decision point. A mutual-disclosure exercise assumes safety and voluntariness that have not been established.</w:t>
      </w:r>
    </w:p>
    <w:p>
      <w:pPr>
        <w:keepLines/>
        <w:spacing w:after="100" w:line="283" w:lineRule="auto"/>
      </w:pPr>
      <w:r>
        <w:rPr>
          <w:rFonts w:ascii="Calibri" w:hAnsi="Calibri"/>
          <w:b/>
          <w:color w:val="12385B"/>
          <w:sz w:val="21"/>
        </w:rPr>
        <w:t xml:space="preserve">D: </w:t>
      </w:r>
      <w:r>
        <w:rPr>
          <w:rFonts w:ascii="Calibri" w:hAnsi="Calibri"/>
          <w:color w:val="1E2D38"/>
          <w:sz w:val="21"/>
        </w:rPr>
        <w:t>Improper promise. The therapist cannot guarantee that serious safety information will never affect treatment, and such a promise could block necessary action.</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coercion, weapons, threats, or retaliation appear, pause routine couple work and assess privately before disclosure or confrontation.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Treat conjoint format, communication method, and information handling as safety variables; assess first and apply current law, ethics, policy, and consultation.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Coercion/violence override to conjoint work</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 and 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JOIN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Confidentiality, disclosure, protection, documentation, emergency response, and treatment-format duties vary by jurisdiction and setting. Apply current law, board guidance, organizational policy, informed-consent terms, and qualified consultation.</w:t>
            </w:r>
          </w:p>
        </w:tc>
      </w:tr>
    </w:tbl>
    <w:p>
      <w:pPr>
        <w:spacing w:after="20"/>
      </w:pPr>
    </w:p>
    <w:p>
      <w:pPr>
        <w:pStyle w:val="Heading1"/>
      </w:pPr>
      <w:r>
        <w:t>Item 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attachment-informed couple treatment, what is the therapist's FIRST task when partners are caught in a stable pursue-withdraw cycle and neither is in immediate danger?</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each partner to disclose the most painful event in the relationship.</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Identify and externalize the reciprocal cycle so the pattern, rather than either partner, becomes the shared problem.</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Assign a strategic directive designed to intensify the disagreement.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Determine which partner's attachment style caused the cycle.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In an established pursue-withdraw cycle without immediate danger, the first attachment-informed task is to identify and externalize the cycle. Option B creates a shared process target and reduces blame before deeper vulnerability or corrective engagement is attempted.</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Premature. Asking for the most painful disclosure can intensify emotion before the cycle is mapped and sufficient safety and regulation are present.</w:t>
      </w:r>
    </w:p>
    <w:p>
      <w:pPr>
        <w:keepLines/>
        <w:spacing w:after="100" w:line="283" w:lineRule="auto"/>
      </w:pPr>
      <w:r>
        <w:rPr>
          <w:rFonts w:ascii="Calibri" w:hAnsi="Calibri"/>
          <w:b/>
          <w:color w:val="1F3A5F"/>
          <w:sz w:val="21"/>
        </w:rPr>
        <w:t xml:space="preserve">B: </w:t>
      </w:r>
      <w:r>
        <w:rPr>
          <w:rFonts w:ascii="Calibri" w:hAnsi="Calibri"/>
          <w:color w:val="1E2D38"/>
          <w:sz w:val="21"/>
        </w:rPr>
        <w:t>Correct. It makes the reciprocal pattern the shared problem and prepares the couple for de-escalation and responsive engagement.</w:t>
      </w:r>
    </w:p>
    <w:p>
      <w:pPr>
        <w:keepLines/>
        <w:spacing w:after="100" w:line="283" w:lineRule="auto"/>
      </w:pPr>
      <w:r>
        <w:rPr>
          <w:rFonts w:ascii="Calibri" w:hAnsi="Calibri"/>
          <w:b/>
          <w:color w:val="12385B"/>
          <w:sz w:val="21"/>
        </w:rPr>
        <w:t xml:space="preserve">C: </w:t>
      </w:r>
      <w:r>
        <w:rPr>
          <w:rFonts w:ascii="Calibri" w:hAnsi="Calibri"/>
          <w:color w:val="1E2D38"/>
          <w:sz w:val="21"/>
        </w:rPr>
        <w:t>Model-incongruent and potentially escalating. Intensifying disagreement is not the first attachment task and lacks a stated safety or mechanism rationale.</w:t>
      </w:r>
    </w:p>
    <w:p>
      <w:pPr>
        <w:keepLines/>
        <w:spacing w:after="100" w:line="283" w:lineRule="auto"/>
      </w:pPr>
      <w:r>
        <w:rPr>
          <w:rFonts w:ascii="Calibri" w:hAnsi="Calibri"/>
          <w:b/>
          <w:color w:val="12385B"/>
          <w:sz w:val="21"/>
        </w:rPr>
        <w:t xml:space="preserve">D: </w:t>
      </w:r>
      <w:r>
        <w:rPr>
          <w:rFonts w:ascii="Calibri" w:hAnsi="Calibri"/>
          <w:color w:val="1E2D38"/>
          <w:sz w:val="21"/>
        </w:rPr>
        <w:t>Linear blame. Attachment-informed work does not determine which partner caused the cycle through a style label.</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an attachment cycle, map and externalize the pattern before pressing for vulnerable disclosure or enactment.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Spot cue, meaning, emotion, protective move, partner impact, and feedback; then pace deeper work to readiness.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Attachment cycle de-escalation first step</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SECURE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can identify their negative cycle. One partner can name fear beneath anger, but the other becomes flooded and loses track of the conversation when emotion intensifies.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Request immediate full disclosure.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Interpret the flooding as refusal to engage and confront it directly.</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Support regulation and choice, then shape a brief, tolerable expression-and-response exchange while monitoring both partners' engagement.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Move immediately to an unrelated communication worksheet.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couple has begun identifying the cycle, but flooding shows that the next intervention must be tolerable. Option C uses regulation and choice, then shapes a brief expression-and-response exchange while monitoring engagement and impact.</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Too much, too soon. Full disclosure may exceed the flooded partner's current capacity and reinforce withdrawal or shame.</w:t>
      </w:r>
    </w:p>
    <w:p>
      <w:pPr>
        <w:keepLines/>
        <w:spacing w:after="100" w:line="283" w:lineRule="auto"/>
      </w:pPr>
      <w:r>
        <w:rPr>
          <w:rFonts w:ascii="Calibri" w:hAnsi="Calibri"/>
          <w:b/>
          <w:color w:val="12385B"/>
          <w:sz w:val="21"/>
        </w:rPr>
        <w:t xml:space="preserve">B: </w:t>
      </w:r>
      <w:r>
        <w:rPr>
          <w:rFonts w:ascii="Calibri" w:hAnsi="Calibri"/>
          <w:color w:val="1E2D38"/>
          <w:sz w:val="21"/>
        </w:rPr>
        <w:t>Mislabels a regulation problem as defiance. Confrontation is likely to increase arousal and weaken alliance.</w:t>
      </w:r>
    </w:p>
    <w:p>
      <w:pPr>
        <w:keepLines/>
        <w:spacing w:after="100" w:line="283" w:lineRule="auto"/>
      </w:pPr>
      <w:r>
        <w:rPr>
          <w:rFonts w:ascii="Calibri" w:hAnsi="Calibri"/>
          <w:b/>
          <w:color w:val="1F3A5F"/>
          <w:sz w:val="21"/>
        </w:rPr>
        <w:t xml:space="preserve">C: </w:t>
      </w:r>
      <w:r>
        <w:rPr>
          <w:rFonts w:ascii="Calibri" w:hAnsi="Calibri"/>
          <w:color w:val="1E2D38"/>
          <w:sz w:val="21"/>
        </w:rPr>
        <w:t>Correct. It matches the next attachment task to the partner's window of tolerance and uses feedback to guide pacing.</w:t>
      </w:r>
    </w:p>
    <w:p>
      <w:pPr>
        <w:keepLines/>
        <w:spacing w:after="100" w:line="283" w:lineRule="auto"/>
      </w:pPr>
      <w:r>
        <w:rPr>
          <w:rFonts w:ascii="Calibri" w:hAnsi="Calibri"/>
          <w:b/>
          <w:color w:val="12385B"/>
          <w:sz w:val="21"/>
        </w:rPr>
        <w:t xml:space="preserve">D: </w:t>
      </w:r>
      <w:r>
        <w:rPr>
          <w:rFonts w:ascii="Calibri" w:hAnsi="Calibri"/>
          <w:color w:val="1E2D38"/>
          <w:sz w:val="21"/>
        </w:rPr>
        <w:t>Model drift. An unrelated worksheet abandons the identified cycle rather than adjusting the attachment intervention to observed response.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promising intervention produces flooding, preserve the mechanism but reduce intensity, restore choice, and monitor the response.</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the smallest tolerable enactment that permits accessibility, responsiveness, and engagement; revise immediately if participation deteriorates.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Stage tolerable attachment enactment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SECURE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8 -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multigenerational household requests help with repeated conflict about a 12-year-old's routines. The parent and grandparent both make decisions, then reverse one another in front of the child. The family values shared caregiving. Which intervention BEST fits a structural approach while respecting culture?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Require the grandparent to withdraw from caregiving because only parents should hold authority.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Focus solely on the child's compliance and avoid discussion of adult coordination.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Interpret shared caregiving as evidence of enmeshment.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Collaboratively map the caregiving subsystem and boundaries, then facilitate an enactment in which the adults coordinate one routine consistent with the family's values.</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uses structural mapping and enactment to strengthen adult coordination while treating shared caregiving as a culturally meaningful resource rather than a defect. The intervention targets the caregiving subsystem and boundary confusion without imposing a nuclear-family norm.</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Culturally presumptive. Automatically excluding the grandparent imposes one family structure and ignores the family's valued caregiving arrangement.</w:t>
      </w:r>
    </w:p>
    <w:p>
      <w:pPr>
        <w:keepLines/>
        <w:spacing w:after="100" w:line="283" w:lineRule="auto"/>
      </w:pPr>
      <w:r>
        <w:rPr>
          <w:rFonts w:ascii="Calibri" w:hAnsi="Calibri"/>
          <w:b/>
          <w:color w:val="12385B"/>
          <w:sz w:val="21"/>
        </w:rPr>
        <w:t xml:space="preserve">B: </w:t>
      </w:r>
      <w:r>
        <w:rPr>
          <w:rFonts w:ascii="Calibri" w:hAnsi="Calibri"/>
          <w:color w:val="1E2D38"/>
          <w:sz w:val="21"/>
        </w:rPr>
        <w:t>Too narrow. Focusing only on the child overlooks the adult coordination pattern maintaining inconsistent routines.</w:t>
      </w:r>
    </w:p>
    <w:p>
      <w:pPr>
        <w:keepLines/>
        <w:spacing w:after="100" w:line="283" w:lineRule="auto"/>
      </w:pPr>
      <w:r>
        <w:rPr>
          <w:rFonts w:ascii="Calibri" w:hAnsi="Calibri"/>
          <w:b/>
          <w:color w:val="12385B"/>
          <w:sz w:val="21"/>
        </w:rPr>
        <w:t xml:space="preserve">C: </w:t>
      </w:r>
      <w:r>
        <w:rPr>
          <w:rFonts w:ascii="Calibri" w:hAnsi="Calibri"/>
          <w:color w:val="1E2D38"/>
          <w:sz w:val="21"/>
        </w:rPr>
        <w:t>Unsupported pathologizing. Shared caregiving is not evidence of enmeshment without assessment of function, meaning, flexibility, and impact.</w:t>
      </w:r>
    </w:p>
    <w:p>
      <w:pPr>
        <w:keepLines/>
        <w:spacing w:after="100" w:line="283" w:lineRule="auto"/>
      </w:pPr>
      <w:r>
        <w:rPr>
          <w:rFonts w:ascii="Calibri" w:hAnsi="Calibri"/>
          <w:b/>
          <w:color w:val="1F3A5F"/>
          <w:sz w:val="21"/>
        </w:rPr>
        <w:t xml:space="preserve">D: </w:t>
      </w:r>
      <w:r>
        <w:rPr>
          <w:rFonts w:ascii="Calibri" w:hAnsi="Calibri"/>
          <w:color w:val="1E2D38"/>
          <w:sz w:val="21"/>
        </w:rPr>
        <w:t>Correct. It maps the actual caregiving system and uses a live, culturally responsive enactment to build coordinated leadership.</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Structural work changes organization and interaction; it should not prescribe one culturally narrow hierarchy as universally healthy.</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Map who performs each function, ask what the arrangement means, and restructure only the pattern that interferes with the agreed goal.</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Structural boundary and subsystem intervention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SHIFT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9 -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a family session, a parent asks an adolescent to discuss a missed curfew. The adolescent turns to the therapist, and the parent immediately asks the therapist to impose a consequence. A structural hypothesis identifies weak direct engagement in the parent-adolescent subsystem. What should the therapist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Redirect the adolescent and parent to address each other, observe the live sequence, and coach a clearer boundary and workable exchange.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Decide the consequence so the family experiences stronger authority.</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End the interaction and gather only individual descriptions of what usually happens.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the adolescent to explain why the parent is overly controlling.</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hypothesis concerns weak direct engagement in the parent-adolescent subsystem. Option A uses an enactment to bring that interaction into the room, redirects communication to the relevant participants, and coaches a clearer boundary and exchange.</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observes and reshapes the target sequence live while returning appropriate relational work to the parent-adolescent subsystem.</w:t>
      </w:r>
    </w:p>
    <w:p>
      <w:pPr>
        <w:keepLines/>
        <w:spacing w:after="100" w:line="283" w:lineRule="auto"/>
      </w:pPr>
      <w:r>
        <w:rPr>
          <w:rFonts w:ascii="Calibri" w:hAnsi="Calibri"/>
          <w:b/>
          <w:color w:val="12385B"/>
          <w:sz w:val="21"/>
        </w:rPr>
        <w:t xml:space="preserve">B: </w:t>
      </w:r>
      <w:r>
        <w:rPr>
          <w:rFonts w:ascii="Calibri" w:hAnsi="Calibri"/>
          <w:color w:val="1E2D38"/>
          <w:sz w:val="21"/>
        </w:rPr>
        <w:t>Role overreach. The therapist becoming the disciplinarian strengthens the very triangulation the hypothesis identifies.</w:t>
      </w:r>
    </w:p>
    <w:p>
      <w:pPr>
        <w:keepLines/>
        <w:spacing w:after="100" w:line="283" w:lineRule="auto"/>
      </w:pPr>
      <w:r>
        <w:rPr>
          <w:rFonts w:ascii="Calibri" w:hAnsi="Calibri"/>
          <w:b/>
          <w:color w:val="12385B"/>
          <w:sz w:val="21"/>
        </w:rPr>
        <w:t xml:space="preserve">C: </w:t>
      </w:r>
      <w:r>
        <w:rPr>
          <w:rFonts w:ascii="Calibri" w:hAnsi="Calibri"/>
          <w:color w:val="1E2D38"/>
          <w:sz w:val="21"/>
        </w:rPr>
        <w:t>Missed intervention opportunity. Individual descriptions provide information but do not test or restructure the live subsystem pattern.</w:t>
      </w:r>
    </w:p>
    <w:p>
      <w:pPr>
        <w:keepLines/>
        <w:spacing w:after="100" w:line="283" w:lineRule="auto"/>
      </w:pPr>
      <w:r>
        <w:rPr>
          <w:rFonts w:ascii="Calibri" w:hAnsi="Calibri"/>
          <w:b/>
          <w:color w:val="12385B"/>
          <w:sz w:val="21"/>
        </w:rPr>
        <w:t xml:space="preserve">D: </w:t>
      </w:r>
      <w:r>
        <w:rPr>
          <w:rFonts w:ascii="Calibri" w:hAnsi="Calibri"/>
          <w:color w:val="1E2D38"/>
          <w:sz w:val="21"/>
        </w:rPr>
        <w:t>Coalition risk. Inviting the adolescent to characterize the parent as controlling positions the therapist against the parent instead of strengthening direct engagement.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structural item gives a live interaction that matches the hypothesis, favor enactment and coaching over therapist takeover or retrospective discussion.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Redirect communication to the relevant subsystem, observe the response, and coach only enough to create a more workable exchange.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enactment to observe and reshape pattern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SHIFT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10 -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Each evening, one partner asks whether the relationship is secure. The other offers repeated reassurance, becomes frustrated, and withdraws; the first partner then seeks reassurance more urgently. Safety and voluntariness have been assessed. Which strategic intervention BEST targets the attempted solution?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the reassuring partner to provide longer explanations whenever doubt appears.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Collaboratively replace repeated reassurance with a brief, time-limited check-in and a different agreed response, then monitor whether the cycle changes.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Explain that the reassurance-seeking partner is solely responsible for the problem.</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Begin a genogram and defer work on the current interaction indefinitely.</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Repeated reassurance is the attempted solution that briefly reduces anxiety but helps maintain the cycle. Option B changes that response collaboratively through a brief check-in and a different agreed response, then defines monitoring to determine whether the sequence changes.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More of the same. Longer reassurance intensifies the attempted solution already linked to frustration, withdrawal, and renewed urgency.</w:t>
      </w:r>
    </w:p>
    <w:p>
      <w:pPr>
        <w:keepLines/>
        <w:spacing w:after="100" w:line="283" w:lineRule="auto"/>
      </w:pPr>
      <w:r>
        <w:rPr>
          <w:rFonts w:ascii="Calibri" w:hAnsi="Calibri"/>
          <w:b/>
          <w:color w:val="1F3A5F"/>
          <w:sz w:val="21"/>
        </w:rPr>
        <w:t xml:space="preserve">B: </w:t>
      </w:r>
      <w:r>
        <w:rPr>
          <w:rFonts w:ascii="Calibri" w:hAnsi="Calibri"/>
          <w:color w:val="1E2D38"/>
          <w:sz w:val="21"/>
        </w:rPr>
        <w:t>Correct. It interrupts the maintaining response in a bounded, collaborative way and uses outcome feedback to guide revision.</w:t>
      </w:r>
    </w:p>
    <w:p>
      <w:pPr>
        <w:keepLines/>
        <w:spacing w:after="100" w:line="283" w:lineRule="auto"/>
      </w:pPr>
      <w:r>
        <w:rPr>
          <w:rFonts w:ascii="Calibri" w:hAnsi="Calibri"/>
          <w:b/>
          <w:color w:val="12385B"/>
          <w:sz w:val="21"/>
        </w:rPr>
        <w:t xml:space="preserve">C: </w:t>
      </w:r>
      <w:r>
        <w:rPr>
          <w:rFonts w:ascii="Calibri" w:hAnsi="Calibri"/>
          <w:color w:val="1E2D38"/>
          <w:sz w:val="21"/>
        </w:rPr>
        <w:t>Linear blame. It assigns sole responsibility to one partner and ignores reciprocal maintenance.</w:t>
      </w:r>
    </w:p>
    <w:p>
      <w:pPr>
        <w:keepLines/>
        <w:spacing w:after="100" w:line="283" w:lineRule="auto"/>
      </w:pPr>
      <w:r>
        <w:rPr>
          <w:rFonts w:ascii="Calibri" w:hAnsi="Calibri"/>
          <w:b/>
          <w:color w:val="12385B"/>
          <w:sz w:val="21"/>
        </w:rPr>
        <w:t xml:space="preserve">D: </w:t>
      </w:r>
      <w:r>
        <w:rPr>
          <w:rFonts w:ascii="Calibri" w:hAnsi="Calibri"/>
          <w:color w:val="1E2D38"/>
          <w:sz w:val="21"/>
        </w:rPr>
        <w:t>Model drift and delay. A genogram may offer useful context, but indefinite historical work does not target the visible current sequence.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Strategic questions often test whether the therapist changes the ineffective attempted solution rather than increasing it.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what everyone keeps doing to solve the problem, alter that response safely, and monitor for improvement or unintended effects.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Strategic response to attempted solution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SHIFT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is repeatedly recruited to carry messages between two siblings who refuse direct contact. Which intervention BEST supports differentiation within an intergenerational framework?</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Help the client deliver each message more accurately so conflict decreases.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Advise the client to cut off both siblings until they reconcile.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Help the client observe the triangle, clarify an “I” position, and reduce overfunctioning while choosing direct and boundaried contact where appropriate.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Determine which sibling is the family's identified patient.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client has been triangulated into carrying communication between two siblings. Option C supports differentiation by helping the client observe the triangle, clarify an I-position, reduce overfunctioning, and choose direct, boundaried contact without demanding cutoff.</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Maintains the triangle. Better message delivery still keeps the client responsible for the siblings' relationship.</w:t>
      </w:r>
    </w:p>
    <w:p>
      <w:pPr>
        <w:keepLines/>
        <w:spacing w:after="100" w:line="283" w:lineRule="auto"/>
      </w:pPr>
      <w:r>
        <w:rPr>
          <w:rFonts w:ascii="Calibri" w:hAnsi="Calibri"/>
          <w:b/>
          <w:color w:val="12385B"/>
          <w:sz w:val="21"/>
        </w:rPr>
        <w:t xml:space="preserve">B: </w:t>
      </w:r>
      <w:r>
        <w:rPr>
          <w:rFonts w:ascii="Calibri" w:hAnsi="Calibri"/>
          <w:color w:val="1E2D38"/>
          <w:sz w:val="21"/>
        </w:rPr>
        <w:t>Overcorrects through cutoff. Differentiation involves thoughtful self-definition and contact, not automatic emotional or physical distance.</w:t>
      </w:r>
    </w:p>
    <w:p>
      <w:pPr>
        <w:keepLines/>
        <w:spacing w:after="100" w:line="283" w:lineRule="auto"/>
      </w:pPr>
      <w:r>
        <w:rPr>
          <w:rFonts w:ascii="Calibri" w:hAnsi="Calibri"/>
          <w:b/>
          <w:color w:val="1F3A5F"/>
          <w:sz w:val="21"/>
        </w:rPr>
        <w:t xml:space="preserve">C: </w:t>
      </w:r>
      <w:r>
        <w:rPr>
          <w:rFonts w:ascii="Calibri" w:hAnsi="Calibri"/>
          <w:color w:val="1E2D38"/>
          <w:sz w:val="21"/>
        </w:rPr>
        <w:t>Correct. It combines systems observation, self-definition, reduced overfunctioning, and choice about direct contact.</w:t>
      </w:r>
    </w:p>
    <w:p>
      <w:pPr>
        <w:keepLines/>
        <w:spacing w:after="100" w:line="283" w:lineRule="auto"/>
      </w:pPr>
      <w:r>
        <w:rPr>
          <w:rFonts w:ascii="Calibri" w:hAnsi="Calibri"/>
          <w:b/>
          <w:color w:val="12385B"/>
          <w:sz w:val="21"/>
        </w:rPr>
        <w:t xml:space="preserve">D: </w:t>
      </w:r>
      <w:r>
        <w:rPr>
          <w:rFonts w:ascii="Calibri" w:hAnsi="Calibri"/>
          <w:color w:val="1E2D38"/>
          <w:sz w:val="21"/>
        </w:rPr>
        <w:t>Labeling distractor. Identifying a patient does not help the client change participation in the triangle.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Differentiation is neither compliance nor cutoff; it is clearer self-positioning with less reactive participation in triangles.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the triangle, step out of message-carrying, state an I-position, and choose direct contact that fits safety and boundaries.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Intergenerational triangle and differentiation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ROOTS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genogram shows relationship dissolution in three generations. A couple worries that their marriage is “destined to fail.” What is the therapist's BEST use of the genogram?</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Confirm that the repeated pattern predicts the couple's outcome.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Avoid discussing the pattern because it could influence the couple.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Direct the couple to maintain contact with every relative represented.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Explore the pattern, context, exceptions, meanings, and present triggers as hypotheses while emphasizing current agency and choice.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genogram organizes patterns and context but does not predict an individual couple's outcome. Option D treats the repeated dissolution as a hypothesis to explore through context, exceptions, meanings, and current triggers while preserving agency.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Deterministic. A multigenerational pattern does not establish destiny or a fixed prognosis.</w:t>
      </w:r>
    </w:p>
    <w:p>
      <w:pPr>
        <w:keepLines/>
        <w:spacing w:after="100" w:line="283" w:lineRule="auto"/>
      </w:pPr>
      <w:r>
        <w:rPr>
          <w:rFonts w:ascii="Calibri" w:hAnsi="Calibri"/>
          <w:b/>
          <w:color w:val="12385B"/>
          <w:sz w:val="21"/>
        </w:rPr>
        <w:t xml:space="preserve">B: </w:t>
      </w:r>
      <w:r>
        <w:rPr>
          <w:rFonts w:ascii="Calibri" w:hAnsi="Calibri"/>
          <w:color w:val="1E2D38"/>
          <w:sz w:val="21"/>
        </w:rPr>
        <w:t>Unnecessarily avoidant. The pattern can be explored collaboratively without presenting it as fate.</w:t>
      </w:r>
    </w:p>
    <w:p>
      <w:pPr>
        <w:keepLines/>
        <w:spacing w:after="100" w:line="283" w:lineRule="auto"/>
      </w:pPr>
      <w:r>
        <w:rPr>
          <w:rFonts w:ascii="Calibri" w:hAnsi="Calibri"/>
          <w:b/>
          <w:color w:val="12385B"/>
          <w:sz w:val="21"/>
        </w:rPr>
        <w:t xml:space="preserve">C: </w:t>
      </w:r>
      <w:r>
        <w:rPr>
          <w:rFonts w:ascii="Calibri" w:hAnsi="Calibri"/>
          <w:color w:val="1E2D38"/>
          <w:sz w:val="21"/>
        </w:rPr>
        <w:t>Prescriptive and unrelated. A genogram does not imply that contact with every relative is required or safe.</w:t>
      </w:r>
    </w:p>
    <w:p>
      <w:pPr>
        <w:keepLines/>
        <w:spacing w:after="100" w:line="283" w:lineRule="auto"/>
      </w:pPr>
      <w:r>
        <w:rPr>
          <w:rFonts w:ascii="Calibri" w:hAnsi="Calibri"/>
          <w:b/>
          <w:color w:val="1F3A5F"/>
          <w:sz w:val="21"/>
        </w:rPr>
        <w:t xml:space="preserve">D: </w:t>
      </w:r>
      <w:r>
        <w:rPr>
          <w:rFonts w:ascii="Calibri" w:hAnsi="Calibri"/>
          <w:color w:val="1E2D38"/>
          <w:sz w:val="21"/>
        </w:rPr>
        <w:t>Correct. It uses historical information as contextual evidence while testing fit, finding exceptions, and emphasizing present choice.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Choose genogram uses that generate hypotheses and agency, not certainty, prediction, or compulsory family contact.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Ask what repeated patterns meant in context, where exceptions occurred, and how present choices can differ.</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Genogram hypothesis without determinism</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ROOTS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family that values collective decision-making seeks help because a teenager wants more privacy while an older caregiver expects open access to the teenager's schedule and messages. No immediate safety concern is identified. What is the therapist's BEST next step?</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Explore each person's meanings, developmental and cultural context, and practical concerns, then help the family negotiate boundaries that protect both connection and appropriate autonomy.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Teach that healthy families always prioritize individual privacy over collective involvement.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Support the older caregiver's expectations because cultural traditions should not be questioned.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Exclude the teenager from planning until the caregivers agree on one rule.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family is negotiating connection and autonomy across developmental and cultural meanings. Option A begins with curiosity about each person's concerns and context, then supports a boundary agreement that protects both appropriate privacy and valued connection.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avoids a predetermined cultural answer and creates a collaborative, developmentally responsive boundary process.</w:t>
      </w:r>
    </w:p>
    <w:p>
      <w:pPr>
        <w:keepLines/>
        <w:spacing w:after="100" w:line="283" w:lineRule="auto"/>
      </w:pPr>
      <w:r>
        <w:rPr>
          <w:rFonts w:ascii="Calibri" w:hAnsi="Calibri"/>
          <w:b/>
          <w:color w:val="12385B"/>
          <w:sz w:val="21"/>
        </w:rPr>
        <w:t xml:space="preserve">B: </w:t>
      </w:r>
      <w:r>
        <w:rPr>
          <w:rFonts w:ascii="Calibri" w:hAnsi="Calibri"/>
          <w:color w:val="1E2D38"/>
          <w:sz w:val="21"/>
        </w:rPr>
        <w:t>Culturally narrow. It universalizes an individual-privacy norm without assessing meaning, age, safety, or family context.</w:t>
      </w:r>
    </w:p>
    <w:p>
      <w:pPr>
        <w:keepLines/>
        <w:spacing w:after="100" w:line="283" w:lineRule="auto"/>
      </w:pPr>
      <w:r>
        <w:rPr>
          <w:rFonts w:ascii="Calibri" w:hAnsi="Calibri"/>
          <w:b/>
          <w:color w:val="12385B"/>
          <w:sz w:val="21"/>
        </w:rPr>
        <w:t xml:space="preserve">C: </w:t>
      </w:r>
      <w:r>
        <w:rPr>
          <w:rFonts w:ascii="Calibri" w:hAnsi="Calibri"/>
          <w:color w:val="1E2D38"/>
          <w:sz w:val="21"/>
        </w:rPr>
        <w:t>Equally rigid. Cultural tradition deserves exploration, not automatic control over the teenager's developmental needs and voice.</w:t>
      </w:r>
    </w:p>
    <w:p>
      <w:pPr>
        <w:keepLines/>
        <w:spacing w:after="100" w:line="283" w:lineRule="auto"/>
      </w:pPr>
      <w:r>
        <w:rPr>
          <w:rFonts w:ascii="Calibri" w:hAnsi="Calibri"/>
          <w:b/>
          <w:color w:val="12385B"/>
          <w:sz w:val="21"/>
        </w:rPr>
        <w:t xml:space="preserve">D: </w:t>
      </w:r>
      <w:r>
        <w:rPr>
          <w:rFonts w:ascii="Calibri" w:hAnsi="Calibri"/>
          <w:color w:val="1E2D38"/>
          <w:sz w:val="21"/>
        </w:rPr>
        <w:t>Exclusionary. Removing the teenager from planning weakens direct participation and may produce a rule without meaningful assent or workable implementation.</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culture and development intersect, reject universal rules in either direction and select collaborative meaning-making plus a workable boundary.</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Ask before assuming; integrate culture, development, safety, and each participant's voice into the negotiated plan.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Caregiver/parenting work with cultural fit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ROOTS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has used attachment enactments, structural boundary work, and strategic tasks in rapid succession. The family cannot explain the treatment goal, and no intervention has changed the presenting sequence.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rotating techniques so every major model is represented.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Reassess alliance and response, restate the systemic hypothesis and proposed mechanism of change, and select a coherent next intervention or consultation plan.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Choose the model with the greatest number of published techniques.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Conclude that the family is resistant because several methods have already been attempted.</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Rapidly rotating techniques without a shared goal or observed movement indicates model drift. Option B returns to alliance, response data, the systemic hypothesis, and the proposed mechanism of change before selecting a coherent next intervention or consultation plan.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Technique accumulation. Representing every model does not create coherence or improve fit.</w:t>
      </w:r>
    </w:p>
    <w:p>
      <w:pPr>
        <w:keepLines/>
        <w:spacing w:after="100" w:line="283" w:lineRule="auto"/>
      </w:pPr>
      <w:r>
        <w:rPr>
          <w:rFonts w:ascii="Calibri" w:hAnsi="Calibri"/>
          <w:b/>
          <w:color w:val="1F3A5F"/>
          <w:sz w:val="21"/>
        </w:rPr>
        <w:t xml:space="preserve">B: </w:t>
      </w:r>
      <w:r>
        <w:rPr>
          <w:rFonts w:ascii="Calibri" w:hAnsi="Calibri"/>
          <w:color w:val="1E2D38"/>
          <w:sz w:val="21"/>
        </w:rPr>
        <w:t>Correct. It reconnects formulation, mechanism, goal, alliance, feedback, and the next clinical action.</w:t>
      </w:r>
    </w:p>
    <w:p>
      <w:pPr>
        <w:keepLines/>
        <w:spacing w:after="100" w:line="283" w:lineRule="auto"/>
      </w:pPr>
      <w:r>
        <w:rPr>
          <w:rFonts w:ascii="Calibri" w:hAnsi="Calibri"/>
          <w:b/>
          <w:color w:val="12385B"/>
          <w:sz w:val="21"/>
        </w:rPr>
        <w:t xml:space="preserve">C: </w:t>
      </w:r>
      <w:r>
        <w:rPr>
          <w:rFonts w:ascii="Calibri" w:hAnsi="Calibri"/>
          <w:color w:val="1E2D38"/>
          <w:sz w:val="21"/>
        </w:rPr>
        <w:t>Irrelevant selection rule. The number of published techniques does not establish fit for this family or decision point.</w:t>
      </w:r>
    </w:p>
    <w:p>
      <w:pPr>
        <w:keepLines/>
        <w:spacing w:after="100" w:line="283" w:lineRule="auto"/>
      </w:pPr>
      <w:r>
        <w:rPr>
          <w:rFonts w:ascii="Calibri" w:hAnsi="Calibri"/>
          <w:b/>
          <w:color w:val="12385B"/>
          <w:sz w:val="21"/>
        </w:rPr>
        <w:t xml:space="preserve">D: </w:t>
      </w:r>
      <w:r>
        <w:rPr>
          <w:rFonts w:ascii="Calibri" w:hAnsi="Calibri"/>
          <w:color w:val="1E2D38"/>
          <w:sz w:val="21"/>
        </w:rPr>
        <w:t>Premature blame. Nonresponse calls for therapist and plan reassessment before labeling the family resistant.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multiple plausible techniques have failed, do not add another technique; restore a coherent hypothesis-to-intervention chain.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State the hypothesis, mechanism, intervention, and expected response in one chain; revise or consult when the chain no longer fits.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Integrate methods without technique accumulation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ADAPT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eight sessions, aggregate outcome scores are unchanged. One parent reports less conflict, while another family member says speaking in session now feels less safe and has begun missing appointments.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the plan because one participant reports improvement.</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Discharge the family member who is missing appointments.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Assess outcomes, alliance, and possible adverse effects by participant; revisit safety, treatment unit, and hypothesis; and collaboratively revise the plan.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Replace the outcome measure because it did not show improvement.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Aggregate scores hide different experiences inside the family. Option C disaggregates outcomes and alliance by participant, assesses possible harm and safety, revisits the treatment unit and hypothesis, and collaboratively revises the plan.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Insufficient. One person's improvement does not erase another participant's reduced safety or disengagement.</w:t>
      </w:r>
    </w:p>
    <w:p>
      <w:pPr>
        <w:keepLines/>
        <w:spacing w:after="100" w:line="283" w:lineRule="auto"/>
      </w:pPr>
      <w:r>
        <w:rPr>
          <w:rFonts w:ascii="Calibri" w:hAnsi="Calibri"/>
          <w:b/>
          <w:color w:val="12385B"/>
          <w:sz w:val="21"/>
        </w:rPr>
        <w:t xml:space="preserve">B: </w:t>
      </w:r>
      <w:r>
        <w:rPr>
          <w:rFonts w:ascii="Calibri" w:hAnsi="Calibri"/>
          <w:color w:val="1E2D38"/>
          <w:sz w:val="21"/>
        </w:rPr>
        <w:t>Punitive and premature. Missing sessions may signal alliance rupture, access barriers, fear, or adverse treatment effects that require assessment.</w:t>
      </w:r>
    </w:p>
    <w:p>
      <w:pPr>
        <w:keepLines/>
        <w:spacing w:after="100" w:line="283" w:lineRule="auto"/>
      </w:pPr>
      <w:r>
        <w:rPr>
          <w:rFonts w:ascii="Calibri" w:hAnsi="Calibri"/>
          <w:b/>
          <w:color w:val="1F3A5F"/>
          <w:sz w:val="21"/>
        </w:rPr>
        <w:t xml:space="preserve">C: </w:t>
      </w:r>
      <w:r>
        <w:rPr>
          <w:rFonts w:ascii="Calibri" w:hAnsi="Calibri"/>
          <w:color w:val="1E2D38"/>
          <w:sz w:val="21"/>
        </w:rPr>
        <w:t>Correct. It treats both outcome and alliance data as feedback, investigates adverse effects, and revises the plan at the appropriate level.</w:t>
      </w:r>
    </w:p>
    <w:p>
      <w:pPr>
        <w:keepLines/>
        <w:spacing w:after="100" w:line="283" w:lineRule="auto"/>
      </w:pPr>
      <w:r>
        <w:rPr>
          <w:rFonts w:ascii="Calibri" w:hAnsi="Calibri"/>
          <w:b/>
          <w:color w:val="12385B"/>
          <w:sz w:val="21"/>
        </w:rPr>
        <w:t xml:space="preserve">D: </w:t>
      </w:r>
      <w:r>
        <w:rPr>
          <w:rFonts w:ascii="Calibri" w:hAnsi="Calibri"/>
          <w:color w:val="1E2D38"/>
          <w:sz w:val="21"/>
        </w:rPr>
        <w:t>Data avoidance. Replacing the measure because results are unchanged does not address the concerning participant-level information.</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family members report different outcomes, look beyond the aggregate and evaluate benefit, alliance, safety, and adverse effects for each participant.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Disaggregate feedback, investigate deterioration or disengagement, and revise treatment unit, hypothesis, format, or referral plan as needed.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feedback to revise a nonresponsive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ADAPT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a brief introductory workshop, a therapist considers using a complex paradoxical directive with a high-conflict couple. Which action is MOST appropriate?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Use the directive immediately because paradoxical methods work best when unexpected.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the couple to waive informed consent so the intervention remains effective.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Avoid all strategic interventions permanently because they are unethical.</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Evaluate competence and safety, obtain appropriate training or consultation, explain the treatment frame and risks, and use the method only if it is clinically indicated and within scope.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brief workshop does not by itself establish competence for a complex paradoxical directive with a high-conflict couple. Option D combines competence and safety review, appropriate training or consultation, informed consent, clinical indication, and scope limits.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Competence overreach. Surprise does not justify using a complex method without adequate preparation, safety assessment, and clinical rationale.</w:t>
      </w:r>
    </w:p>
    <w:p>
      <w:pPr>
        <w:keepLines/>
        <w:spacing w:after="100" w:line="283" w:lineRule="auto"/>
      </w:pPr>
      <w:r>
        <w:rPr>
          <w:rFonts w:ascii="Calibri" w:hAnsi="Calibri"/>
          <w:b/>
          <w:color w:val="12385B"/>
          <w:sz w:val="21"/>
        </w:rPr>
        <w:t xml:space="preserve">B: </w:t>
      </w:r>
      <w:r>
        <w:rPr>
          <w:rFonts w:ascii="Calibri" w:hAnsi="Calibri"/>
          <w:color w:val="1E2D38"/>
          <w:sz w:val="21"/>
        </w:rPr>
        <w:t>Ethically invalid. Clients cannot waive informed consent merely to preserve a technique's surprise or effectiveness.</w:t>
      </w:r>
    </w:p>
    <w:p>
      <w:pPr>
        <w:keepLines/>
        <w:spacing w:after="100" w:line="283" w:lineRule="auto"/>
      </w:pPr>
      <w:r>
        <w:rPr>
          <w:rFonts w:ascii="Calibri" w:hAnsi="Calibri"/>
          <w:b/>
          <w:color w:val="12385B"/>
          <w:sz w:val="21"/>
        </w:rPr>
        <w:t xml:space="preserve">C: </w:t>
      </w:r>
      <w:r>
        <w:rPr>
          <w:rFonts w:ascii="Calibri" w:hAnsi="Calibri"/>
          <w:color w:val="1E2D38"/>
          <w:sz w:val="21"/>
        </w:rPr>
        <w:t>Overbroad. Strategic interventions are not categorically unethical; appropriateness depends on competence, consent, indication, safeguards, and response monitoring.</w:t>
      </w:r>
    </w:p>
    <w:p>
      <w:pPr>
        <w:keepLines/>
        <w:spacing w:after="100" w:line="283" w:lineRule="auto"/>
      </w:pPr>
      <w:r>
        <w:rPr>
          <w:rFonts w:ascii="Calibri" w:hAnsi="Calibri"/>
          <w:b/>
          <w:color w:val="1F3A5F"/>
          <w:sz w:val="21"/>
        </w:rPr>
        <w:t xml:space="preserve">D: </w:t>
      </w:r>
      <w:r>
        <w:rPr>
          <w:rFonts w:ascii="Calibri" w:hAnsi="Calibri"/>
          <w:color w:val="1E2D38"/>
          <w:sz w:val="21"/>
        </w:rPr>
        <w:t>Correct. It protects clients by linking use of the method to competence, consultation, informed treatment framing, safety, and scope.</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unfamiliar or high-impact methods, the best answer usually protects competence, consent, safety, and consultation rather than using or banning the model automatically.</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Do not equate exposure with competence; obtain training or consultation, explain material risks and the treatment frame, and narrow or refer when needed.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Competence, consent, and model-specific limits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ADAPT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Competence, informed-consent, documentation, and scope requirements are governed by current professional ethics, jurisdictional law and regulation, licensing-board guidance, and organizational policy.</w:t>
            </w:r>
          </w:p>
        </w:tc>
      </w:tr>
    </w:tbl>
    <w:p>
      <w:pPr>
        <w:spacing w:after="20"/>
      </w:pPr>
    </w:p>
    <w:p>
      <w:pPr>
        <w:pStyle w:val="Heading1"/>
      </w:pPr>
      <w:r>
        <w:t>Item 17 -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has met the goal of interrupting a hostile demand-withdraw cycle and has maintained the change across several recent stressors. Which action BEST consolidates the relational change?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Review how the couple now recognizes and interrupts the cycle, identify relapse signals and supports, plan independent use of the new responses, and agree on follow-up or termination.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Introduce an unrelated intensive technique so treatment continues to feel active.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Tell the couple that relapse is unlikely because the target behavior has improved.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End the session without reviewing the change so the couple does not become dependent on the therapist.</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couple has achieved and maintained the target change. Option A consolidates learning by helping the couple recognize the cycle, identify relapse signals and supports, plan independent use of new responses, and agree on follow-up or termination.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makes the mechanism of improvement explicit, supports maintenance, and transitions responsibility appropriately.</w:t>
      </w:r>
    </w:p>
    <w:p>
      <w:pPr>
        <w:keepLines/>
        <w:spacing w:after="100" w:line="283" w:lineRule="auto"/>
      </w:pPr>
      <w:r>
        <w:rPr>
          <w:rFonts w:ascii="Calibri" w:hAnsi="Calibri"/>
          <w:b/>
          <w:color w:val="12385B"/>
          <w:sz w:val="21"/>
        </w:rPr>
        <w:t xml:space="preserve">B: </w:t>
      </w:r>
      <w:r>
        <w:rPr>
          <w:rFonts w:ascii="Calibri" w:hAnsi="Calibri"/>
          <w:color w:val="1E2D38"/>
          <w:sz w:val="21"/>
        </w:rPr>
        <w:t>Unnecessary escalation. A new intensive technique adds risk and model drift without a current clinical target.</w:t>
      </w:r>
    </w:p>
    <w:p>
      <w:pPr>
        <w:keepLines/>
        <w:spacing w:after="100" w:line="283" w:lineRule="auto"/>
      </w:pPr>
      <w:r>
        <w:rPr>
          <w:rFonts w:ascii="Calibri" w:hAnsi="Calibri"/>
          <w:b/>
          <w:color w:val="12385B"/>
          <w:sz w:val="21"/>
        </w:rPr>
        <w:t xml:space="preserve">C: </w:t>
      </w:r>
      <w:r>
        <w:rPr>
          <w:rFonts w:ascii="Calibri" w:hAnsi="Calibri"/>
          <w:color w:val="1E2D38"/>
          <w:sz w:val="21"/>
        </w:rPr>
        <w:t>Overconfident. Improvement does not eliminate relapse risk; realistic planning supports durable change.</w:t>
      </w:r>
    </w:p>
    <w:p>
      <w:pPr>
        <w:keepLines/>
        <w:spacing w:after="100" w:line="283" w:lineRule="auto"/>
      </w:pPr>
      <w:r>
        <w:rPr>
          <w:rFonts w:ascii="Calibri" w:hAnsi="Calibri"/>
          <w:b/>
          <w:color w:val="12385B"/>
          <w:sz w:val="21"/>
        </w:rPr>
        <w:t xml:space="preserve">D: </w:t>
      </w:r>
      <w:r>
        <w:rPr>
          <w:rFonts w:ascii="Calibri" w:hAnsi="Calibri"/>
          <w:color w:val="1E2D38"/>
          <w:sz w:val="21"/>
        </w:rPr>
        <w:t>Missed consolidation. Ending without review forfeits an opportunity to strengthen agency, maintenance, and a clear termination plan.</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the goal is met, choose consolidation, relapse planning, client agency, and an explicit next-step or termination agreement.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what changed, how the system now interrupts the pattern, early warning signs, supports, and when follow-up is indicated.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12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Consolidate relational change and next step</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ADAPT</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ageBreakBefore/>
      </w:pPr>
      <w:r>
        <w:t>Controlled Remediation Supports</w:t>
      </w:r>
    </w:p>
    <w:p>
      <w:pPr>
        <w:pStyle w:val="Heading2"/>
      </w:pPr>
      <w:r>
        <w:t>Reasoning-Error Code Profile</w:t>
      </w:r>
    </w:p>
    <w:tbl>
      <w:tblPr>
        <w:tblW w:type="dxa" w:w="9360"/>
        <w:jc w:val="center"/>
        <w:tblLayout w:type="fixed"/>
        <w:tblLook w:firstColumn="1" w:firstRow="1" w:lastColumn="0" w:lastRow="0" w:noHBand="0" w:noVBand="1" w:val="04A0"/>
        <w:tblInd w:w="120" w:type="dxa"/>
      </w:tblPr>
      <w:tblGrid>
        <w:gridCol w:w="720"/>
        <w:gridCol w:w="2100"/>
        <w:gridCol w:w="1200"/>
        <w:gridCol w:w="534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Code</w:t>
            </w:r>
          </w:p>
        </w:tc>
        <w:tc>
          <w:tcPr>
            <w:tcW w:type="dxa" w:w="2100"/>
            <w:shd w:fill="12385B"/>
            <w:tcMar>
              <w:top w:w="80" w:type="dxa"/>
              <w:start w:w="120" w:type="dxa"/>
              <w:bottom w:w="80" w:type="dxa"/>
              <w:end w:w="120" w:type="dxa"/>
            </w:tcMar>
            <w:vAlign w:val="center"/>
          </w:tcPr>
          <w:p>
            <w:pPr>
              <w:spacing w:after="0"/>
              <w:jc w:val="left"/>
            </w:pPr>
            <w:r/>
            <w:r>
              <w:rPr>
                <w:rFonts w:ascii="Calibri" w:hAnsi="Calibri"/>
                <w:b/>
                <w:color w:val="FFFFFF"/>
                <w:sz w:val="18"/>
              </w:rPr>
              <w:t>Reasoning pattern</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Bank items</w:t>
            </w:r>
          </w:p>
        </w:tc>
        <w:tc>
          <w:tcPr>
            <w:tcW w:type="dxa" w:w="5340"/>
            <w:shd w:fill="12385B"/>
            <w:tcMar>
              <w:top w:w="80" w:type="dxa"/>
              <w:start w:w="120" w:type="dxa"/>
              <w:bottom w:w="80" w:type="dxa"/>
              <w:end w:w="120" w:type="dxa"/>
            </w:tcMar>
            <w:vAlign w:val="center"/>
          </w:tcPr>
          <w:p>
            <w:pPr>
              <w:spacing w:after="0"/>
              <w:jc w:val="center"/>
            </w:pPr>
            <w:r/>
            <w:r>
              <w:rPr>
                <w:rFonts w:ascii="Calibri" w:hAnsi="Calibri"/>
                <w:b/>
                <w:color w:val="FFFFFF"/>
                <w:sz w:val="18"/>
              </w:rPr>
              <w:t>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R1</w:t>
            </w:r>
          </w:p>
        </w:tc>
        <w:tc>
          <w:tcPr>
            <w:tcW w:type="dxa" w:w="2100"/>
            <w:tcMar>
              <w:top w:w="80" w:type="dxa"/>
              <w:start w:w="120" w:type="dxa"/>
              <w:bottom w:w="80" w:type="dxa"/>
              <w:end w:w="120" w:type="dxa"/>
            </w:tcMar>
            <w:vAlign w:val="center"/>
          </w:tcPr>
          <w:p>
            <w:pPr>
              <w:spacing w:after="0" w:line="259" w:lineRule="auto"/>
            </w:pPr>
            <w:r/>
            <w:r>
              <w:rPr>
                <w:rFonts w:ascii="Calibri" w:hAnsi="Calibri"/>
                <w:color w:val="1E2D38"/>
                <w:sz w:val="16"/>
              </w:rPr>
              <w:t>Linear-cause trap</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2</w:t>
            </w:r>
          </w:p>
        </w:tc>
        <w:tc>
          <w:tcPr>
            <w:tcW w:type="dxa" w:w="5340"/>
            <w:tcMar>
              <w:top w:w="80" w:type="dxa"/>
              <w:start w:w="120" w:type="dxa"/>
              <w:bottom w:w="80" w:type="dxa"/>
              <w:end w:w="120" w:type="dxa"/>
            </w:tcMar>
            <w:vAlign w:val="center"/>
          </w:tcPr>
          <w:p>
            <w:pPr>
              <w:spacing w:after="0" w:line="259" w:lineRule="auto"/>
            </w:pPr>
            <w:r/>
            <w:r>
              <w:rPr>
                <w:rFonts w:ascii="Calibri" w:hAnsi="Calibri"/>
                <w:color w:val="1E2D38"/>
                <w:sz w:val="16"/>
              </w:rPr>
              <w:t>Replace blame with a reciprocal, observable sequence.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R2</w:t>
            </w:r>
          </w:p>
        </w:tc>
        <w:tc>
          <w:tcPr>
            <w:tcW w:type="dxa" w:w="2100"/>
            <w:tcMar>
              <w:top w:w="80" w:type="dxa"/>
              <w:start w:w="120" w:type="dxa"/>
              <w:bottom w:w="80" w:type="dxa"/>
              <w:end w:w="120" w:type="dxa"/>
            </w:tcMar>
            <w:vAlign w:val="center"/>
            <w:shd w:fill="F8FAFC"/>
          </w:tcPr>
          <w:p>
            <w:pPr>
              <w:spacing w:after="0" w:line="259" w:lineRule="auto"/>
            </w:pPr>
            <w:r/>
            <w:r>
              <w:rPr>
                <w:rFonts w:ascii="Calibri" w:hAnsi="Calibri"/>
                <w:color w:val="1E2D38"/>
                <w:sz w:val="16"/>
              </w:rPr>
              <w:t>Treatment-unit mismatch</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w:t>
            </w:r>
          </w:p>
        </w:tc>
        <w:tc>
          <w:tcPr>
            <w:tcW w:type="dxa" w:w="5340"/>
            <w:tcMar>
              <w:top w:w="80" w:type="dxa"/>
              <w:start w:w="120" w:type="dxa"/>
              <w:bottom w:w="80" w:type="dxa"/>
              <w:end w:w="120" w:type="dxa"/>
            </w:tcMar>
            <w:vAlign w:val="center"/>
            <w:shd w:fill="F8FAFC"/>
          </w:tcPr>
          <w:p>
            <w:pPr>
              <w:spacing w:after="0" w:line="259" w:lineRule="auto"/>
            </w:pPr>
            <w:r/>
            <w:r>
              <w:rPr>
                <w:rFonts w:ascii="Calibri" w:hAnsi="Calibri"/>
                <w:color w:val="1E2D38"/>
                <w:sz w:val="16"/>
              </w:rPr>
              <w:t>Clarify who the client is and who must participate for the target to change.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R3</w:t>
            </w:r>
          </w:p>
        </w:tc>
        <w:tc>
          <w:tcPr>
            <w:tcW w:type="dxa" w:w="2100"/>
            <w:tcMar>
              <w:top w:w="80" w:type="dxa"/>
              <w:start w:w="120" w:type="dxa"/>
              <w:bottom w:w="80" w:type="dxa"/>
              <w:end w:w="120" w:type="dxa"/>
            </w:tcMar>
            <w:vAlign w:val="center"/>
          </w:tcPr>
          <w:p>
            <w:pPr>
              <w:spacing w:after="0" w:line="259" w:lineRule="auto"/>
            </w:pPr>
            <w:r/>
            <w:r>
              <w:rPr>
                <w:rFonts w:ascii="Calibri" w:hAnsi="Calibri"/>
                <w:color w:val="1E2D38"/>
                <w:sz w:val="16"/>
              </w:rPr>
              <w:t>Technique-before-formulation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3, 6, 9</w:t>
            </w:r>
          </w:p>
        </w:tc>
        <w:tc>
          <w:tcPr>
            <w:tcW w:type="dxa" w:w="5340"/>
            <w:tcMar>
              <w:top w:w="80" w:type="dxa"/>
              <w:start w:w="120" w:type="dxa"/>
              <w:bottom w:w="80" w:type="dxa"/>
              <w:end w:w="120" w:type="dxa"/>
            </w:tcMar>
            <w:vAlign w:val="center"/>
          </w:tcPr>
          <w:p>
            <w:pPr>
              <w:spacing w:after="0" w:line="259" w:lineRule="auto"/>
            </w:pPr>
            <w:r/>
            <w:r>
              <w:rPr>
                <w:rFonts w:ascii="Calibri" w:hAnsi="Calibri"/>
                <w:color w:val="1E2D38"/>
                <w:sz w:val="16"/>
              </w:rPr>
              <w:t>Name the maintaining mechanism and select the technique because it fits.</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R4</w:t>
            </w:r>
          </w:p>
        </w:tc>
        <w:tc>
          <w:tcPr>
            <w:tcW w:type="dxa" w:w="2100"/>
            <w:tcMar>
              <w:top w:w="80" w:type="dxa"/>
              <w:start w:w="120" w:type="dxa"/>
              <w:bottom w:w="80" w:type="dxa"/>
              <w:end w:w="120" w:type="dxa"/>
            </w:tcMar>
            <w:vAlign w:val="center"/>
            <w:shd w:fill="F8FAFC"/>
          </w:tcPr>
          <w:p>
            <w:pPr>
              <w:spacing w:after="0" w:line="259" w:lineRule="auto"/>
            </w:pPr>
            <w:r/>
            <w:r>
              <w:rPr>
                <w:rFonts w:ascii="Calibri" w:hAnsi="Calibri"/>
                <w:color w:val="1E2D38"/>
                <w:sz w:val="16"/>
              </w:rPr>
              <w:t>False neutrality</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4</w:t>
            </w:r>
          </w:p>
        </w:tc>
        <w:tc>
          <w:tcPr>
            <w:tcW w:type="dxa" w:w="5340"/>
            <w:tcMar>
              <w:top w:w="80" w:type="dxa"/>
              <w:start w:w="120" w:type="dxa"/>
              <w:bottom w:w="80" w:type="dxa"/>
              <w:end w:w="120" w:type="dxa"/>
            </w:tcMar>
            <w:vAlign w:val="center"/>
            <w:shd w:fill="F8FAFC"/>
          </w:tcPr>
          <w:p>
            <w:pPr>
              <w:spacing w:after="0" w:line="259" w:lineRule="auto"/>
            </w:pPr>
            <w:r/>
            <w:r>
              <w:rPr>
                <w:rFonts w:ascii="Calibri" w:hAnsi="Calibri"/>
                <w:color w:val="1E2D38"/>
                <w:sz w:val="16"/>
              </w:rPr>
              <w:t>Balance alliance without equating coercion, abuse, power, or responsibility.</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R5</w:t>
            </w:r>
          </w:p>
        </w:tc>
        <w:tc>
          <w:tcPr>
            <w:tcW w:type="dxa" w:w="2100"/>
            <w:tcMar>
              <w:top w:w="80" w:type="dxa"/>
              <w:start w:w="120" w:type="dxa"/>
              <w:bottom w:w="80" w:type="dxa"/>
              <w:end w:w="120" w:type="dxa"/>
            </w:tcMar>
            <w:vAlign w:val="center"/>
          </w:tcPr>
          <w:p>
            <w:pPr>
              <w:spacing w:after="0" w:line="259" w:lineRule="auto"/>
            </w:pPr>
            <w:r/>
            <w:r>
              <w:rPr>
                <w:rFonts w:ascii="Calibri" w:hAnsi="Calibri"/>
                <w:color w:val="1E2D38"/>
                <w:sz w:val="16"/>
              </w:rPr>
              <w:t>Unsafe conjoint action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5</w:t>
            </w:r>
          </w:p>
        </w:tc>
        <w:tc>
          <w:tcPr>
            <w:tcW w:type="dxa" w:w="5340"/>
            <w:tcMar>
              <w:top w:w="80" w:type="dxa"/>
              <w:start w:w="120" w:type="dxa"/>
              <w:bottom w:w="80" w:type="dxa"/>
              <w:end w:w="120" w:type="dxa"/>
            </w:tcMar>
            <w:vAlign w:val="center"/>
          </w:tcPr>
          <w:p>
            <w:pPr>
              <w:spacing w:after="0" w:line="259" w:lineRule="auto"/>
            </w:pPr>
            <w:r/>
            <w:r>
              <w:rPr>
                <w:rFonts w:ascii="Calibri" w:hAnsi="Calibri"/>
                <w:color w:val="1E2D38"/>
                <w:sz w:val="16"/>
              </w:rPr>
              <w:t>Pause relational technique and assess safety and voluntariness separately.</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R6</w:t>
            </w:r>
          </w:p>
        </w:tc>
        <w:tc>
          <w:tcPr>
            <w:tcW w:type="dxa" w:w="2100"/>
            <w:tcMar>
              <w:top w:w="80" w:type="dxa"/>
              <w:start w:w="120" w:type="dxa"/>
              <w:bottom w:w="80" w:type="dxa"/>
              <w:end w:w="120" w:type="dxa"/>
            </w:tcMar>
            <w:vAlign w:val="center"/>
            <w:shd w:fill="F8FAFC"/>
          </w:tcPr>
          <w:p>
            <w:pPr>
              <w:spacing w:after="0" w:line="259" w:lineRule="auto"/>
            </w:pPr>
            <w:r/>
            <w:r>
              <w:rPr>
                <w:rFonts w:ascii="Calibri" w:hAnsi="Calibri"/>
                <w:color w:val="1E2D38"/>
                <w:sz w:val="16"/>
              </w:rPr>
              <w:t>Model drift</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10, 14</w:t>
            </w:r>
          </w:p>
        </w:tc>
        <w:tc>
          <w:tcPr>
            <w:tcW w:type="dxa" w:w="5340"/>
            <w:tcMar>
              <w:top w:w="80" w:type="dxa"/>
              <w:start w:w="120" w:type="dxa"/>
              <w:bottom w:w="80" w:type="dxa"/>
              <w:end w:w="120" w:type="dxa"/>
            </w:tcMar>
            <w:vAlign w:val="center"/>
            <w:shd w:fill="F8FAFC"/>
          </w:tcPr>
          <w:p>
            <w:pPr>
              <w:spacing w:after="0" w:line="259" w:lineRule="auto"/>
            </w:pPr>
            <w:r/>
            <w:r>
              <w:rPr>
                <w:rFonts w:ascii="Calibri" w:hAnsi="Calibri"/>
                <w:color w:val="1E2D38"/>
                <w:sz w:val="16"/>
              </w:rPr>
              <w:t>Reconnect hypothesis, mechanism, goal, and intervention.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R7</w:t>
            </w:r>
          </w:p>
        </w:tc>
        <w:tc>
          <w:tcPr>
            <w:tcW w:type="dxa" w:w="2100"/>
            <w:tcMar>
              <w:top w:w="80" w:type="dxa"/>
              <w:start w:w="120" w:type="dxa"/>
              <w:bottom w:w="80" w:type="dxa"/>
              <w:end w:w="120" w:type="dxa"/>
            </w:tcMar>
            <w:vAlign w:val="center"/>
          </w:tcPr>
          <w:p>
            <w:pPr>
              <w:spacing w:after="0" w:line="259" w:lineRule="auto"/>
            </w:pPr>
            <w:r/>
            <w:r>
              <w:rPr>
                <w:rFonts w:ascii="Calibri" w:hAnsi="Calibri"/>
                <w:color w:val="1E2D38"/>
                <w:sz w:val="16"/>
              </w:rPr>
              <w:t>Cultural norm imposition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8, 13</w:t>
            </w:r>
          </w:p>
        </w:tc>
        <w:tc>
          <w:tcPr>
            <w:tcW w:type="dxa" w:w="5340"/>
            <w:tcMar>
              <w:top w:w="80" w:type="dxa"/>
              <w:start w:w="120" w:type="dxa"/>
              <w:bottom w:w="80" w:type="dxa"/>
              <w:end w:w="120" w:type="dxa"/>
            </w:tcMar>
            <w:vAlign w:val="center"/>
          </w:tcPr>
          <w:p>
            <w:pPr>
              <w:spacing w:after="0" w:line="259" w:lineRule="auto"/>
            </w:pPr>
            <w:r/>
            <w:r>
              <w:rPr>
                <w:rFonts w:ascii="Calibri" w:hAnsi="Calibri"/>
                <w:color w:val="1E2D38"/>
                <w:sz w:val="16"/>
              </w:rPr>
              <w:t>Use curiosity and context; do not prescribe one family structure as healthy.</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R8</w:t>
            </w:r>
          </w:p>
        </w:tc>
        <w:tc>
          <w:tcPr>
            <w:tcW w:type="dxa" w:w="2100"/>
            <w:tcMar>
              <w:top w:w="80" w:type="dxa"/>
              <w:start w:w="120" w:type="dxa"/>
              <w:bottom w:w="80" w:type="dxa"/>
              <w:end w:w="120" w:type="dxa"/>
            </w:tcMar>
            <w:vAlign w:val="center"/>
            <w:shd w:fill="F8FAFC"/>
          </w:tcPr>
          <w:p>
            <w:pPr>
              <w:spacing w:after="0" w:line="259" w:lineRule="auto"/>
            </w:pPr>
            <w:r/>
            <w:r>
              <w:rPr>
                <w:rFonts w:ascii="Calibri" w:hAnsi="Calibri"/>
                <w:color w:val="1E2D38"/>
                <w:sz w:val="16"/>
              </w:rPr>
              <w:t>History-as-destiny</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11, 12</w:t>
            </w:r>
          </w:p>
        </w:tc>
        <w:tc>
          <w:tcPr>
            <w:tcW w:type="dxa" w:w="5340"/>
            <w:tcMar>
              <w:top w:w="80" w:type="dxa"/>
              <w:start w:w="120" w:type="dxa"/>
              <w:bottom w:w="80" w:type="dxa"/>
              <w:end w:w="120" w:type="dxa"/>
            </w:tcMar>
            <w:vAlign w:val="center"/>
            <w:shd w:fill="F8FAFC"/>
          </w:tcPr>
          <w:p>
            <w:pPr>
              <w:spacing w:after="0" w:line="259" w:lineRule="auto"/>
            </w:pPr>
            <w:r/>
            <w:r>
              <w:rPr>
                <w:rFonts w:ascii="Calibri" w:hAnsi="Calibri"/>
                <w:color w:val="1E2D38"/>
                <w:sz w:val="16"/>
              </w:rPr>
              <w:t>Use intergenerational data as a hypothesis while preserving agency.</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R9</w:t>
            </w:r>
          </w:p>
        </w:tc>
        <w:tc>
          <w:tcPr>
            <w:tcW w:type="dxa" w:w="2100"/>
            <w:tcMar>
              <w:top w:w="80" w:type="dxa"/>
              <w:start w:w="120" w:type="dxa"/>
              <w:bottom w:w="80" w:type="dxa"/>
              <w:end w:w="120" w:type="dxa"/>
            </w:tcMar>
            <w:vAlign w:val="center"/>
          </w:tcPr>
          <w:p>
            <w:pPr>
              <w:spacing w:after="0" w:line="259" w:lineRule="auto"/>
            </w:pPr>
            <w:r/>
            <w:r>
              <w:rPr>
                <w:rFonts w:ascii="Calibri" w:hAnsi="Calibri"/>
                <w:color w:val="1E2D38"/>
                <w:sz w:val="16"/>
              </w:rPr>
              <w:t>Feedback neglect</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7, 15, 17</w:t>
            </w:r>
          </w:p>
        </w:tc>
        <w:tc>
          <w:tcPr>
            <w:tcW w:type="dxa" w:w="5340"/>
            <w:tcMar>
              <w:top w:w="80" w:type="dxa"/>
              <w:start w:w="120" w:type="dxa"/>
              <w:bottom w:w="80" w:type="dxa"/>
              <w:end w:w="120" w:type="dxa"/>
            </w:tcMar>
            <w:vAlign w:val="center"/>
          </w:tcPr>
          <w:p>
            <w:pPr>
              <w:spacing w:after="0" w:line="259" w:lineRule="auto"/>
            </w:pPr>
            <w:r/>
            <w:r>
              <w:rPr>
                <w:rFonts w:ascii="Calibri" w:hAnsi="Calibri"/>
                <w:color w:val="1E2D38"/>
                <w:sz w:val="16"/>
              </w:rPr>
              <w:t>Observe response and revise when the intervention is ineffective or harmful.</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R10</w:t>
            </w:r>
          </w:p>
        </w:tc>
        <w:tc>
          <w:tcPr>
            <w:tcW w:type="dxa" w:w="2100"/>
            <w:tcMar>
              <w:top w:w="80" w:type="dxa"/>
              <w:start w:w="120" w:type="dxa"/>
              <w:bottom w:w="80" w:type="dxa"/>
              <w:end w:w="120" w:type="dxa"/>
            </w:tcMar>
            <w:vAlign w:val="center"/>
            <w:shd w:fill="F8FAFC"/>
          </w:tcPr>
          <w:p>
            <w:pPr>
              <w:spacing w:after="0" w:line="259" w:lineRule="auto"/>
            </w:pPr>
            <w:r/>
            <w:r>
              <w:rPr>
                <w:rFonts w:ascii="Calibri" w:hAnsi="Calibri"/>
                <w:color w:val="1E2D38"/>
                <w:sz w:val="16"/>
              </w:rPr>
              <w:t>Role/competence overreach</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16</w:t>
            </w:r>
          </w:p>
        </w:tc>
        <w:tc>
          <w:tcPr>
            <w:tcW w:type="dxa" w:w="5340"/>
            <w:tcMar>
              <w:top w:w="80" w:type="dxa"/>
              <w:start w:w="120" w:type="dxa"/>
              <w:bottom w:w="80" w:type="dxa"/>
              <w:end w:w="120" w:type="dxa"/>
            </w:tcMar>
            <w:vAlign w:val="center"/>
            <w:shd w:fill="F8FAFC"/>
          </w:tcPr>
          <w:p>
            <w:pPr>
              <w:spacing w:after="0" w:line="259" w:lineRule="auto"/>
            </w:pPr>
            <w:r/>
            <w:r>
              <w:rPr>
                <w:rFonts w:ascii="Calibri" w:hAnsi="Calibri"/>
                <w:color w:val="1E2D38"/>
                <w:sz w:val="16"/>
              </w:rPr>
              <w:t>Consult, refer, or narrow scope when expertise or role is exceeded.</w:t>
            </w:r>
          </w:p>
        </w:tc>
      </w:tr>
    </w:tbl>
    <w:p>
      <w:pPr>
        <w:spacing w:after="20"/>
      </w:pPr>
    </w:p>
    <w:p>
      <w:pPr>
        <w:pStyle w:val="Heading2"/>
      </w:pPr>
      <w:r>
        <w:t>Domain and Confidence Review</w:t>
      </w:r>
    </w:p>
    <w:tbl>
      <w:tblPr>
        <w:tblW w:type="dxa" w:w="9360"/>
        <w:jc w:val="center"/>
        <w:tblLayout w:type="fixed"/>
        <w:tblLook w:firstColumn="1" w:firstRow="1" w:lastColumn="0" w:lastRow="0" w:noHBand="0" w:noVBand="1" w:val="04A0"/>
        <w:tblInd w:w="120" w:type="dxa"/>
      </w:tblPr>
      <w:tblGrid>
        <w:gridCol w:w="4200"/>
        <w:gridCol w:w="1420"/>
        <w:gridCol w:w="1440"/>
        <w:gridCol w:w="2300"/>
      </w:tblGrid>
      <w:tr>
        <w:trPr>
          <w:tblHeader w:val="true"/>
          <w:cantSplit/>
        </w:trPr>
        <w:tc>
          <w:tcPr>
            <w:tcW w:type="dxa" w:w="4200"/>
            <w:shd w:fill="12385B"/>
            <w:tcMar>
              <w:top w:w="80" w:type="dxa"/>
              <w:start w:w="120" w:type="dxa"/>
              <w:bottom w:w="80" w:type="dxa"/>
              <w:end w:w="120" w:type="dxa"/>
            </w:tcMar>
            <w:vAlign w:val="center"/>
          </w:tcPr>
          <w:p>
            <w:pPr>
              <w:spacing w:after="0"/>
              <w:jc w:val="center"/>
            </w:pPr>
            <w:r/>
            <w:r>
              <w:rPr>
                <w:rFonts w:ascii="Calibri" w:hAnsi="Calibri"/>
                <w:b/>
                <w:color w:val="FFFFFF"/>
                <w:sz w:val="18"/>
              </w:rPr>
              <w:t>Primary domain</w:t>
            </w:r>
          </w:p>
        </w:tc>
        <w:tc>
          <w:tcPr>
            <w:tcW w:type="dxa" w:w="1420"/>
            <w:shd w:fill="12385B"/>
            <w:tcMar>
              <w:top w:w="80" w:type="dxa"/>
              <w:start w:w="120" w:type="dxa"/>
              <w:bottom w:w="80" w:type="dxa"/>
              <w:end w:w="120" w:type="dxa"/>
            </w:tcMar>
            <w:vAlign w:val="center"/>
          </w:tcPr>
          <w:p>
            <w:pPr>
              <w:spacing w:after="0"/>
              <w:jc w:val="center"/>
            </w:pPr>
            <w:r/>
            <w:r>
              <w:rPr>
                <w:rFonts w:ascii="Calibri" w:hAnsi="Calibri"/>
                <w:b/>
                <w:color w:val="FFFFFF"/>
                <w:sz w:val="18"/>
              </w:rPr>
              <w:t>Items</w:t>
            </w:r>
          </w:p>
        </w:tc>
        <w:tc>
          <w:tcPr>
            <w:tcW w:type="dxa" w:w="1440"/>
            <w:shd w:fill="12385B"/>
            <w:tcMar>
              <w:top w:w="80" w:type="dxa"/>
              <w:start w:w="120" w:type="dxa"/>
              <w:bottom w:w="80" w:type="dxa"/>
              <w:end w:w="120" w:type="dxa"/>
            </w:tcMar>
            <w:vAlign w:val="center"/>
          </w:tcPr>
          <w:p>
            <w:pPr>
              <w:spacing w:after="0"/>
              <w:jc w:val="center"/>
            </w:pPr>
            <w:r/>
            <w:r>
              <w:rPr>
                <w:rFonts w:ascii="Calibri" w:hAnsi="Calibri"/>
                <w:b/>
                <w:color w:val="FFFFFF"/>
                <w:sz w:val="18"/>
              </w:rPr>
              <w:t>Correct</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Review priority</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D1 - Practice of Systemic Therapy</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1, 2, 4</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D3 - Designing and Conducting Treatment</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3, 6-14, 17</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D4 - Evaluating Ongoing Process and Terminating</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15</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D5 - Managing Crisis Situations</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5</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D6 - Ethical, Legal, Professional Standards</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16</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bl>
    <w:p>
      <w:pPr>
        <w:spacing w:after="20"/>
      </w:pPr>
    </w:p>
    <w:p>
      <w:pPr>
        <w:pStyle w:val="Heading2"/>
        <w:pageBreakBefore/>
      </w:pPr>
      <w:r>
        <w:t>Low-Confidence and Missed-Item Review</w:t>
      </w:r>
    </w:p>
    <w:tbl>
      <w:tblPr>
        <w:tblW w:type="dxa" w:w="9360"/>
        <w:jc w:val="center"/>
        <w:tblLayout w:type="fixed"/>
        <w:tblLook w:firstColumn="1" w:firstRow="1" w:lastColumn="0" w:lastRow="0" w:noHBand="0" w:noVBand="1" w:val="04A0"/>
        <w:tblInd w:w="120" w:type="dxa"/>
      </w:tblPr>
      <w:tblGrid>
        <w:gridCol w:w="720"/>
        <w:gridCol w:w="1700"/>
        <w:gridCol w:w="1200"/>
        <w:gridCol w:w="2790"/>
        <w:gridCol w:w="295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Item</w:t>
            </w:r>
          </w:p>
        </w:tc>
        <w:tc>
          <w:tcPr>
            <w:tcW w:type="dxa" w:w="1700"/>
            <w:shd w:fill="12385B"/>
            <w:tcMar>
              <w:top w:w="80" w:type="dxa"/>
              <w:start w:w="120" w:type="dxa"/>
              <w:bottom w:w="80" w:type="dxa"/>
              <w:end w:w="120" w:type="dxa"/>
            </w:tcMar>
            <w:vAlign w:val="center"/>
          </w:tcPr>
          <w:p>
            <w:pPr>
              <w:spacing w:after="0"/>
              <w:jc w:val="left"/>
            </w:pPr>
            <w:r/>
            <w:r>
              <w:rPr>
                <w:rFonts w:ascii="Calibri" w:hAnsi="Calibri"/>
                <w:b/>
                <w:color w:val="FFFFFF"/>
                <w:sz w:val="18"/>
              </w:rPr>
              <w:t>Result / confidence</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Error code</w:t>
            </w:r>
          </w:p>
        </w:tc>
        <w:tc>
          <w:tcPr>
            <w:tcW w:type="dxa" w:w="2790"/>
            <w:shd w:fill="12385B"/>
            <w:tcMar>
              <w:top w:w="80" w:type="dxa"/>
              <w:start w:w="120" w:type="dxa"/>
              <w:bottom w:w="80" w:type="dxa"/>
              <w:end w:w="120" w:type="dxa"/>
            </w:tcMar>
            <w:vAlign w:val="center"/>
          </w:tcPr>
          <w:p>
            <w:pPr>
              <w:spacing w:after="0"/>
              <w:jc w:val="left"/>
            </w:pPr>
            <w:r/>
            <w:r>
              <w:rPr>
                <w:rFonts w:ascii="Calibri" w:hAnsi="Calibri"/>
                <w:b/>
                <w:color w:val="FFFFFF"/>
                <w:sz w:val="18"/>
              </w:rPr>
              <w:t>Why my option failed</w:t>
            </w:r>
          </w:p>
        </w:tc>
        <w:tc>
          <w:tcPr>
            <w:tcW w:type="dxa" w:w="2950"/>
            <w:shd w:fill="12385B"/>
            <w:tcMar>
              <w:top w:w="80" w:type="dxa"/>
              <w:start w:w="120" w:type="dxa"/>
              <w:bottom w:w="80" w:type="dxa"/>
              <w:end w:w="120" w:type="dxa"/>
            </w:tcMar>
            <w:vAlign w:val="center"/>
          </w:tcPr>
          <w:p>
            <w:pPr>
              <w:spacing w:after="0"/>
              <w:jc w:val="center"/>
            </w:pPr>
            <w:r/>
            <w:r>
              <w:rPr>
                <w:rFonts w:ascii="Calibri" w:hAnsi="Calibri"/>
                <w:b/>
                <w:color w:val="FFFFFF"/>
                <w:sz w:val="18"/>
              </w:rPr>
              <w:t>Transfer rule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bl>
    <w:p>
      <w:pPr>
        <w:spacing w:after="20"/>
      </w:pPr>
    </w:p>
    <w:p>
      <w:pPr>
        <w:pStyle w:val="Heading2"/>
      </w:pPr>
      <w:r>
        <w:t>Readiness and Retake Plan</w:t>
      </w:r>
    </w:p>
    <w:p>
      <w:pPr>
        <w:spacing w:after="40"/>
      </w:pPr>
      <w:r>
        <w:rPr>
          <w:rFonts w:ascii="Calibri" w:hAnsi="Calibri"/>
          <w:b/>
          <w:color w:val="12385B"/>
          <w:sz w:val="21"/>
        </w:rPr>
        <w:t>Items requiring review:</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Most frequent reasoning pattern:</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Workbook chapter and CTA tool to revisit:</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One repair rule I can explain without notes: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Practice action before retake:</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Evidence that I understand why each distractor fails: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Retake date and time limit:</w:t>
      </w:r>
    </w:p>
    <w:p>
      <w:pPr>
        <w:spacing w:after="160"/>
      </w:pPr>
      <w:r>
        <w:rPr>
          <w:rFonts w:ascii="Calibri" w:hAnsi="Calibri"/>
          <w:color w:val="5A6872"/>
          <w:sz w:val="20"/>
        </w:rPr>
        <w:t>______________________________________________________________________________</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READINESS GATE:  </w:t>
            </w:r>
            <w:r>
              <w:rPr>
                <w:rFonts w:ascii="Calibri" w:hAnsi="Calibri"/>
                <w:color w:val="1E2D38"/>
                <w:sz w:val="20"/>
              </w:rPr>
              <w:t>Do not rely on score alone. Before retaking, the learner should be able to identify the decision point, explain why the keyed action comes first, describe the defect in every competing option, and state a transferable repair rule for each missed or low-confidence item.</w:t>
            </w:r>
          </w:p>
        </w:tc>
      </w:tr>
    </w:tbl>
    <w:p>
      <w:pPr>
        <w:spacing w:after="20"/>
      </w:pPr>
    </w:p>
    <w:p>
      <w:pPr>
        <w:pStyle w:val="Heading1"/>
      </w:pPr>
      <w:r>
        <w:t>Current Official Sources and Control Notices</w:t>
      </w:r>
    </w:p>
    <w:p>
      <w:pPr>
        <w:keepLines w:val="0"/>
        <w:spacing w:after="100" w:line="283" w:lineRule="auto"/>
      </w:pPr>
      <w:r>
        <w:rPr>
          <w:rFonts w:ascii="Calibri" w:hAnsi="Calibri"/>
          <w:b/>
          <w:color w:val="12385B"/>
          <w:sz w:val="21"/>
        </w:rPr>
        <w:t xml:space="preserve">Source-control date: </w:t>
      </w:r>
      <w:r>
        <w:rPr>
          <w:rFonts w:ascii="Calibri" w:hAnsi="Calibri"/>
          <w:color w:val="1E2D38"/>
          <w:sz w:val="21"/>
        </w:rPr>
        <w:t>Verified August 1, 2026. Official examination specifications and professional standards can change.</w:t>
      </w:r>
    </w:p>
    <w:p>
      <w:pPr>
        <w:spacing w:after="160"/>
      </w:pPr>
      <w:hyperlink r:id="rId12">
        <w:r>
          <w:rPr>
            <w:color w:val="13A6A6"/>
            <w:u w:val="single"/>
          </w:rPr>
          <w:t>AMFTRB Exam Reference</w:t>
        </w:r>
      </w:hyperlink>
      <w:r>
        <w:rPr>
          <w:rFonts w:ascii="Calibri" w:hAnsi="Calibri"/>
          <w:color w:val="1E2D38"/>
          <w:sz w:val="21"/>
        </w:rPr>
        <w:t xml:space="preserve"> - Official candidate-source guidance and examination reference information.</w:t>
      </w:r>
    </w:p>
    <w:p>
      <w:pPr>
        <w:spacing w:after="160"/>
      </w:pPr>
      <w:hyperlink r:id="rId13">
        <w:r>
          <w:rPr>
            <w:color w:val="13A6A6"/>
            <w:u w:val="single"/>
          </w:rPr>
          <w:t>AMFTRB Your National Exam Roadmap</w:t>
        </w:r>
      </w:hyperlink>
      <w:r>
        <w:rPr>
          <w:rFonts w:ascii="Calibri" w:hAnsi="Calibri"/>
          <w:color w:val="1E2D38"/>
          <w:sz w:val="21"/>
        </w:rPr>
        <w:t xml:space="preserve"> - Current handbook and examination-preparation routing.</w:t>
      </w:r>
    </w:p>
    <w:p>
      <w:pPr>
        <w:spacing w:after="160"/>
      </w:pPr>
      <w:hyperlink r:id="rId14">
        <w:r>
          <w:rPr>
            <w:color w:val="13A6A6"/>
            <w:u w:val="single"/>
          </w:rPr>
          <w:t>AAMFT Code of Ethics</w:t>
        </w:r>
      </w:hyperlink>
      <w:r>
        <w:rPr>
          <w:rFonts w:ascii="Calibri" w:hAnsi="Calibri"/>
          <w:color w:val="1E2D38"/>
          <w:sz w:val="21"/>
        </w:rPr>
        <w:t xml:space="preserve"> - Revised code effective January 1, 2026, including informed consent, client autonomy, benefit, referral, nonabandonment, confidentiality, technology, competence, and consultation principles.</w:t>
      </w: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OFFICIAL-SOURCE DISCLAIMER:  </w:t>
            </w:r>
            <w:r>
              <w:rPr>
                <w:rFonts w:ascii="Calibri" w:hAnsi="Calibri"/>
                <w:color w:val="1E2D38"/>
                <w:sz w:val="20"/>
              </w:rPr>
              <w:t>CTA is an independent educational resource and is not affiliated with or endorsed by AMFTRB, PTC, Prometric, AAMFT, or any licensing board. These are original CTA practice items, not live, recalled, leaked, retired, proprietary, or memorized examination content.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USE AND OUTCOME NOTICE:  </w:t>
            </w:r>
            <w:r>
              <w:rPr>
                <w:rFonts w:ascii="Calibri" w:hAnsi="Calibri"/>
                <w:color w:val="1E2D38"/>
                <w:sz w:val="20"/>
              </w:rPr>
              <w:t>This controlled file is for authorized exam-preparation use. Participation does not guarantee examination passage. This program provides no continuing education (CE) credit.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t xml:space="preserve">Controlled document | Exam preparation only | No CE credit | Page </w:t>
    </w: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5A6872"/>
        <w:sz w:val="16"/>
      </w:rPr>
      <w:t>CTA LMFT AMFTRB | Workbook 7 Controlled Rationales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mftrb.org/exam-info/" TargetMode="External"/><Relationship Id="rId13" Type="http://schemas.openxmlformats.org/officeDocument/2006/relationships/hyperlink" Target="https://amftrb.org/your-exam-roadmap/" TargetMode="External"/><Relationship Id="rId14" Type="http://schemas.openxmlformats.org/officeDocument/2006/relationships/hyperlink" Target="https://www.aamft.org/AAMFT/web/Action-Advocacy/Code-of-Ethics-New.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7 Controlled Answer Key and Detailed Rationales</dc:title>
  <dc:subject>Controlled option-by-option rationales for original CTA Workbook 7 exam-preparation items; no CE credit</dc:subject>
  <dc:creator>Clinical Training &amp; Supervision Academy</dc:creator>
  <cp:keywords>LMFT, AMFTRB, exam preparation, systemic therapy, interventions, controlled answer key</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