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400"/>
        <w:jc w:val="center"/>
      </w:pPr>
      <w:r>
        <w:drawing>
          <wp:inline xmlns:a="http://schemas.openxmlformats.org/drawingml/2006/main" xmlns:pic="http://schemas.openxmlformats.org/drawingml/2006/picture">
            <wp:extent cx="4389120" cy="3018971"/>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3"/>
                    <a:stretch>
                      <a:fillRect/>
                    </a:stretch>
                  </pic:blipFill>
                  <pic:spPr>
                    <a:xfrm>
                      <a:off x="0" y="0"/>
                      <a:ext cx="4389120" cy="3018971"/>
                    </a:xfrm>
                    <a:prstGeom prst="rect"/>
                  </pic:spPr>
                </pic:pic>
              </a:graphicData>
            </a:graphic>
          </wp:inline>
        </w:drawing>
      </w:r>
    </w:p>
    <w:p>
      <w:pPr>
        <w:spacing w:after="60"/>
        <w:jc w:val="center"/>
      </w:pPr>
      <w:r>
        <w:rPr>
          <w:rFonts w:ascii="Calibri" w:hAnsi="Calibri"/>
          <w:b/>
          <w:color w:val="12385B"/>
          <w:sz w:val="34"/>
        </w:rPr>
        <w:t>CTA LMFT AMFTRB</w:t>
      </w:r>
    </w:p>
    <w:p>
      <w:pPr>
        <w:spacing w:after="280"/>
        <w:jc w:val="center"/>
      </w:pPr>
      <w:r>
        <w:rPr>
          <w:rFonts w:ascii="Calibri" w:hAnsi="Calibri"/>
          <w:b/>
          <w:color w:val="13A6A6"/>
          <w:sz w:val="21"/>
        </w:rPr>
        <w:t>NATIONAL EXAM PREPARATION PROGRAM</w:t>
      </w:r>
    </w:p>
    <w:p>
      <w:pPr>
        <w:spacing w:after="140"/>
        <w:jc w:val="center"/>
      </w:pPr>
      <w:r>
        <w:rPr>
          <w:rFonts w:ascii="Calibri" w:hAnsi="Calibri"/>
          <w:b/>
          <w:color w:val="9B1C1C"/>
          <w:sz w:val="20"/>
        </w:rPr>
        <w:t>CONTROLLED DOCUMENT</w:t>
      </w:r>
    </w:p>
    <w:p>
      <w:pPr>
        <w:pStyle w:val="Title"/>
        <w:jc w:val="center"/>
      </w:pPr>
      <w:r>
        <w:t>Answer Key and Detailed Rationales</w:t>
      </w:r>
    </w:p>
    <w:p>
      <w:pPr>
        <w:pStyle w:val="Subtitle"/>
        <w:jc w:val="center"/>
      </w:pPr>
      <w:r>
        <w:t>CTA LMFT AMFTRB Workbook 8</w:t>
      </w:r>
    </w:p>
    <w:p>
      <w:pPr>
        <w:spacing w:after="360"/>
        <w:jc w:val="center"/>
      </w:pPr>
      <w:r>
        <w:rPr>
          <w:rFonts w:ascii="Calibri" w:hAnsi="Calibri"/>
          <w:b/>
          <w:color w:val="12385B"/>
          <w:sz w:val="27"/>
        </w:rPr>
        <w:t>Narrative, Solution-Focused, Experiential, Behavioral,</w:t>
        <w:br/>
        <w:t>Cognitive, and Mindfulness Interventions</w:t>
      </w:r>
    </w:p>
    <w:p>
      <w:pPr>
        <w:spacing w:after="100"/>
        <w:jc w:val="center"/>
      </w:pPr>
      <w:r>
        <w:rPr>
          <w:rFonts w:ascii="Calibri" w:hAnsi="Calibri"/>
          <w:color w:val="5A6872"/>
          <w:sz w:val="20"/>
        </w:rPr>
        <w:t>Version 1.0 - August 2026</w:t>
      </w:r>
    </w:p>
    <w:p>
      <w:pPr>
        <w:jc w:val="center"/>
      </w:pPr>
      <w:r>
        <w:rPr>
          <w:rFonts w:ascii="Calibri" w:hAnsi="Calibri"/>
          <w:b/>
          <w:color w:val="12385B"/>
          <w:sz w:val="21"/>
        </w:rPr>
        <w:t>Clinical Training &amp; Supervision Academy</w:t>
      </w:r>
    </w:p>
    <w:p>
      <w:pPr>
        <w:pStyle w:val="Heading1"/>
        <w:pageBreakBefore/>
      </w:pPr>
      <w:r>
        <w:t>Scoring and Use Instructions</w:t>
      </w:r>
    </w:p>
    <w:p>
      <w:pPr>
        <w:numPr>
          <w:ilvl w:val="0"/>
          <w:numId w:val="10"/>
        </w:numPr>
        <w:spacing w:after="80" w:line="300" w:lineRule="auto"/>
        <w:ind w:left="540" w:hanging="271"/>
      </w:pPr>
      <w:r>
        <w:rPr>
          <w:rFonts w:ascii="Calibri" w:hAnsi="Calibri"/>
          <w:color w:val="1E2D38"/>
          <w:sz w:val="22"/>
        </w:rPr>
        <w:t>Score the first attempt using the compact key. Preserve the learner's original answers, confidence ratings, and time used.</w:t>
      </w:r>
    </w:p>
    <w:p>
      <w:pPr>
        <w:numPr>
          <w:ilvl w:val="0"/>
          <w:numId w:val="10"/>
        </w:numPr>
        <w:spacing w:after="80" w:line="300" w:lineRule="auto"/>
        <w:ind w:left="540" w:hanging="271"/>
      </w:pPr>
      <w:r>
        <w:rPr>
          <w:rFonts w:ascii="Calibri" w:hAnsi="Calibri"/>
          <w:color w:val="1E2D38"/>
          <w:sz w:val="22"/>
        </w:rPr>
        <w:t>Review every incorrect answer and every correct answer marked confidence 1 or 2. Read all four option rationales before writing a transfer rule.</w:t>
      </w:r>
    </w:p>
    <w:p>
      <w:pPr>
        <w:numPr>
          <w:ilvl w:val="0"/>
          <w:numId w:val="10"/>
        </w:numPr>
        <w:spacing w:after="80" w:line="300" w:lineRule="auto"/>
        <w:ind w:left="540" w:hanging="271"/>
      </w:pPr>
      <w:r>
        <w:rPr>
          <w:rFonts w:ascii="Calibri" w:hAnsi="Calibri"/>
          <w:color w:val="1E2D38"/>
          <w:sz w:val="22"/>
        </w:rPr>
        <w:t>Assign the controlled remediation code and examine whether another recurring reasoning pattern also contributed.</w:t>
      </w:r>
    </w:p>
    <w:p>
      <w:pPr>
        <w:numPr>
          <w:ilvl w:val="0"/>
          <w:numId w:val="10"/>
        </w:numPr>
        <w:spacing w:after="80" w:line="300" w:lineRule="auto"/>
        <w:ind w:left="540" w:hanging="271"/>
      </w:pPr>
      <w:r>
        <w:rPr>
          <w:rFonts w:ascii="Calibri" w:hAnsi="Calibri"/>
          <w:color w:val="1E2D38"/>
          <w:sz w:val="22"/>
        </w:rPr>
        <w:t>Return to the named objective and chapter/tool, complete the remediation plan, and retake only after the learner can explain the decision point and competing-option defects.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CONTROLLED USE:  </w:t>
            </w:r>
            <w:r>
              <w:rPr>
                <w:rFonts w:ascii="Calibri" w:hAnsi="Calibri"/>
                <w:color w:val="1E2D38"/>
                <w:sz w:val="20"/>
              </w:rPr>
              <w:t>Release only after the candidate completes and records the first timed attempt. Keep this file separate from the learner-facing candidate bank.</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CURRENCY CONTROL:  </w:t>
            </w:r>
            <w:r>
              <w:rPr>
                <w:rFonts w:ascii="Calibri" w:hAnsi="Calibri"/>
                <w:color w:val="1E2D38"/>
                <w:sz w:val="20"/>
              </w:rPr>
              <w:t>Clinical reasoning in this file does not replace current law, regulation, ethics, board guidance, organizational policy, or individualized consultation. Jurisdiction-dependent requirements must be verified before practice application.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12385B"/>
                <w:sz w:val="20"/>
              </w:rPr>
              <w:t xml:space="preserve">PROGRAM DESIGNATION:  </w:t>
            </w:r>
            <w:r>
              <w:rPr>
                <w:rFonts w:ascii="Calibri" w:hAnsi="Calibri"/>
                <w:color w:val="1E2D38"/>
                <w:sz w:val="20"/>
              </w:rPr>
              <w:t>Editable Word document | Original CTA exam preparation | No CE credit | Participation does not guarantee examination passage.</w:t>
            </w:r>
          </w:p>
        </w:tc>
      </w:tr>
    </w:tbl>
    <w:p>
      <w:pPr>
        <w:spacing w:after="20"/>
      </w:pPr>
    </w:p>
    <w:p>
      <w:pPr>
        <w:pStyle w:val="Heading2"/>
      </w:pPr>
      <w:r>
        <w:t>Compact Answer Key</w:t>
      </w:r>
    </w:p>
    <w:tbl>
      <w:tblPr>
        <w:tblW w:type="dxa" w:w="9360"/>
        <w:jc w:val="center"/>
        <w:tblLayout w:type="fixed"/>
        <w:tblLook w:firstColumn="1" w:firstRow="1" w:lastColumn="0" w:lastRow="0" w:noHBand="0" w:noVBand="1" w:val="04A0"/>
        <w:tblInd w:w="0" w:type="dxa"/>
      </w:tblPr>
      <w:tblGrid>
        <w:gridCol w:w="690"/>
        <w:gridCol w:w="510"/>
        <w:gridCol w:w="510"/>
        <w:gridCol w:w="510"/>
        <w:gridCol w:w="510"/>
        <w:gridCol w:w="510"/>
        <w:gridCol w:w="510"/>
        <w:gridCol w:w="510"/>
        <w:gridCol w:w="510"/>
        <w:gridCol w:w="510"/>
        <w:gridCol w:w="510"/>
        <w:gridCol w:w="510"/>
        <w:gridCol w:w="510"/>
        <w:gridCol w:w="510"/>
        <w:gridCol w:w="510"/>
        <w:gridCol w:w="510"/>
        <w:gridCol w:w="510"/>
        <w:gridCol w:w="510"/>
      </w:tblGrid>
      <w:tr>
        <w:trPr>
          <w:tblHeader w:val="true"/>
          <w:cantSplit/>
        </w:trPr>
        <w:tc>
          <w:tcPr>
            <w:tcW w:type="dxa" w:w="690"/>
            <w:shd w:fill="12385B"/>
            <w:tcMar>
              <w:top w:w="80" w:type="dxa"/>
              <w:start w:w="120" w:type="dxa"/>
              <w:bottom w:w="80" w:type="dxa"/>
              <w:end w:w="120" w:type="dxa"/>
            </w:tcMar>
            <w:vAlign w:val="center"/>
          </w:tcPr>
          <w:p>
            <w:pPr>
              <w:spacing w:after="0"/>
              <w:jc w:val="center"/>
            </w:pPr>
            <w:r/>
            <w:r>
              <w:rPr>
                <w:rFonts w:ascii="Calibri" w:hAnsi="Calibri"/>
                <w:b/>
                <w:color w:val="FFFFFF"/>
                <w:sz w:val="18"/>
              </w:rPr>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2</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3</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4</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5</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6</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7</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8</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9</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10</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11</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12</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13</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14</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15</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16</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17</w:t>
            </w:r>
          </w:p>
        </w:tc>
      </w:tr>
      <w:tr>
        <w:trPr>
          <w:cantSplit/>
        </w:trPr>
        <w:tc>
          <w:tcPr>
            <w:tcW w:type="dxa" w:w="690"/>
            <w:tcMar>
              <w:top w:w="80" w:type="dxa"/>
              <w:start w:w="120" w:type="dxa"/>
              <w:bottom w:w="80" w:type="dxa"/>
              <w:end w:w="120" w:type="dxa"/>
            </w:tcMar>
            <w:vAlign w:val="center"/>
          </w:tcPr>
          <w:p>
            <w:pPr>
              <w:spacing w:after="0" w:line="259" w:lineRule="auto"/>
              <w:jc w:val="center"/>
            </w:pPr>
            <w:r/>
            <w:r>
              <w:rPr>
                <w:rFonts w:ascii="Calibri" w:hAnsi="Calibri"/>
                <w:color w:val="1E2D38"/>
                <w:sz w:val="15"/>
              </w:rPr>
              <w:t>Key</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r>
      <w:tr>
        <w:trPr>
          <w:cantSplit/>
        </w:trPr>
        <w:tc>
          <w:tcPr>
            <w:tcW w:type="dxa" w:w="69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5"/>
              </w:rPr>
              <w:t>Code</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R2</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R2</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R4</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R3</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R5</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R5</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R6</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R7</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R7</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R8</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R8</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R2</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R10</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R10</w:t>
            </w:r>
          </w:p>
        </w:tc>
      </w:tr>
    </w:tbl>
    <w:p>
      <w:pPr>
        <w:spacing w:after="20"/>
      </w:pPr>
    </w:p>
    <w:p>
      <w:pPr>
        <w:pStyle w:val="Heading2"/>
        <w:pageBreakBefore/>
      </w:pPr>
      <w:r>
        <w:t>Blueprint Synchronization Audit</w:t>
      </w:r>
    </w:p>
    <w:tbl>
      <w:tblPr>
        <w:tblW w:type="dxa" w:w="9360"/>
        <w:jc w:val="center"/>
        <w:tblLayout w:type="fixed"/>
        <w:tblLook w:firstColumn="1" w:firstRow="1" w:lastColumn="0" w:lastRow="0" w:noHBand="0" w:noVBand="1" w:val="04A0"/>
        <w:tblInd w:w="0" w:type="dxa"/>
      </w:tblPr>
      <w:tblGrid>
        <w:gridCol w:w="1600"/>
        <w:gridCol w:w="2900"/>
        <w:gridCol w:w="3240"/>
        <w:gridCol w:w="1620"/>
      </w:tblGrid>
      <w:tr>
        <w:trPr>
          <w:tblHeader w:val="true"/>
          <w:cantSplit/>
        </w:trPr>
        <w:tc>
          <w:tcPr>
            <w:tcW w:type="dxa" w:w="1600"/>
            <w:shd w:fill="12385B"/>
            <w:tcMar>
              <w:top w:w="80" w:type="dxa"/>
              <w:start w:w="120" w:type="dxa"/>
              <w:bottom w:w="80" w:type="dxa"/>
              <w:end w:w="120" w:type="dxa"/>
            </w:tcMar>
            <w:vAlign w:val="center"/>
          </w:tcPr>
          <w:p>
            <w:pPr>
              <w:spacing w:after="0"/>
              <w:jc w:val="center"/>
            </w:pPr>
            <w:r/>
            <w:r>
              <w:rPr>
                <w:rFonts w:ascii="Calibri" w:hAnsi="Calibri"/>
                <w:b/>
                <w:color w:val="FFFFFF"/>
                <w:sz w:val="18"/>
              </w:rPr>
              <w:t>Dimension</w:t>
            </w:r>
          </w:p>
        </w:tc>
        <w:tc>
          <w:tcPr>
            <w:tcW w:type="dxa" w:w="2900"/>
            <w:shd w:fill="12385B"/>
            <w:tcMar>
              <w:top w:w="80" w:type="dxa"/>
              <w:start w:w="120" w:type="dxa"/>
              <w:bottom w:w="80" w:type="dxa"/>
              <w:end w:w="120" w:type="dxa"/>
            </w:tcMar>
            <w:vAlign w:val="center"/>
          </w:tcPr>
          <w:p>
            <w:pPr>
              <w:spacing w:after="0"/>
              <w:jc w:val="center"/>
            </w:pPr>
            <w:r/>
            <w:r>
              <w:rPr>
                <w:rFonts w:ascii="Calibri" w:hAnsi="Calibri"/>
                <w:b/>
                <w:color w:val="FFFFFF"/>
                <w:sz w:val="18"/>
              </w:rPr>
              <w:t>Required</w:t>
            </w:r>
          </w:p>
        </w:tc>
        <w:tc>
          <w:tcPr>
            <w:tcW w:type="dxa" w:w="3240"/>
            <w:shd w:fill="12385B"/>
            <w:tcMar>
              <w:top w:w="80" w:type="dxa"/>
              <w:start w:w="120" w:type="dxa"/>
              <w:bottom w:w="80" w:type="dxa"/>
              <w:end w:w="120" w:type="dxa"/>
            </w:tcMar>
            <w:vAlign w:val="center"/>
          </w:tcPr>
          <w:p>
            <w:pPr>
              <w:spacing w:after="0"/>
              <w:jc w:val="left"/>
            </w:pPr>
            <w:r/>
            <w:r>
              <w:rPr>
                <w:rFonts w:ascii="Calibri" w:hAnsi="Calibri"/>
                <w:b/>
                <w:color w:val="FFFFFF"/>
                <w:sz w:val="18"/>
              </w:rPr>
              <w:t>Controlled result</w:t>
            </w:r>
          </w:p>
        </w:tc>
        <w:tc>
          <w:tcPr>
            <w:tcW w:type="dxa" w:w="1620"/>
            <w:shd w:fill="12385B"/>
            <w:tcMar>
              <w:top w:w="80" w:type="dxa"/>
              <w:start w:w="120" w:type="dxa"/>
              <w:bottom w:w="80" w:type="dxa"/>
              <w:end w:w="120" w:type="dxa"/>
            </w:tcMar>
            <w:vAlign w:val="center"/>
          </w:tcPr>
          <w:p>
            <w:pPr>
              <w:spacing w:after="0"/>
              <w:jc w:val="center"/>
            </w:pPr>
            <w:r/>
            <w:r>
              <w:rPr>
                <w:rFonts w:ascii="Calibri" w:hAnsi="Calibri"/>
                <w:b/>
                <w:color w:val="FFFFFF"/>
                <w:sz w:val="18"/>
              </w:rPr>
              <w:t>Status</w:t>
            </w:r>
          </w:p>
        </w:tc>
      </w:tr>
      <w:tr>
        <w:trPr>
          <w:cantSplit/>
        </w:trPr>
        <w:tc>
          <w:tcPr>
            <w:tcW w:type="dxa" w:w="1600"/>
            <w:tcMar>
              <w:top w:w="80" w:type="dxa"/>
              <w:start w:w="120" w:type="dxa"/>
              <w:bottom w:w="80" w:type="dxa"/>
              <w:end w:w="120" w:type="dxa"/>
            </w:tcMar>
            <w:vAlign w:val="center"/>
          </w:tcPr>
          <w:p>
            <w:pPr>
              <w:spacing w:after="0" w:line="259" w:lineRule="auto"/>
              <w:jc w:val="center"/>
            </w:pPr>
            <w:r/>
            <w:r>
              <w:rPr>
                <w:rFonts w:ascii="Calibri" w:hAnsi="Calibri"/>
                <w:color w:val="1E2D38"/>
                <w:sz w:val="17"/>
              </w:rPr>
              <w:t>Total</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7"/>
              </w:rPr>
              <w:t>17</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7"/>
              </w:rPr>
              <w:t>17</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7"/>
              </w:rPr>
              <w:t>PASS</w:t>
            </w:r>
          </w:p>
        </w:tc>
      </w:tr>
      <w:tr>
        <w:trPr>
          <w:cantSplit/>
        </w:trPr>
        <w:tc>
          <w:tcPr>
            <w:tcW w:type="dxa" w:w="1600"/>
            <w:tcMar>
              <w:top w:w="80" w:type="dxa"/>
              <w:start w:w="120" w:type="dxa"/>
              <w:bottom w:w="80" w:type="dxa"/>
              <w:end w:w="120" w:type="dxa"/>
            </w:tcMar>
            <w:vAlign w:val="center"/>
            <w:shd w:fill="F8FAFC"/>
          </w:tcPr>
          <w:p>
            <w:pPr>
              <w:spacing w:after="0" w:line="259" w:lineRule="auto"/>
            </w:pPr>
            <w:r/>
            <w:r>
              <w:rPr>
                <w:rFonts w:ascii="Calibri" w:hAnsi="Calibri"/>
                <w:color w:val="1E2D38"/>
                <w:sz w:val="17"/>
              </w:rPr>
              <w:t>Difficulty</w:t>
            </w:r>
          </w:p>
        </w:tc>
        <w:tc>
          <w:tcPr>
            <w:tcW w:type="dxa" w:w="2900"/>
            <w:tcMar>
              <w:top w:w="80" w:type="dxa"/>
              <w:start w:w="120" w:type="dxa"/>
              <w:bottom w:w="80" w:type="dxa"/>
              <w:end w:w="120" w:type="dxa"/>
            </w:tcMar>
            <w:vAlign w:val="center"/>
            <w:shd w:fill="F8FAFC"/>
          </w:tcPr>
          <w:p>
            <w:pPr>
              <w:spacing w:after="0" w:line="259" w:lineRule="auto"/>
            </w:pPr>
            <w:r/>
            <w:r>
              <w:rPr>
                <w:rFonts w:ascii="Calibri" w:hAnsi="Calibri"/>
                <w:color w:val="1E2D38"/>
                <w:sz w:val="17"/>
              </w:rPr>
              <w:t>E=5; M=7; D=5</w:t>
            </w:r>
          </w:p>
        </w:tc>
        <w:tc>
          <w:tcPr>
            <w:tcW w:type="dxa" w:w="3240"/>
            <w:tcMar>
              <w:top w:w="80" w:type="dxa"/>
              <w:start w:w="120" w:type="dxa"/>
              <w:bottom w:w="80" w:type="dxa"/>
              <w:end w:w="120" w:type="dxa"/>
            </w:tcMar>
            <w:vAlign w:val="center"/>
            <w:shd w:fill="F8FAFC"/>
          </w:tcPr>
          <w:p>
            <w:pPr>
              <w:spacing w:after="0" w:line="259" w:lineRule="auto"/>
            </w:pPr>
            <w:r/>
            <w:r>
              <w:rPr>
                <w:rFonts w:ascii="Calibri" w:hAnsi="Calibri"/>
                <w:color w:val="1E2D38"/>
                <w:sz w:val="17"/>
              </w:rPr>
              <w:t>E=5; M=7; D=5</w:t>
            </w:r>
          </w:p>
        </w:tc>
        <w:tc>
          <w:tcPr>
            <w:tcW w:type="dxa" w:w="1620"/>
            <w:tcMar>
              <w:top w:w="80" w:type="dxa"/>
              <w:start w:w="120" w:type="dxa"/>
              <w:bottom w:w="80" w:type="dxa"/>
              <w:end w:w="120" w:type="dxa"/>
            </w:tcMar>
            <w:vAlign w:val="center"/>
            <w:shd w:fill="F8FAFC"/>
          </w:tcPr>
          <w:p>
            <w:pPr>
              <w:spacing w:after="0" w:line="259" w:lineRule="auto"/>
            </w:pPr>
            <w:r/>
            <w:r>
              <w:rPr>
                <w:rFonts w:ascii="Calibri" w:hAnsi="Calibri"/>
                <w:color w:val="1E2D38"/>
                <w:sz w:val="17"/>
              </w:rPr>
              <w:t>PASS</w:t>
            </w:r>
          </w:p>
        </w:tc>
      </w:tr>
      <w:tr>
        <w:trPr>
          <w:cantSplit/>
        </w:trPr>
        <w:tc>
          <w:tcPr>
            <w:tcW w:type="dxa" w:w="1600"/>
            <w:tcMar>
              <w:top w:w="80" w:type="dxa"/>
              <w:start w:w="120" w:type="dxa"/>
              <w:bottom w:w="80" w:type="dxa"/>
              <w:end w:w="120" w:type="dxa"/>
            </w:tcMar>
            <w:vAlign w:val="center"/>
          </w:tcPr>
          <w:p>
            <w:pPr>
              <w:spacing w:after="0" w:line="259" w:lineRule="auto"/>
              <w:jc w:val="center"/>
            </w:pPr>
            <w:r/>
            <w:r>
              <w:rPr>
                <w:rFonts w:ascii="Calibri" w:hAnsi="Calibri"/>
                <w:color w:val="1E2D38"/>
                <w:sz w:val="17"/>
              </w:rPr>
              <w:t>Type</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7"/>
              </w:rPr>
              <w:t>K=3; A=5; S=6; I=3</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7"/>
              </w:rPr>
              <w:t>K=3; A=5; S=6; I=3</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7"/>
              </w:rPr>
              <w:t>PASS</w:t>
            </w:r>
          </w:p>
        </w:tc>
      </w:tr>
      <w:tr>
        <w:trPr>
          <w:cantSplit/>
        </w:trPr>
        <w:tc>
          <w:tcPr>
            <w:tcW w:type="dxa" w:w="1600"/>
            <w:tcMar>
              <w:top w:w="80" w:type="dxa"/>
              <w:start w:w="120" w:type="dxa"/>
              <w:bottom w:w="80" w:type="dxa"/>
              <w:end w:w="120" w:type="dxa"/>
            </w:tcMar>
            <w:vAlign w:val="center"/>
            <w:shd w:fill="F8FAFC"/>
          </w:tcPr>
          <w:p>
            <w:pPr>
              <w:spacing w:after="0" w:line="259" w:lineRule="auto"/>
            </w:pPr>
            <w:r/>
            <w:r>
              <w:rPr>
                <w:rFonts w:ascii="Calibri" w:hAnsi="Calibri"/>
                <w:color w:val="1E2D38"/>
                <w:sz w:val="17"/>
              </w:rPr>
              <w:t>Primary domain</w:t>
            </w:r>
          </w:p>
        </w:tc>
        <w:tc>
          <w:tcPr>
            <w:tcW w:type="dxa" w:w="2900"/>
            <w:tcMar>
              <w:top w:w="80" w:type="dxa"/>
              <w:start w:w="120" w:type="dxa"/>
              <w:bottom w:w="80" w:type="dxa"/>
              <w:end w:w="120" w:type="dxa"/>
            </w:tcMar>
            <w:vAlign w:val="center"/>
            <w:shd w:fill="F8FAFC"/>
          </w:tcPr>
          <w:p>
            <w:pPr>
              <w:spacing w:after="0" w:line="259" w:lineRule="auto"/>
            </w:pPr>
            <w:r/>
            <w:r>
              <w:rPr>
                <w:rFonts w:ascii="Calibri" w:hAnsi="Calibri"/>
                <w:color w:val="1E2D38"/>
                <w:sz w:val="17"/>
              </w:rPr>
              <w:t>D1=2; D2=1; D3=11; D4=1; D6=2</w:t>
            </w:r>
          </w:p>
        </w:tc>
        <w:tc>
          <w:tcPr>
            <w:tcW w:type="dxa" w:w="3240"/>
            <w:tcMar>
              <w:top w:w="80" w:type="dxa"/>
              <w:start w:w="120" w:type="dxa"/>
              <w:bottom w:w="80" w:type="dxa"/>
              <w:end w:w="120" w:type="dxa"/>
            </w:tcMar>
            <w:vAlign w:val="center"/>
            <w:shd w:fill="F8FAFC"/>
          </w:tcPr>
          <w:p>
            <w:pPr>
              <w:spacing w:after="0" w:line="259" w:lineRule="auto"/>
            </w:pPr>
            <w:r/>
            <w:r>
              <w:rPr>
                <w:rFonts w:ascii="Calibri" w:hAnsi="Calibri"/>
                <w:color w:val="1E2D38"/>
                <w:sz w:val="17"/>
              </w:rPr>
              <w:t>D1=2; D2=1; D3=11; D4=1; D6=2</w:t>
            </w:r>
          </w:p>
        </w:tc>
        <w:tc>
          <w:tcPr>
            <w:tcW w:type="dxa" w:w="1620"/>
            <w:tcMar>
              <w:top w:w="80" w:type="dxa"/>
              <w:start w:w="120" w:type="dxa"/>
              <w:bottom w:w="80" w:type="dxa"/>
              <w:end w:w="120" w:type="dxa"/>
            </w:tcMar>
            <w:vAlign w:val="center"/>
            <w:shd w:fill="F8FAFC"/>
          </w:tcPr>
          <w:p>
            <w:pPr>
              <w:spacing w:after="0" w:line="259" w:lineRule="auto"/>
            </w:pPr>
            <w:r/>
            <w:r>
              <w:rPr>
                <w:rFonts w:ascii="Calibri" w:hAnsi="Calibri"/>
                <w:color w:val="1E2D38"/>
                <w:sz w:val="17"/>
              </w:rPr>
              <w:t>PASS</w:t>
            </w:r>
          </w:p>
        </w:tc>
      </w:tr>
      <w:tr>
        <w:trPr>
          <w:cantSplit/>
        </w:trPr>
        <w:tc>
          <w:tcPr>
            <w:tcW w:type="dxa" w:w="1600"/>
            <w:tcMar>
              <w:top w:w="80" w:type="dxa"/>
              <w:start w:w="120" w:type="dxa"/>
              <w:bottom w:w="80" w:type="dxa"/>
              <w:end w:w="120" w:type="dxa"/>
            </w:tcMar>
            <w:vAlign w:val="center"/>
          </w:tcPr>
          <w:p>
            <w:pPr>
              <w:spacing w:after="0" w:line="259" w:lineRule="auto"/>
            </w:pPr>
            <w:r/>
            <w:r>
              <w:rPr>
                <w:rFonts w:ascii="Calibri" w:hAnsi="Calibri"/>
                <w:color w:val="1E2D38"/>
                <w:sz w:val="17"/>
              </w:rPr>
              <w:t>Key position</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7"/>
              </w:rPr>
              <w:t>A=5; B=4; C=4; D=4</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7"/>
              </w:rPr>
              <w:t>A=5; B=4; C=4; D=4</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7"/>
              </w:rPr>
              <w:t>PASS</w:t>
            </w:r>
          </w:p>
        </w:tc>
      </w:tr>
    </w:tbl>
    <w:p>
      <w:pPr>
        <w:spacing w:after="20"/>
      </w:pPr>
    </w:p>
    <w:p>
      <w:pPr>
        <w:pStyle w:val="Heading1"/>
      </w:pPr>
      <w:r>
        <w:t>Item 1 -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Which principle BEST guides the selection of an intervention after a systemic assessment has identified an agreed treatment goal?</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Choose a method whose proposed mechanism addresses the maintaining process and define how response will be observed.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Choose the method with the greatest number of techniques, regardless of the identified pattern.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Combine methods from several models before determining which mechanism is relevant.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Use the therapist's most familiar exercise because familiarity is the strongest evidence of fit.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links intervention selection to the systemic formulation: the method must act on the maintaining process, advance the agreed goal, and generate an observable response. This creates a testable clinical rationale instead of choosing by novelty, quantity, or therapist preference.</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connects mechanism, target, and response monitoring—the core chain required for coherent intervention selection.</w:t>
      </w:r>
    </w:p>
    <w:p>
      <w:pPr>
        <w:keepLines/>
        <w:spacing w:after="100" w:line="283" w:lineRule="auto"/>
      </w:pPr>
      <w:r>
        <w:rPr>
          <w:rFonts w:ascii="Calibri" w:hAnsi="Calibri"/>
          <w:b/>
          <w:color w:val="12385B"/>
          <w:sz w:val="21"/>
        </w:rPr>
        <w:t xml:space="preserve">B: </w:t>
      </w:r>
      <w:r>
        <w:rPr>
          <w:rFonts w:ascii="Calibri" w:hAnsi="Calibri"/>
          <w:color w:val="1E2D38"/>
          <w:sz w:val="21"/>
        </w:rPr>
        <w:t>Technique-count trap. A larger menu does not establish that any method fits the identified maintaining process.</w:t>
      </w:r>
    </w:p>
    <w:p>
      <w:pPr>
        <w:keepLines/>
        <w:spacing w:after="100" w:line="283" w:lineRule="auto"/>
      </w:pPr>
      <w:r>
        <w:rPr>
          <w:rFonts w:ascii="Calibri" w:hAnsi="Calibri"/>
          <w:b/>
          <w:color w:val="12385B"/>
          <w:sz w:val="21"/>
        </w:rPr>
        <w:t xml:space="preserve">C: </w:t>
      </w:r>
      <w:r>
        <w:rPr>
          <w:rFonts w:ascii="Calibri" w:hAnsi="Calibri"/>
          <w:color w:val="1E2D38"/>
          <w:sz w:val="21"/>
        </w:rPr>
        <w:t>Premature integration. Combining methods before identifying the relevant mechanism produces activity without a coherent formulation.</w:t>
      </w:r>
    </w:p>
    <w:p>
      <w:pPr>
        <w:keepLines/>
        <w:spacing w:after="100" w:line="283" w:lineRule="auto"/>
      </w:pPr>
      <w:r>
        <w:rPr>
          <w:rFonts w:ascii="Calibri" w:hAnsi="Calibri"/>
          <w:b/>
          <w:color w:val="12385B"/>
          <w:sz w:val="21"/>
        </w:rPr>
        <w:t xml:space="preserve">D: </w:t>
      </w:r>
      <w:r>
        <w:rPr>
          <w:rFonts w:ascii="Calibri" w:hAnsi="Calibri"/>
          <w:color w:val="1E2D38"/>
          <w:sz w:val="21"/>
        </w:rPr>
        <w:t>Therapist-centered selection. Familiarity may affect competence, but it is not the strongest evidence that an exercise fits this client system and decision point.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model-selection items, favor the option that explicitly connects maintaining mechanism, agreed goal, client fit, and an observable response indicator.</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State the chain in one sentence: because this process maintains the problem, this method should change it, and this response will show whether it fits.</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Match intervention to maintaining mechanism and goal</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MATCH</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2 -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therapist externalizes a family problem in one session, assigns a communication script in the next, and begins mindfulness practice in the third. Family members now ask how the activities relate to their goal.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Add a solution-focused task so the family experiences a broader range of methods.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Pause technique delivery, restate or revise the working hypothesis and target with the family, and select a coherent next method with a response indicator.</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Explain that integration means using techniques from as many theories as possible.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Continue the sequence because questioning the rationale may interfere with treatment.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family is experiencing technique accumulation without a shared rationale. Option B pauses further method delivery, restores the hypothesis and target collaboratively, and defines how the next intervention will be evaluated.</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Adds to the defect. Another disconnected task increases technique accumulation instead of repairing coherence.</w:t>
      </w:r>
    </w:p>
    <w:p>
      <w:pPr>
        <w:keepLines/>
        <w:spacing w:after="100" w:line="283" w:lineRule="auto"/>
      </w:pPr>
      <w:r>
        <w:rPr>
          <w:rFonts w:ascii="Calibri" w:hAnsi="Calibri"/>
          <w:b/>
          <w:color w:val="1F3A5F"/>
          <w:sz w:val="21"/>
        </w:rPr>
        <w:t xml:space="preserve">B: </w:t>
      </w:r>
      <w:r>
        <w:rPr>
          <w:rFonts w:ascii="Calibri" w:hAnsi="Calibri"/>
          <w:color w:val="1E2D38"/>
          <w:sz w:val="21"/>
        </w:rPr>
        <w:t>Correct. It reconnects formulation, goal, mechanism, intervention, and response monitoring with the family.</w:t>
      </w:r>
    </w:p>
    <w:p>
      <w:pPr>
        <w:keepLines/>
        <w:spacing w:after="100" w:line="283" w:lineRule="auto"/>
      </w:pPr>
      <w:r>
        <w:rPr>
          <w:rFonts w:ascii="Calibri" w:hAnsi="Calibri"/>
          <w:b/>
          <w:color w:val="12385B"/>
          <w:sz w:val="21"/>
        </w:rPr>
        <w:t xml:space="preserve">C: </w:t>
      </w:r>
      <w:r>
        <w:rPr>
          <w:rFonts w:ascii="Calibri" w:hAnsi="Calibri"/>
          <w:color w:val="1E2D38"/>
          <w:sz w:val="21"/>
        </w:rPr>
        <w:t>Incorrect definition. Integration is purposeful coordination of methods around a formulation, not representation of many theories.</w:t>
      </w:r>
    </w:p>
    <w:p>
      <w:pPr>
        <w:keepLines/>
        <w:spacing w:after="100" w:line="283" w:lineRule="auto"/>
      </w:pPr>
      <w:r>
        <w:rPr>
          <w:rFonts w:ascii="Calibri" w:hAnsi="Calibri"/>
          <w:b/>
          <w:color w:val="12385B"/>
          <w:sz w:val="21"/>
        </w:rPr>
        <w:t xml:space="preserve">D: </w:t>
      </w:r>
      <w:r>
        <w:rPr>
          <w:rFonts w:ascii="Calibri" w:hAnsi="Calibri"/>
          <w:color w:val="1E2D38"/>
          <w:sz w:val="21"/>
        </w:rPr>
        <w:t>Alliance and feedback neglect. The family’s question is clinically useful information that the rationale and plan are unclear.</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several methods appear without a clear link, stop adding techniques and rebuild the hypothesis-to-intervention chain.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Name one working hypothesis, one target, one proposed mechanism, and one response indicator before selecting another method.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Prevent technique accumulation through model coherence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 and 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MATCH</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3 -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bilingual, multigenerational family seeks help for a teenager's school refusal. The referral requests individual treatment, while the family describes shared caregiving, transportation barriers, and different meanings of school attendance. Before choosing a model, what should the therapist do?</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Accept the referral's individual treatment unit because the school initiated services.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Select the most structured manual so cultural and access differences do not affect the plan.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Clarify the client and treatment unit, map the interaction and context, assess language and access needs, and elicit the family's goals, meanings, preferences, and readiness.</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Meet only with the teenager until school attendance improves, then invite caregivers.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performs the assessment needed before choosing a model: it clarifies client and treatment unit, maps relational and practical context, addresses language and access, and elicits the family’s meanings, preferences, goals, and readiness. The referral source does not determine these decisions by itself.</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Referral-control error. A school request informs care but does not automatically define the clinical treatment unit.</w:t>
      </w:r>
    </w:p>
    <w:p>
      <w:pPr>
        <w:keepLines/>
        <w:spacing w:after="100" w:line="283" w:lineRule="auto"/>
      </w:pPr>
      <w:r>
        <w:rPr>
          <w:rFonts w:ascii="Calibri" w:hAnsi="Calibri"/>
          <w:b/>
          <w:color w:val="12385B"/>
          <w:sz w:val="21"/>
        </w:rPr>
        <w:t xml:space="preserve">B: </w:t>
      </w:r>
      <w:r>
        <w:rPr>
          <w:rFonts w:ascii="Calibri" w:hAnsi="Calibri"/>
          <w:color w:val="1E2D38"/>
          <w:sz w:val="21"/>
        </w:rPr>
        <w:t>Manual-first mismatch. Structure does not neutralize culture, language, access, or fit; those factors must be assessed directly.</w:t>
      </w:r>
    </w:p>
    <w:p>
      <w:pPr>
        <w:keepLines/>
        <w:spacing w:after="100" w:line="283" w:lineRule="auto"/>
      </w:pPr>
      <w:r>
        <w:rPr>
          <w:rFonts w:ascii="Calibri" w:hAnsi="Calibri"/>
          <w:b/>
          <w:color w:val="1F3A5F"/>
          <w:sz w:val="21"/>
        </w:rPr>
        <w:t xml:space="preserve">C: </w:t>
      </w:r>
      <w:r>
        <w:rPr>
          <w:rFonts w:ascii="Calibri" w:hAnsi="Calibri"/>
          <w:color w:val="1E2D38"/>
          <w:sz w:val="21"/>
        </w:rPr>
        <w:t>Correct. It establishes the treatment unit and gathers the contextual and collaborative information needed for model fit.</w:t>
      </w:r>
    </w:p>
    <w:p>
      <w:pPr>
        <w:keepLines/>
        <w:spacing w:after="100" w:line="283" w:lineRule="auto"/>
      </w:pPr>
      <w:r>
        <w:rPr>
          <w:rFonts w:ascii="Calibri" w:hAnsi="Calibri"/>
          <w:b/>
          <w:color w:val="12385B"/>
          <w:sz w:val="21"/>
        </w:rPr>
        <w:t xml:space="preserve">D: </w:t>
      </w:r>
      <w:r>
        <w:rPr>
          <w:rFonts w:ascii="Calibri" w:hAnsi="Calibri"/>
          <w:color w:val="1E2D38"/>
          <w:sz w:val="21"/>
        </w:rPr>
        <w:t>Premature narrowing. Excluding caregivers before assessing the system ignores shared caregiving, access barriers, and the family’s stated context.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Before selecting a model, clarify who the client is, who must participate, what maintains the problem, and what contextual factors shape feasibility and meaning.</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MATCH: mechanism, aim, treatment unit, culture/context, and how change will be observed—plus readiness, preference, and access.</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Treatment unit, culture, readiness, and model fit</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 and 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MATCH</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4 -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family repeatedly calls an adolescent “a thief” after the adolescent has taken a sibling's prescribed medication. The medication is now secured, and the therapist is addressing safety and repair. Which narrative response is BEST?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Ask the family to stop discussing the taking because attention strengthens problem stories.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Explain that externalizing means the adolescent is not responsible for the behavior.</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Replace “thief” with a harmless-sounding label so the family can move forward quickly.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Separate the adolescent's identity from the medication-taking pattern while mapping its effects and context, maintaining accountability, and developing a preferred identity through concrete repair and safer action.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separates the adolescent’s identity from the medication-taking pattern while still naming its effects, maintaining responsibility, and supporting repair and safer future action. Narrative externalizing is not denial, minimization, or removal of accountability.</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Avoidance. Stopping discussion would prevent assessment of effects, responsibility, repair, and future safety.</w:t>
      </w:r>
    </w:p>
    <w:p>
      <w:pPr>
        <w:keepLines/>
        <w:spacing w:after="100" w:line="283" w:lineRule="auto"/>
      </w:pPr>
      <w:r>
        <w:rPr>
          <w:rFonts w:ascii="Calibri" w:hAnsi="Calibri"/>
          <w:b/>
          <w:color w:val="12385B"/>
          <w:sz w:val="21"/>
        </w:rPr>
        <w:t xml:space="preserve">B: </w:t>
      </w:r>
      <w:r>
        <w:rPr>
          <w:rFonts w:ascii="Calibri" w:hAnsi="Calibri"/>
          <w:color w:val="1E2D38"/>
          <w:sz w:val="21"/>
        </w:rPr>
        <w:t>Excusing-language trap. Externalizing identity does not eliminate responsibility for behavior or its consequences.</w:t>
      </w:r>
    </w:p>
    <w:p>
      <w:pPr>
        <w:keepLines/>
        <w:spacing w:after="100" w:line="283" w:lineRule="auto"/>
      </w:pPr>
      <w:r>
        <w:rPr>
          <w:rFonts w:ascii="Calibri" w:hAnsi="Calibri"/>
          <w:b/>
          <w:color w:val="12385B"/>
          <w:sz w:val="21"/>
        </w:rPr>
        <w:t xml:space="preserve">C: </w:t>
      </w:r>
      <w:r>
        <w:rPr>
          <w:rFonts w:ascii="Calibri" w:hAnsi="Calibri"/>
          <w:color w:val="1E2D38"/>
          <w:sz w:val="21"/>
        </w:rPr>
        <w:t>Cosmetic relabeling. A softer label without mapping effects, context, agency, and repair does not create meaningful re-authoring.</w:t>
      </w:r>
    </w:p>
    <w:p>
      <w:pPr>
        <w:keepLines/>
        <w:spacing w:after="100" w:line="283" w:lineRule="auto"/>
      </w:pPr>
      <w:r>
        <w:rPr>
          <w:rFonts w:ascii="Calibri" w:hAnsi="Calibri"/>
          <w:b/>
          <w:color w:val="1F3A5F"/>
          <w:sz w:val="21"/>
        </w:rPr>
        <w:t xml:space="preserve">D: </w:t>
      </w:r>
      <w:r>
        <w:rPr>
          <w:rFonts w:ascii="Calibri" w:hAnsi="Calibri"/>
          <w:color w:val="1E2D38"/>
          <w:sz w:val="21"/>
        </w:rPr>
        <w:t>Correct. It deconstructs a problem-saturated identity while preserving impact, accountability, safety, and preferred action.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Externalize the problem, never responsibility: look for identity separation plus concrete attention to impact, repair, and safer action.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Separate person from pattern; map the pattern’s effects and context; identify agency; and connect the preferred identity to observable repair.</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Externalize a problem without minimizing responsibility</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2 and 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STORY</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Medication access, suspected misuse, safety planning, confidentiality, and reporting or consultation duties depend on current law, setting, client status, policy, and the facts assessed. Verify applicable requirements before practice application.</w:t>
            </w:r>
          </w:p>
        </w:tc>
      </w:tr>
    </w:tbl>
    <w:p>
      <w:pPr>
        <w:spacing w:after="20"/>
      </w:pPr>
    </w:p>
    <w:p>
      <w:pPr>
        <w:pStyle w:val="Heading1"/>
      </w:pPr>
      <w:r>
        <w:t>Item 5 -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family describes an adult daughter as “uncaring.” During a recent medical crisis, she coordinated transportation, contacted relatives, and stayed overnight with a parent. How should a narrative therapist BEST use this event?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Develop the event by exploring what she did, who noticed, what values and abilities it expresses, and how it may support a preferred relational identity and future action.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Use the event to prove that the family's concerns are inaccurate and should be withdrawn.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Assign the daughter to repeat every crisis behavior weekly so the new story becomes permanent.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Treat the event as irrelevant because it does not match the dominant family description.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medical-crisis behavior is a unique outcome that contradicts the totalizing description “uncaring.” Option A thickens that event by eliciting action, witnesses, values, abilities, meaning, preferred identity, and future possibilities rather than using the exception to defeat the family’s concerns.</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develops a thin exception into a client-authored account of values, agency, relationship, and future action.</w:t>
      </w:r>
    </w:p>
    <w:p>
      <w:pPr>
        <w:keepLines/>
        <w:spacing w:after="100" w:line="283" w:lineRule="auto"/>
      </w:pPr>
      <w:r>
        <w:rPr>
          <w:rFonts w:ascii="Calibri" w:hAnsi="Calibri"/>
          <w:b/>
          <w:color w:val="12385B"/>
          <w:sz w:val="21"/>
        </w:rPr>
        <w:t xml:space="preserve">B: </w:t>
      </w:r>
      <w:r>
        <w:rPr>
          <w:rFonts w:ascii="Calibri" w:hAnsi="Calibri"/>
          <w:color w:val="1E2D38"/>
          <w:sz w:val="21"/>
        </w:rPr>
        <w:t>Debate trap. A unique outcome opens inquiry; it does not prove that all concerns are false or must be withdrawn.</w:t>
      </w:r>
    </w:p>
    <w:p>
      <w:pPr>
        <w:keepLines/>
        <w:spacing w:after="100" w:line="283" w:lineRule="auto"/>
      </w:pPr>
      <w:r>
        <w:rPr>
          <w:rFonts w:ascii="Calibri" w:hAnsi="Calibri"/>
          <w:b/>
          <w:color w:val="12385B"/>
          <w:sz w:val="21"/>
        </w:rPr>
        <w:t xml:space="preserve">C: </w:t>
      </w:r>
      <w:r>
        <w:rPr>
          <w:rFonts w:ascii="Calibri" w:hAnsi="Calibri"/>
          <w:color w:val="1E2D38"/>
          <w:sz w:val="21"/>
        </w:rPr>
        <w:t>Mechanical replication. Re-authoring is not achieved by prescribing every crisis behavior as a weekly performance.</w:t>
      </w:r>
    </w:p>
    <w:p>
      <w:pPr>
        <w:keepLines/>
        <w:spacing w:after="100" w:line="283" w:lineRule="auto"/>
      </w:pPr>
      <w:r>
        <w:rPr>
          <w:rFonts w:ascii="Calibri" w:hAnsi="Calibri"/>
          <w:b/>
          <w:color w:val="12385B"/>
          <w:sz w:val="21"/>
        </w:rPr>
        <w:t xml:space="preserve">D: </w:t>
      </w:r>
      <w:r>
        <w:rPr>
          <w:rFonts w:ascii="Calibri" w:hAnsi="Calibri"/>
          <w:color w:val="1E2D38"/>
          <w:sz w:val="21"/>
        </w:rPr>
        <w:t>Problem-story dominance. Discarding contradictory evidence preserves the totalizing identity description.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a stem supplies an exception to a dominant identity story, choose the option that thickens meaning, values, witnesses, agency, and future action.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Ask who noticed, what the person did, what it says about values or abilities, why it matters, and what next action fits that preferred identity.</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Use unique outcomes to support re-authoring</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STORY</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6 -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Which sequence is MOST consistent with solution-focused work when no urgent safety or level-of-care issue is present?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Analyze the complete origin of the problem, identify pathology, then prescribe a standardized solution.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Clarify the preferred future, explore exceptions and coping, use scaling to identify movement, and agree on a small observable next step.</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Challenge every negative belief before asking what the client wants to be different.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Require a commitment to major change before exploring strengths or previous success.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B follows the solution-focused progression from a clearly described preferred future to exceptions and coping, then uses scaling to locate movement and convert it into a small observable next step. The sequence remains collaborative and does not require exhaustive causal analysis.</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Model mismatch. Exhaustive origin analysis and standardized prescription are not the central solution-focused sequence.</w:t>
      </w:r>
    </w:p>
    <w:p>
      <w:pPr>
        <w:keepLines/>
        <w:spacing w:after="100" w:line="283" w:lineRule="auto"/>
      </w:pPr>
      <w:r>
        <w:rPr>
          <w:rFonts w:ascii="Calibri" w:hAnsi="Calibri"/>
          <w:b/>
          <w:color w:val="1F3A5F"/>
          <w:sz w:val="21"/>
        </w:rPr>
        <w:t xml:space="preserve">B: </w:t>
      </w:r>
      <w:r>
        <w:rPr>
          <w:rFonts w:ascii="Calibri" w:hAnsi="Calibri"/>
          <w:color w:val="1E2D38"/>
          <w:sz w:val="21"/>
        </w:rPr>
        <w:t>Correct. It develops preferred direction, resources, evidence of existing movement, and a feasible next action.</w:t>
      </w:r>
    </w:p>
    <w:p>
      <w:pPr>
        <w:keepLines/>
        <w:spacing w:after="100" w:line="283" w:lineRule="auto"/>
      </w:pPr>
      <w:r>
        <w:rPr>
          <w:rFonts w:ascii="Calibri" w:hAnsi="Calibri"/>
          <w:b/>
          <w:color w:val="12385B"/>
          <w:sz w:val="21"/>
        </w:rPr>
        <w:t xml:space="preserve">C: </w:t>
      </w:r>
      <w:r>
        <w:rPr>
          <w:rFonts w:ascii="Calibri" w:hAnsi="Calibri"/>
          <w:color w:val="1E2D38"/>
          <w:sz w:val="21"/>
        </w:rPr>
        <w:t>Cognitive-first mismatch. Challenging every belief before clarifying the desired future changes both the model and the order of work.</w:t>
      </w:r>
    </w:p>
    <w:p>
      <w:pPr>
        <w:keepLines/>
        <w:spacing w:after="100" w:line="283" w:lineRule="auto"/>
      </w:pPr>
      <w:r>
        <w:rPr>
          <w:rFonts w:ascii="Calibri" w:hAnsi="Calibri"/>
          <w:b/>
          <w:color w:val="12385B"/>
          <w:sz w:val="21"/>
        </w:rPr>
        <w:t xml:space="preserve">D: </w:t>
      </w:r>
      <w:r>
        <w:rPr>
          <w:rFonts w:ascii="Calibri" w:hAnsi="Calibri"/>
          <w:color w:val="1E2D38"/>
          <w:sz w:val="21"/>
        </w:rPr>
        <w:t>Readiness override. Demanding major commitment before exploring resources and small steps undermines collaboration and feasibility.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solution-focused sequence questions, look for preferred future, exceptions/coping, scaling, and a small observable next step.</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Describe what better looks like, find when pieces already occur, identify what supports them, and agree on one feasible next move.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Preferred future, exception, and coping sequence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SPARK</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7 -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Partners rate their current teamwork as 3 on a 0-to-10 scale and say that moving to 4 would be meaningful. What should the therapist ask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Why are you still at 3 after several sessions?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What would make the score jump directly to 10 by next week?</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What would each of you notice at 4, what is already helping you remain at 3, and what small feasible action could move the interaction one step?</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Which partner is primarily responsible for the score being below 4?</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A one-point movement is already defined as meaningful. Option C makes “4” behaviorally observable for both partners, identifies what sustains the current 3, and translates the scale into a small feasible action without blame or an unrealistic leap.</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Blaming and deficit-focused. “Why are you still” invites defensiveness and does not operationalize movement.</w:t>
      </w:r>
    </w:p>
    <w:p>
      <w:pPr>
        <w:keepLines/>
        <w:spacing w:after="100" w:line="283" w:lineRule="auto"/>
      </w:pPr>
      <w:r>
        <w:rPr>
          <w:rFonts w:ascii="Calibri" w:hAnsi="Calibri"/>
          <w:b/>
          <w:color w:val="12385B"/>
          <w:sz w:val="21"/>
        </w:rPr>
        <w:t xml:space="preserve">B: </w:t>
      </w:r>
      <w:r>
        <w:rPr>
          <w:rFonts w:ascii="Calibri" w:hAnsi="Calibri"/>
          <w:color w:val="1E2D38"/>
          <w:sz w:val="21"/>
        </w:rPr>
        <w:t>Oversized jump. Moving directly from 3 to 10 ignores the couple’s stated next increment and may reduce feasibility.</w:t>
      </w:r>
    </w:p>
    <w:p>
      <w:pPr>
        <w:keepLines/>
        <w:spacing w:after="100" w:line="283" w:lineRule="auto"/>
      </w:pPr>
      <w:r>
        <w:rPr>
          <w:rFonts w:ascii="Calibri" w:hAnsi="Calibri"/>
          <w:b/>
          <w:color w:val="1F3A5F"/>
          <w:sz w:val="21"/>
        </w:rPr>
        <w:t xml:space="preserve">C: </w:t>
      </w:r>
      <w:r>
        <w:rPr>
          <w:rFonts w:ascii="Calibri" w:hAnsi="Calibri"/>
          <w:color w:val="1E2D38"/>
          <w:sz w:val="21"/>
        </w:rPr>
        <w:t>Correct. It operationalizes the next point, elicits current resources, and converts scaling into shared action.</w:t>
      </w:r>
    </w:p>
    <w:p>
      <w:pPr>
        <w:keepLines/>
        <w:spacing w:after="100" w:line="283" w:lineRule="auto"/>
      </w:pPr>
      <w:r>
        <w:rPr>
          <w:rFonts w:ascii="Calibri" w:hAnsi="Calibri"/>
          <w:b/>
          <w:color w:val="12385B"/>
          <w:sz w:val="21"/>
        </w:rPr>
        <w:t xml:space="preserve">D: </w:t>
      </w:r>
      <w:r>
        <w:rPr>
          <w:rFonts w:ascii="Calibri" w:hAnsi="Calibri"/>
          <w:color w:val="1E2D38"/>
          <w:sz w:val="21"/>
        </w:rPr>
        <w:t>Linear blame. Assigning primary responsibility contradicts the collaborative, interactional use of the scale.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A useful scale question defines the next small point in observable terms and asks what already prevents the score from being lower.</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Ask: what will each person notice one point higher, what already supports the current score, and what small action could move the interaction?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Translate scaling into a small observable next step</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SPARK</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8 -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parent says, “I want less yelling, but if I stop, the children will ignore every limit.” The co-parent asks the therapist to confront this resistance. Which response is MOST consistent with motivational interviewing?</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Confront the parent with evidence that yelling is ineffective so the family can begin skills training.</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Ask the co-parent to explain why change is necessary while the therapist reinforces the argument.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Avoid the topic until the parent expresses only reasons to change.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Reflect the wish for calm and the fear of losing authority, then evoke the parent's values, concerns, confidence, and preferred next step while preserving autonomy.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parent expresses both a desire for less yelling and a fear of losing authority. Option D accurately reflects both change talk and sustain talk, evokes the parent’s own values and concerns, assesses confidence, and preserves autonomy rather than creating an argument for change.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Righting-reflex trap. Confronting with evidence invites defense and places the therapist in the role of arguing for change.</w:t>
      </w:r>
    </w:p>
    <w:p>
      <w:pPr>
        <w:keepLines/>
        <w:spacing w:after="100" w:line="283" w:lineRule="auto"/>
      </w:pPr>
      <w:r>
        <w:rPr>
          <w:rFonts w:ascii="Calibri" w:hAnsi="Calibri"/>
          <w:b/>
          <w:color w:val="12385B"/>
          <w:sz w:val="21"/>
        </w:rPr>
        <w:t xml:space="preserve">B: </w:t>
      </w:r>
      <w:r>
        <w:rPr>
          <w:rFonts w:ascii="Calibri" w:hAnsi="Calibri"/>
          <w:color w:val="1E2D38"/>
          <w:sz w:val="21"/>
        </w:rPr>
        <w:t>Coalition and persuasion error. Recruiting the co-parent to argue can intensify resistance and relational polarization.</w:t>
      </w:r>
    </w:p>
    <w:p>
      <w:pPr>
        <w:keepLines/>
        <w:spacing w:after="100" w:line="283" w:lineRule="auto"/>
      </w:pPr>
      <w:r>
        <w:rPr>
          <w:rFonts w:ascii="Calibri" w:hAnsi="Calibri"/>
          <w:b/>
          <w:color w:val="12385B"/>
          <w:sz w:val="21"/>
        </w:rPr>
        <w:t xml:space="preserve">C: </w:t>
      </w:r>
      <w:r>
        <w:rPr>
          <w:rFonts w:ascii="Calibri" w:hAnsi="Calibri"/>
          <w:color w:val="1E2D38"/>
          <w:sz w:val="21"/>
        </w:rPr>
        <w:t>Overavoidance. Motivational interviewing explores ambivalence; it does not wait until sustain talk disappears.</w:t>
      </w:r>
    </w:p>
    <w:p>
      <w:pPr>
        <w:keepLines/>
        <w:spacing w:after="100" w:line="283" w:lineRule="auto"/>
      </w:pPr>
      <w:r>
        <w:rPr>
          <w:rFonts w:ascii="Calibri" w:hAnsi="Calibri"/>
          <w:b/>
          <w:color w:val="1F3A5F"/>
          <w:sz w:val="21"/>
        </w:rPr>
        <w:t xml:space="preserve">D: </w:t>
      </w:r>
      <w:r>
        <w:rPr>
          <w:rFonts w:ascii="Calibri" w:hAnsi="Calibri"/>
          <w:color w:val="1E2D38"/>
          <w:sz w:val="21"/>
        </w:rPr>
        <w:t>Correct. It uses a complex reflection and evocation while protecting choice, collaboration, and client authorship.</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ambivalence is explicit, choose reflection of both sides followed by evocation—not confrontation, coalition, or avoidance.</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Reflect desire and fear together, ask what matters, elicit the client’s own reasons and confidence, and invite a self-chosen next step.</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Respond to ambivalence and change/sustain talk</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SPARK</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9 -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During family therapy, an adult member becomes tearful while describing loneliness, remains oriented, and says, “I can stay with this if we go slowly.” The therapist is considering a deeper experiential exchange. What should the therapist do FIRST?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Check current regulation and choice, clarify the focus, obtain permission for a brief tolerable exchange, and continue monitoring the person's ability to remain engaged.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Ask another family member to intensify the interaction so the emotion becomes more authentic.</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Proceed without further discussion because the person is already emotional.</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End all experiential work permanently because tears indicate that the method is contraindicated.</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Tears alone do not establish either readiness or contraindication. Option A checks regulation and voluntariness, clarifies the focus, obtains permission for a brief tolerable exchange, and continues monitoring engagement before deepening experiential work.</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places regulation, consent, pacing, and ongoing response monitoring before deeper evocation.</w:t>
      </w:r>
    </w:p>
    <w:p>
      <w:pPr>
        <w:keepLines/>
        <w:spacing w:after="100" w:line="283" w:lineRule="auto"/>
      </w:pPr>
      <w:r>
        <w:rPr>
          <w:rFonts w:ascii="Calibri" w:hAnsi="Calibri"/>
          <w:b/>
          <w:color w:val="9B1C1C"/>
          <w:sz w:val="21"/>
        </w:rPr>
        <w:t xml:space="preserve">B: </w:t>
      </w:r>
      <w:r>
        <w:rPr>
          <w:rFonts w:ascii="Calibri" w:hAnsi="Calibri"/>
          <w:color w:val="1E2D38"/>
          <w:sz w:val="21"/>
        </w:rPr>
        <w:t>Unsafe intensification. Increasing pressure may exceed tolerance and ignores the person’s request to proceed slowly.</w:t>
      </w:r>
    </w:p>
    <w:p>
      <w:pPr>
        <w:keepLines/>
        <w:spacing w:after="100" w:line="283" w:lineRule="auto"/>
      </w:pPr>
      <w:r>
        <w:rPr>
          <w:rFonts w:ascii="Calibri" w:hAnsi="Calibri"/>
          <w:b/>
          <w:color w:val="12385B"/>
          <w:sz w:val="21"/>
        </w:rPr>
        <w:t xml:space="preserve">C: </w:t>
      </w:r>
      <w:r>
        <w:rPr>
          <w:rFonts w:ascii="Calibri" w:hAnsi="Calibri"/>
          <w:color w:val="1E2D38"/>
          <w:sz w:val="21"/>
        </w:rPr>
        <w:t>Consent and pacing omission. Existing emotion does not authorize a deeper intervention without checking readiness and choice.</w:t>
      </w:r>
    </w:p>
    <w:p>
      <w:pPr>
        <w:keepLines/>
        <w:spacing w:after="100" w:line="283" w:lineRule="auto"/>
      </w:pPr>
      <w:r>
        <w:rPr>
          <w:rFonts w:ascii="Calibri" w:hAnsi="Calibri"/>
          <w:b/>
          <w:color w:val="12385B"/>
          <w:sz w:val="21"/>
        </w:rPr>
        <w:t xml:space="preserve">D: </w:t>
      </w:r>
      <w:r>
        <w:rPr>
          <w:rFonts w:ascii="Calibri" w:hAnsi="Calibri"/>
          <w:color w:val="1E2D38"/>
          <w:sz w:val="21"/>
        </w:rPr>
        <w:t>All-or-nothing conclusion. Tearfulness is not by itself a permanent contraindication to experiential methods.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Before experiential deepening, verify present regulation, choice, focus, tolerance, and the ability to remain oriented and engaged.</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Regulate before evoking: obtain permission for the smallest useful exchange, monitor continuously, and stop or modify if engagement deteriorates.</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Experiential evocation after regulation and consent</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FEEL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10 -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couple discusses feeling distant. In the session, one partner reaches toward the other and says, “I miss you,” while the other jokes, looks away, and changes the subject. What is the BEST experiential intervention?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Return to a historical timeline so the live interaction does not become uncomfortable.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Gently focus attention on the present exchange, help each partner notice emotion and meaning, and invite a brief, regulated response that creates clearer contact.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Explain which partner's behavior caused the distance and assign an apology.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Ignore the interaction because experiential work should address only internal emotion.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couple’s live reach-and-deflect sequence is the immediate relational process. Option B brings careful attention to the present exchange, helps both partners notice emotion and meaning, and invites a brief regulated response that can create new contact.</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Process avoidance. Returning to history abandons clinically relevant here-and-now material because it is uncomfortable.</w:t>
      </w:r>
    </w:p>
    <w:p>
      <w:pPr>
        <w:keepLines/>
        <w:spacing w:after="100" w:line="283" w:lineRule="auto"/>
      </w:pPr>
      <w:r>
        <w:rPr>
          <w:rFonts w:ascii="Calibri" w:hAnsi="Calibri"/>
          <w:b/>
          <w:color w:val="1F3A5F"/>
          <w:sz w:val="21"/>
        </w:rPr>
        <w:t xml:space="preserve">B: </w:t>
      </w:r>
      <w:r>
        <w:rPr>
          <w:rFonts w:ascii="Calibri" w:hAnsi="Calibri"/>
          <w:color w:val="1E2D38"/>
          <w:sz w:val="21"/>
        </w:rPr>
        <w:t>Correct. It uses present-moment process, awareness, meaning, and a tolerable exchange to reshape relational contact.</w:t>
      </w:r>
    </w:p>
    <w:p>
      <w:pPr>
        <w:keepLines/>
        <w:spacing w:after="100" w:line="283" w:lineRule="auto"/>
      </w:pPr>
      <w:r>
        <w:rPr>
          <w:rFonts w:ascii="Calibri" w:hAnsi="Calibri"/>
          <w:b/>
          <w:color w:val="12385B"/>
          <w:sz w:val="21"/>
        </w:rPr>
        <w:t xml:space="preserve">C: </w:t>
      </w:r>
      <w:r>
        <w:rPr>
          <w:rFonts w:ascii="Calibri" w:hAnsi="Calibri"/>
          <w:color w:val="1E2D38"/>
          <w:sz w:val="21"/>
        </w:rPr>
        <w:t>Linear blame. Assigning causation and apology bypasses each partner’s experience and risks polarization.</w:t>
      </w:r>
    </w:p>
    <w:p>
      <w:pPr>
        <w:keepLines/>
        <w:spacing w:after="100" w:line="283" w:lineRule="auto"/>
      </w:pPr>
      <w:r>
        <w:rPr>
          <w:rFonts w:ascii="Calibri" w:hAnsi="Calibri"/>
          <w:b/>
          <w:color w:val="12385B"/>
          <w:sz w:val="21"/>
        </w:rPr>
        <w:t xml:space="preserve">D: </w:t>
      </w:r>
      <w:r>
        <w:rPr>
          <w:rFonts w:ascii="Calibri" w:hAnsi="Calibri"/>
          <w:color w:val="1E2D38"/>
          <w:sz w:val="21"/>
        </w:rPr>
        <w:t>False individualization. Experiential family work can use both internal experience and live relational interaction.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a meaningful interaction unfolds in session, favor a paced here-and-now intervention over historical retreat, blame, or ignoring process.</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Slow the moment down, identify each person’s experience and protective move, and invite one brief response that increases clear contact.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Use here-and-now process to shift relational contact</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FEEL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11 -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In a recurring homework conflict, a teenager delays starting, a caregiver increases reminders, tension rises, and the caregiver eventually completes part of the task. Before designing a behavior plan, which information is MOST important?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Which family member is most motivated to enforce consequences.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Which commercially available homework chart is easiest to print.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The cues, appraisals, behaviors, immediate and longer-term consequences, reciprocal reinforcement, agreed target, and feasibility across participants.</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Whether the teenager agrees that the caregiver is more responsible for the pattern.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A behavior plan requires a functional and relational assessment first. Option C identifies antecedents, appraisals, behaviors, consequences, reciprocal reinforcement, the agreed target, and participant-level feasibility—the information needed to build and test a systemic plan.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Premature enforcement focus. Motivation to impose consequences does not explain the maintaining contingency or establish a shared target.</w:t>
      </w:r>
    </w:p>
    <w:p>
      <w:pPr>
        <w:keepLines/>
        <w:spacing w:after="100" w:line="283" w:lineRule="auto"/>
      </w:pPr>
      <w:r>
        <w:rPr>
          <w:rFonts w:ascii="Calibri" w:hAnsi="Calibri"/>
          <w:b/>
          <w:color w:val="12385B"/>
          <w:sz w:val="21"/>
        </w:rPr>
        <w:t xml:space="preserve">B: </w:t>
      </w:r>
      <w:r>
        <w:rPr>
          <w:rFonts w:ascii="Calibri" w:hAnsi="Calibri"/>
          <w:color w:val="1E2D38"/>
          <w:sz w:val="21"/>
        </w:rPr>
        <w:t>Tool-before-assessment. Printable convenience does not determine clinical function, fit, or feasibility.</w:t>
      </w:r>
    </w:p>
    <w:p>
      <w:pPr>
        <w:keepLines/>
        <w:spacing w:after="100" w:line="283" w:lineRule="auto"/>
      </w:pPr>
      <w:r>
        <w:rPr>
          <w:rFonts w:ascii="Calibri" w:hAnsi="Calibri"/>
          <w:b/>
          <w:color w:val="1F3A5F"/>
          <w:sz w:val="21"/>
        </w:rPr>
        <w:t xml:space="preserve">C: </w:t>
      </w:r>
      <w:r>
        <w:rPr>
          <w:rFonts w:ascii="Calibri" w:hAnsi="Calibri"/>
          <w:color w:val="1E2D38"/>
          <w:sz w:val="21"/>
        </w:rPr>
        <w:t>Correct. It maps the full reciprocal sequence and the variables needed for a testable, collaborative behavior plan.</w:t>
      </w:r>
    </w:p>
    <w:p>
      <w:pPr>
        <w:keepLines/>
        <w:spacing w:after="100" w:line="283" w:lineRule="auto"/>
      </w:pPr>
      <w:r>
        <w:rPr>
          <w:rFonts w:ascii="Calibri" w:hAnsi="Calibri"/>
          <w:b/>
          <w:color w:val="12385B"/>
          <w:sz w:val="21"/>
        </w:rPr>
        <w:t xml:space="preserve">D: </w:t>
      </w:r>
      <w:r>
        <w:rPr>
          <w:rFonts w:ascii="Calibri" w:hAnsi="Calibri"/>
          <w:color w:val="1E2D38"/>
          <w:sz w:val="21"/>
        </w:rPr>
        <w:t>Blame diversion. Responsibility ranking does not substitute for functional analysis of the interaction and reinforcement pattern.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Before choosing a behavioral technique, identify cue, appraisal, action, immediate consequence, delayed consequence, reciprocal reinforcement, target, and feasibility.</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Complete CHANGE as a relational functional analysis, then design the smallest intervention that alters the identified contingency.</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Functional and relational assessment before behavior plan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CHANGE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12 -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When a message is not answered quickly, one partner thinks, “I am being rejected,” sends several accusatory texts, and the other partner mutes the phone. The silence then strengthens the first partner's belief. Which intervention BEST fits systemic cognitive work?</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Teach the first partner to replace the thought privately without examining the interaction.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Require immediate reassurance after every message so the rejection belief disappears.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Focus only on the muted phone because observable behavior is the sole systemic target.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Examine the appraisal as a hypothesis within the reciprocal loop, generate an alternative interpretation and response, and test how the interaction changes.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rejection appraisal, accusatory texting, muting, and increased conviction form a reciprocal cognitive-behavioral loop. Option D treats the appraisal as a hypothesis, develops an alternative interpretation and response, and tests how the whole interaction changes.</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Individual-reduction trap. Private thought replacement ignores how both partners’ responses maintain and confirm the appraisal.</w:t>
      </w:r>
    </w:p>
    <w:p>
      <w:pPr>
        <w:keepLines/>
        <w:spacing w:after="100" w:line="283" w:lineRule="auto"/>
      </w:pPr>
      <w:r>
        <w:rPr>
          <w:rFonts w:ascii="Calibri" w:hAnsi="Calibri"/>
          <w:b/>
          <w:color w:val="12385B"/>
          <w:sz w:val="21"/>
        </w:rPr>
        <w:t xml:space="preserve">B: </w:t>
      </w:r>
      <w:r>
        <w:rPr>
          <w:rFonts w:ascii="Calibri" w:hAnsi="Calibri"/>
          <w:color w:val="1E2D38"/>
          <w:sz w:val="21"/>
        </w:rPr>
        <w:t>Reinforces the loop. Mandatory immediate reassurance may strengthen monitoring and reassurance dependence.</w:t>
      </w:r>
    </w:p>
    <w:p>
      <w:pPr>
        <w:keepLines/>
        <w:spacing w:after="100" w:line="283" w:lineRule="auto"/>
      </w:pPr>
      <w:r>
        <w:rPr>
          <w:rFonts w:ascii="Calibri" w:hAnsi="Calibri"/>
          <w:b/>
          <w:color w:val="12385B"/>
          <w:sz w:val="21"/>
        </w:rPr>
        <w:t xml:space="preserve">C: </w:t>
      </w:r>
      <w:r>
        <w:rPr>
          <w:rFonts w:ascii="Calibri" w:hAnsi="Calibri"/>
          <w:color w:val="1E2D38"/>
          <w:sz w:val="21"/>
        </w:rPr>
        <w:t>Artificial split. Observable behavior matters, but excluding appraisal discards a key mechanism in the reciprocal sequence.</w:t>
      </w:r>
    </w:p>
    <w:p>
      <w:pPr>
        <w:keepLines/>
        <w:spacing w:after="100" w:line="283" w:lineRule="auto"/>
      </w:pPr>
      <w:r>
        <w:rPr>
          <w:rFonts w:ascii="Calibri" w:hAnsi="Calibri"/>
          <w:b/>
          <w:color w:val="1F3A5F"/>
          <w:sz w:val="21"/>
        </w:rPr>
        <w:t xml:space="preserve">D: </w:t>
      </w:r>
      <w:r>
        <w:rPr>
          <w:rFonts w:ascii="Calibri" w:hAnsi="Calibri"/>
          <w:color w:val="1E2D38"/>
          <w:sz w:val="21"/>
        </w:rPr>
        <w:t>Correct. It integrates cognition and behavior within the relationship and uses an experiment to evaluate the formulation.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Systemic cognitive work places appraisals inside interactional loops and tests alternative meanings and responses, rather than correcting one person in isolation.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Map appraisal, action, partner response, and feedback; generate a plausible alternative; change one response; and observe the relational result.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Connect cognitive appraisal to reciprocal interaction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CHANGE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13 -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couple works opposite, unpredictable shifts. One partner also manages chronic fatigue. A therapist assigns a daily 30-minute communication exercise; the couple cannot complete it, and the therapist labels them resistant. What is the BEST revision?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Reassess barriers, preferences, energy, and the maintaining sequence; collaboratively design a smaller feasible experiment linked to the goal; and agree on how both benefit and burden will be monitored.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Keep the assignment unchanged so the couple learns that treatment requires sacrifice.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Assign the exercise only to the partner with more energy and treat that person's report as the outcome.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Abandon behavioral methods because one assignment was not completed.</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Noncompletion is understandable in light of shift work and chronic fatigue and should be treated as information about fit. Option A reassesses barriers and the maintaining sequence, creates a smaller collaborative experiment, and monitors both benefit and burden across partners.</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converts noncompletion into response data and redesigns the intervention around mechanism, feasibility, consent, and shared outcomes.</w:t>
      </w:r>
    </w:p>
    <w:p>
      <w:pPr>
        <w:keepLines/>
        <w:spacing w:after="100" w:line="283" w:lineRule="auto"/>
      </w:pPr>
      <w:r>
        <w:rPr>
          <w:rFonts w:ascii="Calibri" w:hAnsi="Calibri"/>
          <w:b/>
          <w:color w:val="12385B"/>
          <w:sz w:val="21"/>
        </w:rPr>
        <w:t xml:space="preserve">B: </w:t>
      </w:r>
      <w:r>
        <w:rPr>
          <w:rFonts w:ascii="Calibri" w:hAnsi="Calibri"/>
          <w:color w:val="1E2D38"/>
          <w:sz w:val="21"/>
        </w:rPr>
        <w:t>Rigid and potentially burdensome. Sacrifice is not evidence of fit, and unchanged assignment ignores disclosed access and health constraints.</w:t>
      </w:r>
    </w:p>
    <w:p>
      <w:pPr>
        <w:keepLines/>
        <w:spacing w:after="100" w:line="283" w:lineRule="auto"/>
      </w:pPr>
      <w:r>
        <w:rPr>
          <w:rFonts w:ascii="Calibri" w:hAnsi="Calibri"/>
          <w:b/>
          <w:color w:val="12385B"/>
          <w:sz w:val="21"/>
        </w:rPr>
        <w:t xml:space="preserve">C: </w:t>
      </w:r>
      <w:r>
        <w:rPr>
          <w:rFonts w:ascii="Calibri" w:hAnsi="Calibri"/>
          <w:color w:val="1E2D38"/>
          <w:sz w:val="21"/>
        </w:rPr>
        <w:t>Unequal burden and invalid outcome. Shifting the task to one partner may intensify imbalance and cannot represent both participants’ experience.</w:t>
      </w:r>
    </w:p>
    <w:p>
      <w:pPr>
        <w:keepLines/>
        <w:spacing w:after="100" w:line="283" w:lineRule="auto"/>
      </w:pPr>
      <w:r>
        <w:rPr>
          <w:rFonts w:ascii="Calibri" w:hAnsi="Calibri"/>
          <w:b/>
          <w:color w:val="12385B"/>
          <w:sz w:val="21"/>
        </w:rPr>
        <w:t xml:space="preserve">D: </w:t>
      </w:r>
      <w:r>
        <w:rPr>
          <w:rFonts w:ascii="Calibri" w:hAnsi="Calibri"/>
          <w:color w:val="1E2D38"/>
          <w:sz w:val="21"/>
        </w:rPr>
        <w:t>Overgeneralization. Failure of one poorly fitted assignment does not invalidate all behavioral methods.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an assignment is not completed, assess fit and burden before inferring resistance; then preserve the mechanism while reducing the task to a feasible test.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Reassess barriers, preference, health, schedule, and relational impact; co-design a smaller experiment; track benefit and burden by participant.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Design feasible behavioral experiment with consent and fit</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 and 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CHANGE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14 -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trauma-exposed client reports that an assigned inward-focused breathing practice increases nightmares and detachment at home. The client continued only to please the therapist. What should the therapist do FIRST?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Shorten the same practice but require daily completion so the client can habituate.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Stop the assignment, assess the adverse response and current safety, restore explicit choice, offer grounding or non-mindfulness alternatives, and consult or refer if the need exceeds competence.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Explain that detachment is a normal sign of acceptance and should not be evaluated.</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Ask a family member to supervise the practice so adherence improves.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practice is associated with nightmares and detachment, and compliance reflects pressure rather than choice. Option B stops the assignment, assesses adverse response and current safety, restores autonomy, offers alternatives, and recognizes consultation or referral limits.</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Continues a destabilizing intervention. Shortening does not justify required repetition before adverse effects and safety are assessed.</w:t>
      </w:r>
    </w:p>
    <w:p>
      <w:pPr>
        <w:keepLines/>
        <w:spacing w:after="100" w:line="283" w:lineRule="auto"/>
      </w:pPr>
      <w:r>
        <w:rPr>
          <w:rFonts w:ascii="Calibri" w:hAnsi="Calibri"/>
          <w:b/>
          <w:color w:val="1F3A5F"/>
          <w:sz w:val="21"/>
        </w:rPr>
        <w:t xml:space="preserve">B: </w:t>
      </w:r>
      <w:r>
        <w:rPr>
          <w:rFonts w:ascii="Calibri" w:hAnsi="Calibri"/>
          <w:color w:val="1E2D38"/>
          <w:sz w:val="21"/>
        </w:rPr>
        <w:t>Correct. It prioritizes harm assessment, explicit choice, alternative regulation strategies, and competence-based consultation or referral.</w:t>
      </w:r>
    </w:p>
    <w:p>
      <w:pPr>
        <w:keepLines/>
        <w:spacing w:after="100" w:line="283" w:lineRule="auto"/>
      </w:pPr>
      <w:r>
        <w:rPr>
          <w:rFonts w:ascii="Calibri" w:hAnsi="Calibri"/>
          <w:b/>
          <w:color w:val="12385B"/>
          <w:sz w:val="21"/>
        </w:rPr>
        <w:t xml:space="preserve">C: </w:t>
      </w:r>
      <w:r>
        <w:rPr>
          <w:rFonts w:ascii="Calibri" w:hAnsi="Calibri"/>
          <w:color w:val="1E2D38"/>
          <w:sz w:val="21"/>
        </w:rPr>
        <w:t>Mislabels harm. Detachment and increased nightmares require assessment rather than being reframed automatically as acceptance.</w:t>
      </w:r>
    </w:p>
    <w:p>
      <w:pPr>
        <w:keepLines/>
        <w:spacing w:after="100" w:line="283" w:lineRule="auto"/>
      </w:pPr>
      <w:r>
        <w:rPr>
          <w:rFonts w:ascii="Calibri" w:hAnsi="Calibri"/>
          <w:b/>
          <w:color w:val="12385B"/>
          <w:sz w:val="21"/>
        </w:rPr>
        <w:t xml:space="preserve">D: </w:t>
      </w:r>
      <w:r>
        <w:rPr>
          <w:rFonts w:ascii="Calibri" w:hAnsi="Calibri"/>
          <w:color w:val="1E2D38"/>
          <w:sz w:val="21"/>
        </w:rPr>
        <w:t>Adds surveillance and pressure. Family supervision does not resolve the adverse response and may further reduce autonomy.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mindfulness increases trauma-related or dissociative symptoms, stop and assess before adapting; never treat one inward-focused method as universally safe.</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Explain rationale and choice, monitor response, stop when destabilizing, offer grounding or external-focus alternatives, and consult or refer when indicated.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Mindfulness choice, trauma sensitivity, and adverse response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7 and 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PAUSE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Assessment of trauma-related symptoms, dissociation, risk, level of care, and referral needs requires individualized clinical judgment, current professional standards, setting policy, and competence-appropriate consultation.</w:t>
            </w:r>
          </w:p>
        </w:tc>
      </w:tr>
    </w:tbl>
    <w:p>
      <w:pPr>
        <w:spacing w:after="20"/>
      </w:pPr>
    </w:p>
    <w:p>
      <w:pPr>
        <w:pStyle w:val="Heading1"/>
      </w:pPr>
      <w:r>
        <w:t>Item 15 -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therapist proposes using narrative externalizing language and a behavioral pause during a family's escalating conflict. Which rationale BEST demonstrates coherent integration?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Both methods are popular, so using them together increases treatment intensity.</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Externalizing will address the child, while the pause will address the adults as unrelated problems.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Both methods serve one hypothesis: shame-loaded labels amplify threat, externalizing creates shared non-blaming language, and the pause interrupts reinforcement; the family will track whether escalation decreases and repair improves.</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Using two models removes the need to explain a mechanism or evaluate outcomes.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gives both methods distinct functions inside one hypothesis: externalizing reduces shame-loaded threat language, the behavioral pause interrupts reinforcement, and defined outcome indicators test whether escalation and repair change. That is coherent integration.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Popularity is not mechanism. Using multiple well-known methods does not establish coherence or fit.</w:t>
      </w:r>
    </w:p>
    <w:p>
      <w:pPr>
        <w:keepLines/>
        <w:spacing w:after="100" w:line="283" w:lineRule="auto"/>
      </w:pPr>
      <w:r>
        <w:rPr>
          <w:rFonts w:ascii="Calibri" w:hAnsi="Calibri"/>
          <w:b/>
          <w:color w:val="12385B"/>
          <w:sz w:val="21"/>
        </w:rPr>
        <w:t xml:space="preserve">B: </w:t>
      </w:r>
      <w:r>
        <w:rPr>
          <w:rFonts w:ascii="Calibri" w:hAnsi="Calibri"/>
          <w:color w:val="1E2D38"/>
          <w:sz w:val="21"/>
        </w:rPr>
        <w:t>Fragmented treatment-unit logic. Treating child and adults as unrelated problems discards the shared escalation sequence.</w:t>
      </w:r>
    </w:p>
    <w:p>
      <w:pPr>
        <w:keepLines/>
        <w:spacing w:after="100" w:line="283" w:lineRule="auto"/>
      </w:pPr>
      <w:r>
        <w:rPr>
          <w:rFonts w:ascii="Calibri" w:hAnsi="Calibri"/>
          <w:b/>
          <w:color w:val="1F3A5F"/>
          <w:sz w:val="21"/>
        </w:rPr>
        <w:t xml:space="preserve">C: </w:t>
      </w:r>
      <w:r>
        <w:rPr>
          <w:rFonts w:ascii="Calibri" w:hAnsi="Calibri"/>
          <w:color w:val="1E2D38"/>
          <w:sz w:val="21"/>
        </w:rPr>
        <w:t>Correct. It states the maintaining mechanism, function of each method, and participant-relevant outcomes that will guide revision.</w:t>
      </w:r>
    </w:p>
    <w:p>
      <w:pPr>
        <w:keepLines/>
        <w:spacing w:after="100" w:line="283" w:lineRule="auto"/>
      </w:pPr>
      <w:r>
        <w:rPr>
          <w:rFonts w:ascii="Calibri" w:hAnsi="Calibri"/>
          <w:b/>
          <w:color w:val="12385B"/>
          <w:sz w:val="21"/>
        </w:rPr>
        <w:t xml:space="preserve">D: </w:t>
      </w:r>
      <w:r>
        <w:rPr>
          <w:rFonts w:ascii="Calibri" w:hAnsi="Calibri"/>
          <w:color w:val="1E2D38"/>
          <w:sz w:val="21"/>
        </w:rPr>
        <w:t>Evaluation omission. Integration increases—not removes—the need to explain rationale and monitor response.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The best integration rationale assigns each method a clear function within one hypothesis and names how change and unintended effects will be observed.</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Write the integration chain: shared hypothesis, function of method one, function of method two, expected interactional change, and revision rule.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D4</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Integrate methods through one coherent hypothesis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MATCH</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16 -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therapist trained in systemic cognitive-behavioral work wants to use a specialized trauma-processing procedure learned only from a podcast. What is the MOST appropriate action?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Use the procedure with a low-risk client because prior therapy experience establishes competence.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Describe the procedure as experimental and proceed if the client signs a waiver.</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Avoid discussing referral because it may weaken the therapeutic alliance.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Evaluate competence and evidence, obtain appropriate training or consultation, explain rationale, risks, alternatives, and limits, and refer when the needed service is beyond current competence or scope.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A podcast alone does not establish competence in a specialized trauma-processing procedure. Option D requires evidence and competence review, appropriate training or consultation, meaningful informed consent, and referral when the needed service exceeds current scope.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Competence overreach. General therapy experience and a low-risk label do not establish proficiency in a specialized procedure.</w:t>
      </w:r>
    </w:p>
    <w:p>
      <w:pPr>
        <w:keepLines/>
        <w:spacing w:after="100" w:line="283" w:lineRule="auto"/>
      </w:pPr>
      <w:r>
        <w:rPr>
          <w:rFonts w:ascii="Calibri" w:hAnsi="Calibri"/>
          <w:b/>
          <w:color w:val="12385B"/>
          <w:sz w:val="21"/>
        </w:rPr>
        <w:t xml:space="preserve">B: </w:t>
      </w:r>
      <w:r>
        <w:rPr>
          <w:rFonts w:ascii="Calibri" w:hAnsi="Calibri"/>
          <w:color w:val="1E2D38"/>
          <w:sz w:val="21"/>
        </w:rPr>
        <w:t>Consent cannot cure incompetence. A waiver does not replace training, evidence review, clinical indication, or scope limits.</w:t>
      </w:r>
    </w:p>
    <w:p>
      <w:pPr>
        <w:keepLines/>
        <w:spacing w:after="100" w:line="283" w:lineRule="auto"/>
      </w:pPr>
      <w:r>
        <w:rPr>
          <w:rFonts w:ascii="Calibri" w:hAnsi="Calibri"/>
          <w:b/>
          <w:color w:val="12385B"/>
          <w:sz w:val="21"/>
        </w:rPr>
        <w:t xml:space="preserve">C: </w:t>
      </w:r>
      <w:r>
        <w:rPr>
          <w:rFonts w:ascii="Calibri" w:hAnsi="Calibri"/>
          <w:color w:val="1E2D38"/>
          <w:sz w:val="21"/>
        </w:rPr>
        <w:t>Nonreferral risk. Protecting alliance does not justify withholding discussion of services that may better meet the client’s needs.</w:t>
      </w:r>
    </w:p>
    <w:p>
      <w:pPr>
        <w:keepLines/>
        <w:spacing w:after="100" w:line="283" w:lineRule="auto"/>
      </w:pPr>
      <w:r>
        <w:rPr>
          <w:rFonts w:ascii="Calibri" w:hAnsi="Calibri"/>
          <w:b/>
          <w:color w:val="1F3A5F"/>
          <w:sz w:val="21"/>
        </w:rPr>
        <w:t xml:space="preserve">D: </w:t>
      </w:r>
      <w:r>
        <w:rPr>
          <w:rFonts w:ascii="Calibri" w:hAnsi="Calibri"/>
          <w:color w:val="1E2D38"/>
          <w:sz w:val="21"/>
        </w:rPr>
        <w:t>Correct. It integrates evidence, competence, consultation, informed consent, alternatives, limits, and referral responsibilities.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competence items, reject “try it carefully” and “waiver” shortcuts; choose training, consultation, transparent consent, scope limits, and referral.</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Verify evidence and competence before use; disclose rationale, risks, alternatives, and limits; document consultation; refer or narrow scope when needed.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Evidence, competence, informed consent, and referral limits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R10</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MATCH</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Competence, informed-consent, documentation, consultation, and referral obligations must be applied under the current ethics code, jurisdictional law, board guidance, organizational policy, and scope of practice.</w:t>
            </w:r>
          </w:p>
        </w:tc>
      </w:tr>
    </w:tbl>
    <w:p>
      <w:pPr>
        <w:spacing w:after="20"/>
      </w:pPr>
    </w:p>
    <w:p>
      <w:pPr>
        <w:pStyle w:val="Heading1"/>
      </w:pPr>
      <w:r>
        <w:t>Item 17 -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After six sessions, caregivers report fewer arguments, but an adolescent reports feeling less safe to disagree and has begun missing sessions.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Review outcomes, alliance, safety, and possible adverse effects by participant; revisit the treatment unit and hypothesis; and collaboratively revise, consult, change format, or refer as indicated.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Continue the plan because the caregivers' improvement is the most reliable outcome.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Discharge the adolescent for nonattendance and continue with the caregivers.</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Replace the outcome measure because participants gave different reports.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caregivers’ improvement does not erase the adolescent’s reduced sense of safety and disengagement. Option A disaggregates outcome, alliance, safety, and adverse effects by participant, then revisits the treatment unit and hypothesis and selects revision, consultation, format change, or referral based on findings.</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treats divergent participant reports as essential feedback and reassesses both benefit and possible harm before continuing.</w:t>
      </w:r>
    </w:p>
    <w:p>
      <w:pPr>
        <w:keepLines/>
        <w:spacing w:after="100" w:line="283" w:lineRule="auto"/>
      </w:pPr>
      <w:r>
        <w:rPr>
          <w:rFonts w:ascii="Calibri" w:hAnsi="Calibri"/>
          <w:b/>
          <w:color w:val="12385B"/>
          <w:sz w:val="21"/>
        </w:rPr>
        <w:t xml:space="preserve">B: </w:t>
      </w:r>
      <w:r>
        <w:rPr>
          <w:rFonts w:ascii="Calibri" w:hAnsi="Calibri"/>
          <w:color w:val="1E2D38"/>
          <w:sz w:val="21"/>
        </w:rPr>
        <w:t>Aggregate-outcome error. Caregiver improvement cannot substitute for assessment of the adolescent’s safety and alliance deterioration.</w:t>
      </w:r>
    </w:p>
    <w:p>
      <w:pPr>
        <w:keepLines/>
        <w:spacing w:after="100" w:line="283" w:lineRule="auto"/>
      </w:pPr>
      <w:r>
        <w:rPr>
          <w:rFonts w:ascii="Calibri" w:hAnsi="Calibri"/>
          <w:b/>
          <w:color w:val="12385B"/>
          <w:sz w:val="21"/>
        </w:rPr>
        <w:t xml:space="preserve">C: </w:t>
      </w:r>
      <w:r>
        <w:rPr>
          <w:rFonts w:ascii="Calibri" w:hAnsi="Calibri"/>
          <w:color w:val="1E2D38"/>
          <w:sz w:val="21"/>
        </w:rPr>
        <w:t>Punitive and premature. Missing sessions may reflect fear, rupture, access problems, or adverse treatment effects that require assessment.</w:t>
      </w:r>
    </w:p>
    <w:p>
      <w:pPr>
        <w:keepLines/>
        <w:spacing w:after="100" w:line="283" w:lineRule="auto"/>
      </w:pPr>
      <w:r>
        <w:rPr>
          <w:rFonts w:ascii="Calibri" w:hAnsi="Calibri"/>
          <w:b/>
          <w:color w:val="12385B"/>
          <w:sz w:val="21"/>
        </w:rPr>
        <w:t xml:space="preserve">D: </w:t>
      </w:r>
      <w:r>
        <w:rPr>
          <w:rFonts w:ascii="Calibri" w:hAnsi="Calibri"/>
          <w:color w:val="1E2D38"/>
          <w:sz w:val="21"/>
        </w:rPr>
        <w:t>Data avoidance. Replacing the measure because reports differ discards clinically important participant-level information.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In conjoint work, disaggregate outcomes and alliance; improvement for one participant never cancels deterioration, coercion, or harm reported by another.</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Review response by participant, assess safety and adverse effects, revisit treatment unit and formulation, and revise format, plan, consultation, or referral.</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Evaluate response and revise a nonresponsive plan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R10</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MATCH</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Safety, consent, confidentiality, treatment-format, documentation, consultation, and referral decisions must be individualized and governed by current law, ethics, board guidance, policy, and the facts assessed.</w:t>
            </w:r>
          </w:p>
        </w:tc>
      </w:tr>
    </w:tbl>
    <w:p>
      <w:pPr>
        <w:spacing w:after="20"/>
      </w:pPr>
    </w:p>
    <w:p>
      <w:pPr>
        <w:pStyle w:val="Heading1"/>
        <w:pageBreakBefore/>
      </w:pPr>
      <w:r>
        <w:t>Controlled Remediation Supports</w:t>
      </w:r>
    </w:p>
    <w:p>
      <w:pPr>
        <w:pStyle w:val="Heading2"/>
      </w:pPr>
      <w:r>
        <w:t>Reasoning-Error Code Profile</w:t>
      </w:r>
    </w:p>
    <w:tbl>
      <w:tblPr>
        <w:tblW w:type="dxa" w:w="9360"/>
        <w:jc w:val="center"/>
        <w:tblLayout w:type="fixed"/>
        <w:tblLook w:firstColumn="1" w:firstRow="1" w:lastColumn="0" w:lastRow="0" w:noHBand="0" w:noVBand="1" w:val="04A0"/>
        <w:tblInd w:w="0" w:type="dxa"/>
      </w:tblPr>
      <w:tblGrid>
        <w:gridCol w:w="720"/>
        <w:gridCol w:w="2300"/>
        <w:gridCol w:w="1200"/>
        <w:gridCol w:w="5140"/>
      </w:tblGrid>
      <w:tr>
        <w:trPr>
          <w:tblHeader w:val="true"/>
          <w:cantSplit/>
        </w:trPr>
        <w:tc>
          <w:tcPr>
            <w:tcW w:type="dxa" w:w="720"/>
            <w:shd w:fill="12385B"/>
            <w:tcMar>
              <w:top w:w="80" w:type="dxa"/>
              <w:start w:w="120" w:type="dxa"/>
              <w:bottom w:w="80" w:type="dxa"/>
              <w:end w:w="120" w:type="dxa"/>
            </w:tcMar>
            <w:vAlign w:val="center"/>
          </w:tcPr>
          <w:p>
            <w:pPr>
              <w:spacing w:after="0"/>
              <w:jc w:val="center"/>
            </w:pPr>
            <w:r/>
            <w:r>
              <w:rPr>
                <w:rFonts w:ascii="Calibri" w:hAnsi="Calibri"/>
                <w:b/>
                <w:color w:val="FFFFFF"/>
                <w:sz w:val="18"/>
              </w:rPr>
              <w:t>Code</w:t>
            </w:r>
          </w:p>
        </w:tc>
        <w:tc>
          <w:tcPr>
            <w:tcW w:type="dxa" w:w="2300"/>
            <w:shd w:fill="12385B"/>
            <w:tcMar>
              <w:top w:w="80" w:type="dxa"/>
              <w:start w:w="120" w:type="dxa"/>
              <w:bottom w:w="80" w:type="dxa"/>
              <w:end w:w="120" w:type="dxa"/>
            </w:tcMar>
            <w:vAlign w:val="center"/>
          </w:tcPr>
          <w:p>
            <w:pPr>
              <w:spacing w:after="0"/>
              <w:jc w:val="left"/>
            </w:pPr>
            <w:r/>
            <w:r>
              <w:rPr>
                <w:rFonts w:ascii="Calibri" w:hAnsi="Calibri"/>
                <w:b/>
                <w:color w:val="FFFFFF"/>
                <w:sz w:val="18"/>
              </w:rPr>
              <w:t>Reasoning pattern</w:t>
            </w:r>
          </w:p>
        </w:tc>
        <w:tc>
          <w:tcPr>
            <w:tcW w:type="dxa" w:w="1200"/>
            <w:shd w:fill="12385B"/>
            <w:tcMar>
              <w:top w:w="80" w:type="dxa"/>
              <w:start w:w="120" w:type="dxa"/>
              <w:bottom w:w="80" w:type="dxa"/>
              <w:end w:w="120" w:type="dxa"/>
            </w:tcMar>
            <w:vAlign w:val="center"/>
          </w:tcPr>
          <w:p>
            <w:pPr>
              <w:spacing w:after="0"/>
              <w:jc w:val="center"/>
            </w:pPr>
            <w:r/>
            <w:r>
              <w:rPr>
                <w:rFonts w:ascii="Calibri" w:hAnsi="Calibri"/>
                <w:b/>
                <w:color w:val="FFFFFF"/>
                <w:sz w:val="18"/>
              </w:rPr>
              <w:t>Bank items</w:t>
            </w:r>
          </w:p>
        </w:tc>
        <w:tc>
          <w:tcPr>
            <w:tcW w:type="dxa" w:w="5140"/>
            <w:shd w:fill="12385B"/>
            <w:tcMar>
              <w:top w:w="80" w:type="dxa"/>
              <w:start w:w="120" w:type="dxa"/>
              <w:bottom w:w="80" w:type="dxa"/>
              <w:end w:w="120" w:type="dxa"/>
            </w:tcMar>
            <w:vAlign w:val="center"/>
          </w:tcPr>
          <w:p>
            <w:pPr>
              <w:spacing w:after="0"/>
              <w:jc w:val="center"/>
            </w:pPr>
            <w:r/>
            <w:r>
              <w:rPr>
                <w:rFonts w:ascii="Calibri" w:hAnsi="Calibri"/>
                <w:b/>
                <w:color w:val="FFFFFF"/>
                <w:sz w:val="18"/>
              </w:rPr>
              <w:t>Repair action</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R1</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Technique accumulation</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2, 15</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Return to one working hypothesis, mechanism, goal, and response indicator.</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R2</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Model-mechanism mismatch</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1, 3, 13</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Choose the method because it fits the maintaining process, client, and decision point.</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R3</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Expert-author trap</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5</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Elicit the client system's language, preferences, values, and authorship.</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R4</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Problem-saturated or excusing language</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4</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Externalize the problem without externalizing responsibility or concrete harm.</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R5</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Solution rush / exception inflation</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6, 7</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Validate the problem and assess safety before building from exceptions or small steps.</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R6</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Ambivalence override</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8</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Reflect both sides and evoke the client's own reasons, readiness, and choice.</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R7</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Evocation before regulation</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9, 10</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Restore safety, regulation, consent, and tolerable pacing before deepening experience.</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R8</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Individual-reduction trap</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11, 12</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Reconnect behavior and cognition to reciprocal patterns, culture, development, and context.</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R9</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Mindfulness universalization</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14</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Offer rationale and alternatives; adapt or stop when the practice is unwanted or destabilizing.</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R10</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Feedback or competence neglect</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16, 17</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Review response, document, consult, revise, refer, or narrow scope as indicated.</w:t>
            </w:r>
          </w:p>
        </w:tc>
      </w:tr>
    </w:tbl>
    <w:p>
      <w:pPr>
        <w:spacing w:after="20"/>
      </w:pPr>
    </w:p>
    <w:p>
      <w:pPr>
        <w:pStyle w:val="Heading2"/>
      </w:pPr>
      <w:r>
        <w:t>Domain and Confidence Review</w:t>
      </w:r>
    </w:p>
    <w:tbl>
      <w:tblPr>
        <w:tblW w:type="dxa" w:w="9360"/>
        <w:jc w:val="center"/>
        <w:tblLayout w:type="fixed"/>
        <w:tblLook w:firstColumn="1" w:firstRow="1" w:lastColumn="0" w:lastRow="0" w:noHBand="0" w:noVBand="1" w:val="04A0"/>
        <w:tblInd w:w="0" w:type="dxa"/>
      </w:tblPr>
      <w:tblGrid>
        <w:gridCol w:w="4200"/>
        <w:gridCol w:w="1420"/>
        <w:gridCol w:w="1440"/>
        <w:gridCol w:w="2300"/>
      </w:tblGrid>
      <w:tr>
        <w:trPr>
          <w:tblHeader w:val="true"/>
          <w:cantSplit/>
        </w:trPr>
        <w:tc>
          <w:tcPr>
            <w:tcW w:type="dxa" w:w="4200"/>
            <w:shd w:fill="12385B"/>
            <w:tcMar>
              <w:top w:w="80" w:type="dxa"/>
              <w:start w:w="120" w:type="dxa"/>
              <w:bottom w:w="80" w:type="dxa"/>
              <w:end w:w="120" w:type="dxa"/>
            </w:tcMar>
            <w:vAlign w:val="center"/>
          </w:tcPr>
          <w:p>
            <w:pPr>
              <w:spacing w:after="0"/>
              <w:jc w:val="center"/>
            </w:pPr>
            <w:r/>
            <w:r>
              <w:rPr>
                <w:rFonts w:ascii="Calibri" w:hAnsi="Calibri"/>
                <w:b/>
                <w:color w:val="FFFFFF"/>
                <w:sz w:val="18"/>
              </w:rPr>
              <w:t>Primary domain</w:t>
            </w:r>
          </w:p>
        </w:tc>
        <w:tc>
          <w:tcPr>
            <w:tcW w:type="dxa" w:w="1420"/>
            <w:shd w:fill="12385B"/>
            <w:tcMar>
              <w:top w:w="80" w:type="dxa"/>
              <w:start w:w="120" w:type="dxa"/>
              <w:bottom w:w="80" w:type="dxa"/>
              <w:end w:w="120" w:type="dxa"/>
            </w:tcMar>
            <w:vAlign w:val="center"/>
          </w:tcPr>
          <w:p>
            <w:pPr>
              <w:spacing w:after="0"/>
              <w:jc w:val="center"/>
            </w:pPr>
            <w:r/>
            <w:r>
              <w:rPr>
                <w:rFonts w:ascii="Calibri" w:hAnsi="Calibri"/>
                <w:b/>
                <w:color w:val="FFFFFF"/>
                <w:sz w:val="18"/>
              </w:rPr>
              <w:t>Items</w:t>
            </w:r>
          </w:p>
        </w:tc>
        <w:tc>
          <w:tcPr>
            <w:tcW w:type="dxa" w:w="1440"/>
            <w:shd w:fill="12385B"/>
            <w:tcMar>
              <w:top w:w="80" w:type="dxa"/>
              <w:start w:w="120" w:type="dxa"/>
              <w:bottom w:w="80" w:type="dxa"/>
              <w:end w:w="120" w:type="dxa"/>
            </w:tcMar>
            <w:vAlign w:val="center"/>
          </w:tcPr>
          <w:p>
            <w:pPr>
              <w:spacing w:after="0"/>
              <w:jc w:val="center"/>
            </w:pPr>
            <w:r/>
            <w:r>
              <w:rPr>
                <w:rFonts w:ascii="Calibri" w:hAnsi="Calibri"/>
                <w:b/>
                <w:color w:val="FFFFFF"/>
                <w:sz w:val="18"/>
              </w:rPr>
              <w:t>Correct</w:t>
            </w:r>
          </w:p>
        </w:tc>
        <w:tc>
          <w:tcPr>
            <w:tcW w:type="dxa" w:w="2300"/>
            <w:shd w:fill="12385B"/>
            <w:tcMar>
              <w:top w:w="80" w:type="dxa"/>
              <w:start w:w="120" w:type="dxa"/>
              <w:bottom w:w="80" w:type="dxa"/>
              <w:end w:w="120" w:type="dxa"/>
            </w:tcMar>
            <w:vAlign w:val="center"/>
          </w:tcPr>
          <w:p>
            <w:pPr>
              <w:spacing w:after="0"/>
              <w:jc w:val="left"/>
            </w:pPr>
            <w:r/>
            <w:r>
              <w:rPr>
                <w:rFonts w:ascii="Calibri" w:hAnsi="Calibri"/>
                <w:b/>
                <w:color w:val="FFFFFF"/>
                <w:sz w:val="18"/>
              </w:rPr>
              <w:t>Review priority</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D1 - Practice of Systemic Therapy</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3, 4</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2</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D2 - Assessing, Hypothesizing, Diagnosing</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11</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D3 - Designing and Conducting Treatment</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1, 2, 5-10, 12, 13, 15</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11</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D4 - Evaluating Ongoing Process and Terminating</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17</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D6 - Ethical, Legal, Professional Standards</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14, 16</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2</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bl>
    <w:p>
      <w:pPr>
        <w:spacing w:after="20"/>
      </w:pPr>
    </w:p>
    <w:p>
      <w:pPr>
        <w:pStyle w:val="Heading2"/>
        <w:pageBreakBefore/>
      </w:pPr>
      <w:r>
        <w:t>Low-Confidence and Missed-Item Review</w:t>
      </w:r>
    </w:p>
    <w:tbl>
      <w:tblPr>
        <w:tblW w:type="dxa" w:w="9360"/>
        <w:jc w:val="center"/>
        <w:tblLayout w:type="fixed"/>
        <w:tblLook w:firstColumn="1" w:firstRow="1" w:lastColumn="0" w:lastRow="0" w:noHBand="0" w:noVBand="1" w:val="04A0"/>
        <w:tblInd w:w="0" w:type="dxa"/>
      </w:tblPr>
      <w:tblGrid>
        <w:gridCol w:w="720"/>
        <w:gridCol w:w="1700"/>
        <w:gridCol w:w="1200"/>
        <w:gridCol w:w="2790"/>
        <w:gridCol w:w="2950"/>
      </w:tblGrid>
      <w:tr>
        <w:trPr>
          <w:tblHeader w:val="true"/>
          <w:cantSplit/>
        </w:trPr>
        <w:tc>
          <w:tcPr>
            <w:tcW w:type="dxa" w:w="720"/>
            <w:shd w:fill="12385B"/>
            <w:tcMar>
              <w:top w:w="80" w:type="dxa"/>
              <w:start w:w="120" w:type="dxa"/>
              <w:bottom w:w="80" w:type="dxa"/>
              <w:end w:w="120" w:type="dxa"/>
            </w:tcMar>
            <w:vAlign w:val="center"/>
          </w:tcPr>
          <w:p>
            <w:pPr>
              <w:spacing w:after="0"/>
              <w:jc w:val="center"/>
            </w:pPr>
            <w:r/>
            <w:r>
              <w:rPr>
                <w:rFonts w:ascii="Calibri" w:hAnsi="Calibri"/>
                <w:b/>
                <w:color w:val="FFFFFF"/>
                <w:sz w:val="18"/>
              </w:rPr>
              <w:t>Item</w:t>
            </w:r>
          </w:p>
        </w:tc>
        <w:tc>
          <w:tcPr>
            <w:tcW w:type="dxa" w:w="1700"/>
            <w:shd w:fill="12385B"/>
            <w:tcMar>
              <w:top w:w="80" w:type="dxa"/>
              <w:start w:w="120" w:type="dxa"/>
              <w:bottom w:w="80" w:type="dxa"/>
              <w:end w:w="120" w:type="dxa"/>
            </w:tcMar>
            <w:vAlign w:val="center"/>
          </w:tcPr>
          <w:p>
            <w:pPr>
              <w:spacing w:after="0"/>
              <w:jc w:val="left"/>
            </w:pPr>
            <w:r/>
            <w:r>
              <w:rPr>
                <w:rFonts w:ascii="Calibri" w:hAnsi="Calibri"/>
                <w:b/>
                <w:color w:val="FFFFFF"/>
                <w:sz w:val="18"/>
              </w:rPr>
              <w:t>Result / confidence</w:t>
            </w:r>
          </w:p>
        </w:tc>
        <w:tc>
          <w:tcPr>
            <w:tcW w:type="dxa" w:w="1200"/>
            <w:shd w:fill="12385B"/>
            <w:tcMar>
              <w:top w:w="80" w:type="dxa"/>
              <w:start w:w="120" w:type="dxa"/>
              <w:bottom w:w="80" w:type="dxa"/>
              <w:end w:w="120" w:type="dxa"/>
            </w:tcMar>
            <w:vAlign w:val="center"/>
          </w:tcPr>
          <w:p>
            <w:pPr>
              <w:spacing w:after="0"/>
              <w:jc w:val="center"/>
            </w:pPr>
            <w:r/>
            <w:r>
              <w:rPr>
                <w:rFonts w:ascii="Calibri" w:hAnsi="Calibri"/>
                <w:b/>
                <w:color w:val="FFFFFF"/>
                <w:sz w:val="18"/>
              </w:rPr>
              <w:t>Error code</w:t>
            </w:r>
          </w:p>
        </w:tc>
        <w:tc>
          <w:tcPr>
            <w:tcW w:type="dxa" w:w="2790"/>
            <w:shd w:fill="12385B"/>
            <w:tcMar>
              <w:top w:w="80" w:type="dxa"/>
              <w:start w:w="120" w:type="dxa"/>
              <w:bottom w:w="80" w:type="dxa"/>
              <w:end w:w="120" w:type="dxa"/>
            </w:tcMar>
            <w:vAlign w:val="center"/>
          </w:tcPr>
          <w:p>
            <w:pPr>
              <w:spacing w:after="0"/>
              <w:jc w:val="left"/>
            </w:pPr>
            <w:r/>
            <w:r>
              <w:rPr>
                <w:rFonts w:ascii="Calibri" w:hAnsi="Calibri"/>
                <w:b/>
                <w:color w:val="FFFFFF"/>
                <w:sz w:val="18"/>
              </w:rPr>
              <w:t>Why my option failed</w:t>
            </w:r>
          </w:p>
        </w:tc>
        <w:tc>
          <w:tcPr>
            <w:tcW w:type="dxa" w:w="2950"/>
            <w:shd w:fill="12385B"/>
            <w:tcMar>
              <w:top w:w="80" w:type="dxa"/>
              <w:start w:w="120" w:type="dxa"/>
              <w:bottom w:w="80" w:type="dxa"/>
              <w:end w:w="120" w:type="dxa"/>
            </w:tcMar>
            <w:vAlign w:val="center"/>
          </w:tcPr>
          <w:p>
            <w:pPr>
              <w:spacing w:after="0"/>
              <w:jc w:val="center"/>
            </w:pPr>
            <w:r/>
            <w:r>
              <w:rPr>
                <w:rFonts w:ascii="Calibri" w:hAnsi="Calibri"/>
                <w:b/>
                <w:color w:val="FFFFFF"/>
                <w:sz w:val="18"/>
              </w:rPr>
              <w:t>Transfer rule</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bl>
    <w:p>
      <w:pPr>
        <w:spacing w:after="20"/>
      </w:pPr>
    </w:p>
    <w:p>
      <w:pPr>
        <w:pStyle w:val="Heading2"/>
      </w:pPr>
      <w:r>
        <w:t>Readiness and Retake Plan</w:t>
      </w:r>
    </w:p>
    <w:p>
      <w:pPr>
        <w:spacing w:after="40"/>
      </w:pPr>
      <w:r>
        <w:rPr>
          <w:rFonts w:ascii="Calibri" w:hAnsi="Calibri"/>
          <w:b/>
          <w:color w:val="12385B"/>
          <w:sz w:val="21"/>
        </w:rPr>
        <w:t>Items requiring review:</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Most frequent reasoning pattern:</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Workbook chapter and CTA tool to revisit:</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One repair rule I can explain without notes:</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Practice action before retake:</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Evidence that I understand why each distractor fails:</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Retake date and time limit:</w:t>
      </w:r>
    </w:p>
    <w:p>
      <w:pPr>
        <w:spacing w:after="160"/>
      </w:pPr>
      <w:r>
        <w:rPr>
          <w:rFonts w:ascii="Calibri" w:hAnsi="Calibri"/>
          <w:color w:val="5A6872"/>
          <w:sz w:val="20"/>
        </w:rPr>
        <w:t>______________________________________________________________________________</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READINESS GATE:  </w:t>
            </w:r>
            <w:r>
              <w:rPr>
                <w:rFonts w:ascii="Calibri" w:hAnsi="Calibri"/>
                <w:color w:val="1E2D38"/>
                <w:sz w:val="20"/>
              </w:rPr>
              <w:t>Do not rely on score alone. Before retaking, the learner should be able to identify the decision point, explain why the keyed action comes first, describe the defect in every competing option, and state a transferable repair rule for each missed or low-confidence item.</w:t>
            </w:r>
          </w:p>
        </w:tc>
      </w:tr>
    </w:tbl>
    <w:p>
      <w:pPr>
        <w:spacing w:after="20"/>
      </w:pPr>
    </w:p>
    <w:p>
      <w:pPr>
        <w:pStyle w:val="Heading1"/>
      </w:pPr>
      <w:r>
        <w:t>Current Official Sources and Control Notices</w:t>
      </w:r>
    </w:p>
    <w:p>
      <w:pPr>
        <w:keepLines w:val="0"/>
        <w:spacing w:after="100" w:line="283" w:lineRule="auto"/>
      </w:pPr>
      <w:r>
        <w:rPr>
          <w:rFonts w:ascii="Calibri" w:hAnsi="Calibri"/>
          <w:b/>
          <w:color w:val="12385B"/>
          <w:sz w:val="21"/>
        </w:rPr>
        <w:t xml:space="preserve">Source-control date: </w:t>
      </w:r>
      <w:r>
        <w:rPr>
          <w:rFonts w:ascii="Calibri" w:hAnsi="Calibri"/>
          <w:color w:val="1E2D38"/>
          <w:sz w:val="21"/>
        </w:rPr>
        <w:t>Verified August 1, 2026. Official examination specifications and professional standards can change.</w:t>
      </w:r>
    </w:p>
    <w:p>
      <w:pPr>
        <w:spacing w:after="160"/>
      </w:pPr>
      <w:hyperlink r:id="rId14">
        <w:r>
          <w:rPr>
            <w:color w:val="13A6A6"/>
            <w:u w:val="single"/>
          </w:rPr>
          <w:t>AMFTRB Exam Reference</w:t>
        </w:r>
      </w:hyperlink>
      <w:r>
        <w:rPr>
          <w:rFonts w:ascii="Calibri" w:hAnsi="Calibri"/>
          <w:color w:val="1E2D38"/>
          <w:sz w:val="21"/>
        </w:rPr>
        <w:t xml:space="preserve"> - Official candidate-source guidance and examination reference information.</w:t>
      </w:r>
    </w:p>
    <w:p>
      <w:pPr>
        <w:spacing w:after="160"/>
      </w:pPr>
      <w:hyperlink r:id="rId15">
        <w:r>
          <w:rPr>
            <w:color w:val="13A6A6"/>
            <w:u w:val="single"/>
          </w:rPr>
          <w:t>AMFTRB Your National Exam Roadmap</w:t>
        </w:r>
      </w:hyperlink>
      <w:r>
        <w:rPr>
          <w:rFonts w:ascii="Calibri" w:hAnsi="Calibri"/>
          <w:color w:val="1E2D38"/>
          <w:sz w:val="21"/>
        </w:rPr>
        <w:t xml:space="preserve"> - Current handbook and examination-preparation routing.</w:t>
      </w:r>
    </w:p>
    <w:p>
      <w:pPr>
        <w:spacing w:after="160"/>
      </w:pPr>
      <w:hyperlink r:id="rId16">
        <w:r>
          <w:rPr>
            <w:color w:val="13A6A6"/>
            <w:u w:val="single"/>
          </w:rPr>
          <w:t>AAMFT Code of Ethics</w:t>
        </w:r>
      </w:hyperlink>
      <w:r>
        <w:rPr>
          <w:rFonts w:ascii="Calibri" w:hAnsi="Calibri"/>
          <w:color w:val="1E2D38"/>
          <w:sz w:val="21"/>
        </w:rPr>
        <w:t xml:space="preserve"> - Revised code effective January 1, 2026, including informed consent, client autonomy, benefit, referral, nonabandonment, confidentiality, technology, competence, and consultation principles.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OFFICIAL-SOURCE DISCLAIMER:  </w:t>
            </w:r>
            <w:r>
              <w:rPr>
                <w:rFonts w:ascii="Calibri" w:hAnsi="Calibri"/>
                <w:color w:val="1E2D38"/>
                <w:sz w:val="20"/>
              </w:rPr>
              <w:t>CTA is an independent educational resource and is not affiliated with or endorsed by AMFTRB, PTC, Prometric, AAMFT, or any licensing board. These are original CTA practice items, not live, recalled, leaked, retired, proprietary, or memorized examination content.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12385B"/>
                <w:sz w:val="20"/>
              </w:rPr>
              <w:t xml:space="preserve">USE AND OUTCOME NOTICE:  </w:t>
            </w:r>
            <w:r>
              <w:rPr>
                <w:rFonts w:ascii="Calibri" w:hAnsi="Calibri"/>
                <w:color w:val="1E2D38"/>
                <w:sz w:val="20"/>
              </w:rPr>
              <w:t>This controlled file is for authorized exam-preparation use. Participation does not guarantee examination passage. This program provides no continuing education (CE) credit.</w:t>
            </w:r>
          </w:p>
        </w:tc>
      </w:tr>
    </w:tbl>
    <w:p>
      <w:pPr>
        <w:spacing w:after="20"/>
      </w:pP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27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13A6A6"/>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64" w:lineRule="auto"/>
    </w:pPr>
    <w:rPr>
      <w:rFonts w:asciiTheme="majorHAnsi" w:eastAsiaTheme="majorEastAsia" w:hAnsiTheme="majorHAnsi" w:cstheme="majorBidi" w:ascii="Calibri" w:hAnsi="Calibri"/>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amftrb.org/exam-info/" TargetMode="External"/><Relationship Id="rId15" Type="http://schemas.openxmlformats.org/officeDocument/2006/relationships/hyperlink" Target="https://amftrb.org/your-exam-roadmap/" TargetMode="External"/><Relationship Id="rId16" Type="http://schemas.openxmlformats.org/officeDocument/2006/relationships/hyperlink" Target="https://www.aamft.org/AAMFT/web/Action-Advocacy/Code-of-Ethics-New.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8 Controlled Answer Key and Detailed Rationales</dc:title>
  <dc:subject>Controlled option-by-option rationales for original CTA Workbook 8 exam-preparation items; no CE credit</dc:subject>
  <dc:creator>Clinical Training &amp; Supervision Academy</dc:creator>
  <cp:keywords>LMFT, AMFTRB, exam preparation, narrative therapy, solution-focused therapy, experiential therapy, behavioral therapy, cognitive therapy, mindfulness, controlled answer key</cp:keywords>
  <dc:description>Release only after the learner completes and records the first timed attempt.</dc:description>
  <cp:lastModifiedBy/>
  <cp:revision>1</cp:revision>
  <dcterms:created xsi:type="dcterms:W3CDTF">2013-12-23T23:15:00Z</dcterms:created>
  <dcterms:modified xsi:type="dcterms:W3CDTF">2013-12-23T23:15:00Z</dcterms:modified>
  <cp:category/>
</cp:coreProperties>
</file>