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400"/>
        <w:jc w:val="center"/>
      </w:pPr>
      <w:r>
        <w:drawing>
          <wp:inline xmlns:a="http://schemas.openxmlformats.org/drawingml/2006/main" xmlns:pic="http://schemas.openxmlformats.org/drawingml/2006/picture">
            <wp:extent cx="4389120" cy="3018971"/>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3"/>
                    <a:stretch>
                      <a:fillRect/>
                    </a:stretch>
                  </pic:blipFill>
                  <pic:spPr>
                    <a:xfrm>
                      <a:off x="0" y="0"/>
                      <a:ext cx="4389120" cy="3018971"/>
                    </a:xfrm>
                    <a:prstGeom prst="rect"/>
                  </pic:spPr>
                </pic:pic>
              </a:graphicData>
            </a:graphic>
          </wp:inline>
        </w:drawing>
      </w:r>
    </w:p>
    <w:p>
      <w:pPr>
        <w:spacing w:after="60"/>
        <w:jc w:val="center"/>
      </w:pPr>
      <w:r>
        <w:rPr>
          <w:rFonts w:ascii="Calibri" w:hAnsi="Calibri"/>
          <w:b/>
          <w:color w:val="12385B"/>
          <w:sz w:val="34"/>
        </w:rPr>
        <w:t>CTA LMFT AMFTRB</w:t>
      </w:r>
    </w:p>
    <w:p>
      <w:pPr>
        <w:spacing w:after="280"/>
        <w:jc w:val="center"/>
      </w:pPr>
      <w:r>
        <w:rPr>
          <w:rFonts w:ascii="Calibri" w:hAnsi="Calibri"/>
          <w:b/>
          <w:color w:val="13A6A6"/>
          <w:sz w:val="21"/>
        </w:rPr>
        <w:t>NATIONAL EXAM PREPARATION PROGRAM</w:t>
      </w:r>
    </w:p>
    <w:p>
      <w:pPr>
        <w:spacing w:after="140"/>
        <w:jc w:val="center"/>
      </w:pPr>
      <w:r>
        <w:rPr>
          <w:rFonts w:ascii="Calibri" w:hAnsi="Calibri"/>
          <w:b/>
          <w:color w:val="9B1C1C"/>
          <w:sz w:val="20"/>
        </w:rPr>
        <w:t>CONTROLLED DOCUMENT</w:t>
      </w:r>
    </w:p>
    <w:p>
      <w:pPr>
        <w:pStyle w:val="Title"/>
        <w:jc w:val="center"/>
      </w:pPr>
      <w:r>
        <w:t>Answer Key and Detailed Rationales</w:t>
      </w:r>
    </w:p>
    <w:p>
      <w:pPr>
        <w:pStyle w:val="Subtitle"/>
        <w:jc w:val="center"/>
      </w:pPr>
      <w:r>
        <w:t>CTA LMFT AMFTRB Workbook 9</w:t>
      </w:r>
    </w:p>
    <w:p>
      <w:pPr>
        <w:spacing w:after="360"/>
        <w:jc w:val="center"/>
      </w:pPr>
      <w:r>
        <w:rPr>
          <w:rFonts w:ascii="Calibri" w:hAnsi="Calibri"/>
          <w:b/>
          <w:color w:val="12385B"/>
          <w:sz w:val="27"/>
        </w:rPr>
        <w:t>Complex Presentations: Substance Use, Recovery, Sexuality, Health,</w:t>
        <w:br/>
        <w:t>Development, Grief, and Integrated Care</w:t>
      </w:r>
    </w:p>
    <w:p>
      <w:pPr>
        <w:spacing w:after="100"/>
        <w:jc w:val="center"/>
      </w:pPr>
      <w:r>
        <w:rPr>
          <w:rFonts w:ascii="Calibri" w:hAnsi="Calibri"/>
          <w:color w:val="5A6872"/>
          <w:sz w:val="20"/>
        </w:rPr>
        <w:t>Version 1.0 - August 2026</w:t>
      </w:r>
    </w:p>
    <w:p>
      <w:pPr>
        <w:jc w:val="center"/>
      </w:pPr>
      <w:r>
        <w:rPr>
          <w:rFonts w:ascii="Calibri" w:hAnsi="Calibri"/>
          <w:b/>
          <w:color w:val="12385B"/>
          <w:sz w:val="21"/>
        </w:rPr>
        <w:t>Clinical Training &amp; Supervision Academy</w:t>
      </w:r>
    </w:p>
    <w:p>
      <w:pPr>
        <w:pStyle w:val="Heading1"/>
        <w:pageBreakBefore/>
      </w:pPr>
      <w:r>
        <w:t>Scoring and Use Instructions</w:t>
      </w:r>
    </w:p>
    <w:p>
      <w:pPr>
        <w:numPr>
          <w:ilvl w:val="0"/>
          <w:numId w:val="10"/>
        </w:numPr>
        <w:spacing w:after="80" w:line="300" w:lineRule="auto"/>
        <w:ind w:left="540" w:hanging="271"/>
      </w:pPr>
      <w:r>
        <w:rPr>
          <w:rFonts w:ascii="Calibri" w:hAnsi="Calibri"/>
          <w:color w:val="1E2D38"/>
          <w:sz w:val="22"/>
        </w:rPr>
        <w:t>Score the first attempt using the compact key. Preserve the learner's original answers, confidence ratings, and time used.</w:t>
      </w:r>
    </w:p>
    <w:p>
      <w:pPr>
        <w:numPr>
          <w:ilvl w:val="0"/>
          <w:numId w:val="10"/>
        </w:numPr>
        <w:spacing w:after="80" w:line="300" w:lineRule="auto"/>
        <w:ind w:left="540" w:hanging="271"/>
      </w:pPr>
      <w:r>
        <w:rPr>
          <w:rFonts w:ascii="Calibri" w:hAnsi="Calibri"/>
          <w:color w:val="1E2D38"/>
          <w:sz w:val="22"/>
        </w:rPr>
        <w:t>Review every incorrect answer and every correct answer marked confidence 1 or 2. Read all four option rationales before writing a transfer rule.</w:t>
      </w:r>
    </w:p>
    <w:p>
      <w:pPr>
        <w:numPr>
          <w:ilvl w:val="0"/>
          <w:numId w:val="10"/>
        </w:numPr>
        <w:spacing w:after="80" w:line="300" w:lineRule="auto"/>
        <w:ind w:left="540" w:hanging="271"/>
      </w:pPr>
      <w:r>
        <w:rPr>
          <w:rFonts w:ascii="Calibri" w:hAnsi="Calibri"/>
          <w:color w:val="1E2D38"/>
          <w:sz w:val="22"/>
        </w:rPr>
        <w:t>Assign the controlled remediation code and examine whether another recurring reasoning pattern also contributed.</w:t>
      </w:r>
    </w:p>
    <w:p>
      <w:pPr>
        <w:numPr>
          <w:ilvl w:val="0"/>
          <w:numId w:val="10"/>
        </w:numPr>
        <w:spacing w:after="80" w:line="300" w:lineRule="auto"/>
        <w:ind w:left="540" w:hanging="271"/>
      </w:pPr>
      <w:r>
        <w:rPr>
          <w:rFonts w:ascii="Calibri" w:hAnsi="Calibri"/>
          <w:color w:val="1E2D38"/>
          <w:sz w:val="22"/>
        </w:rPr>
        <w:t>Return to the named objective and chapter/tool, complete the remediation plan, and retake only after the learner can explain the decision point and competing-option defects.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CONTROLLED USE:  </w:t>
            </w:r>
            <w:r>
              <w:rPr>
                <w:rFonts w:ascii="Calibri" w:hAnsi="Calibri"/>
                <w:color w:val="1E2D38"/>
                <w:sz w:val="20"/>
              </w:rPr>
              <w:t>Release only after the candidate completes and records the first timed attempt. Keep this file separate from the learner-facing candidate bank.</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CURRENCY CONTROL:  </w:t>
            </w:r>
            <w:r>
              <w:rPr>
                <w:rFonts w:ascii="Calibri" w:hAnsi="Calibri"/>
                <w:color w:val="1E2D38"/>
                <w:sz w:val="20"/>
              </w:rPr>
              <w:t>Clinical reasoning in this file does not replace current law, regulation, ethics, board guidance, organizational policy, emergency procedures, or individualized consultation. Jurisdiction-dependent requirements must be verified before practice application.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12385B"/>
                <w:sz w:val="20"/>
              </w:rPr>
              <w:t xml:space="preserve">PROGRAM DESIGNATION:  </w:t>
            </w:r>
            <w:r>
              <w:rPr>
                <w:rFonts w:ascii="Calibri" w:hAnsi="Calibri"/>
                <w:color w:val="1E2D38"/>
                <w:sz w:val="20"/>
              </w:rPr>
              <w:t>Editable Word document | Original CTA exam preparation | No CE credit | Participation does not guarantee examination passage.</w:t>
            </w:r>
          </w:p>
        </w:tc>
      </w:tr>
    </w:tbl>
    <w:p>
      <w:pPr>
        <w:spacing w:after="20"/>
      </w:pPr>
    </w:p>
    <w:p>
      <w:pPr>
        <w:pStyle w:val="Heading2"/>
      </w:pPr>
      <w:r>
        <w:t>Compact Answer Key</w:t>
      </w:r>
    </w:p>
    <w:tbl>
      <w:tblPr>
        <w:tblW w:type="dxa" w:w="9360"/>
        <w:jc w:val="center"/>
        <w:tblLayout w:type="fixed"/>
        <w:tblLook w:firstColumn="1" w:firstRow="1" w:lastColumn="0" w:lastRow="0" w:noHBand="0" w:noVBand="1" w:val="04A0"/>
        <w:tblInd w:w="0" w:type="dxa"/>
      </w:tblPr>
      <w:tblGrid>
        <w:gridCol w:w="690"/>
        <w:gridCol w:w="510"/>
        <w:gridCol w:w="510"/>
        <w:gridCol w:w="510"/>
        <w:gridCol w:w="510"/>
        <w:gridCol w:w="510"/>
        <w:gridCol w:w="510"/>
        <w:gridCol w:w="510"/>
        <w:gridCol w:w="510"/>
        <w:gridCol w:w="510"/>
        <w:gridCol w:w="510"/>
        <w:gridCol w:w="510"/>
        <w:gridCol w:w="510"/>
        <w:gridCol w:w="510"/>
        <w:gridCol w:w="510"/>
        <w:gridCol w:w="510"/>
        <w:gridCol w:w="510"/>
        <w:gridCol w:w="510"/>
      </w:tblGrid>
      <w:tr>
        <w:trPr>
          <w:tblHeader w:val="true"/>
          <w:cantSplit/>
        </w:trPr>
        <w:tc>
          <w:tcPr>
            <w:tcW w:type="dxa" w:w="690"/>
            <w:shd w:fill="12385B"/>
            <w:tcMar>
              <w:top w:w="80" w:type="dxa"/>
              <w:start w:w="120" w:type="dxa"/>
              <w:bottom w:w="80" w:type="dxa"/>
              <w:end w:w="120" w:type="dxa"/>
            </w:tcMar>
            <w:vAlign w:val="center"/>
          </w:tcPr>
          <w:p>
            <w:pPr>
              <w:spacing w:after="0"/>
              <w:jc w:val="center"/>
            </w:pPr>
            <w:r/>
            <w:r>
              <w:rPr>
                <w:rFonts w:ascii="Calibri" w:hAnsi="Calibri"/>
                <w:b/>
                <w:color w:val="FFFFFF"/>
                <w:sz w:val="18"/>
              </w:rPr>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2</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3</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4</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5</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6</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7</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8</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9</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10</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11</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12</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13</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14</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15</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16</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17</w:t>
            </w:r>
          </w:p>
        </w:tc>
      </w:tr>
      <w:tr>
        <w:trPr>
          <w:cantSplit/>
        </w:trPr>
        <w:tc>
          <w:tcPr>
            <w:tcW w:type="dxa" w:w="690"/>
            <w:tcMar>
              <w:top w:w="80" w:type="dxa"/>
              <w:start w:w="120" w:type="dxa"/>
              <w:bottom w:w="80" w:type="dxa"/>
              <w:end w:w="120" w:type="dxa"/>
            </w:tcMar>
            <w:vAlign w:val="center"/>
          </w:tcPr>
          <w:p>
            <w:pPr>
              <w:spacing w:after="0" w:line="259" w:lineRule="auto"/>
              <w:jc w:val="center"/>
            </w:pPr>
            <w:r/>
            <w:r>
              <w:rPr>
                <w:rFonts w:ascii="Calibri" w:hAnsi="Calibri"/>
                <w:color w:val="1E2D38"/>
                <w:sz w:val="15"/>
              </w:rPr>
              <w:t>Key</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r>
      <w:tr>
        <w:trPr>
          <w:cantSplit/>
        </w:trPr>
        <w:tc>
          <w:tcPr>
            <w:tcW w:type="dxa" w:w="69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5"/>
              </w:rPr>
              <w:t>Code</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R1</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R1</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R8</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R2</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R3</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R3</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R4</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R9</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R5</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R5</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R6</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R7</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R9</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R8</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R9</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R8</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R10</w:t>
            </w:r>
          </w:p>
        </w:tc>
      </w:tr>
    </w:tbl>
    <w:p>
      <w:pPr>
        <w:spacing w:after="20"/>
      </w:pPr>
    </w:p>
    <w:p>
      <w:pPr>
        <w:pStyle w:val="Heading2"/>
        <w:pageBreakBefore/>
      </w:pPr>
      <w:r>
        <w:t>Blueprint Synchronization Audit</w:t>
      </w:r>
    </w:p>
    <w:tbl>
      <w:tblPr>
        <w:tblW w:type="dxa" w:w="9360"/>
        <w:jc w:val="center"/>
        <w:tblLayout w:type="fixed"/>
        <w:tblLook w:firstColumn="1" w:firstRow="1" w:lastColumn="0" w:lastRow="0" w:noHBand="0" w:noVBand="1" w:val="04A0"/>
        <w:tblInd w:w="0" w:type="dxa"/>
      </w:tblPr>
      <w:tblGrid>
        <w:gridCol w:w="1600"/>
        <w:gridCol w:w="2900"/>
        <w:gridCol w:w="3240"/>
        <w:gridCol w:w="1620"/>
      </w:tblGrid>
      <w:tr>
        <w:trPr>
          <w:tblHeader w:val="true"/>
          <w:cantSplit/>
        </w:trPr>
        <w:tc>
          <w:tcPr>
            <w:tcW w:type="dxa" w:w="1600"/>
            <w:shd w:fill="12385B"/>
            <w:tcMar>
              <w:top w:w="80" w:type="dxa"/>
              <w:start w:w="120" w:type="dxa"/>
              <w:bottom w:w="80" w:type="dxa"/>
              <w:end w:w="120" w:type="dxa"/>
            </w:tcMar>
            <w:vAlign w:val="center"/>
          </w:tcPr>
          <w:p>
            <w:pPr>
              <w:spacing w:after="0"/>
              <w:jc w:val="center"/>
            </w:pPr>
            <w:r/>
            <w:r>
              <w:rPr>
                <w:rFonts w:ascii="Calibri" w:hAnsi="Calibri"/>
                <w:b/>
                <w:color w:val="FFFFFF"/>
                <w:sz w:val="18"/>
              </w:rPr>
              <w:t>Dimension</w:t>
            </w:r>
          </w:p>
        </w:tc>
        <w:tc>
          <w:tcPr>
            <w:tcW w:type="dxa" w:w="2900"/>
            <w:shd w:fill="12385B"/>
            <w:tcMar>
              <w:top w:w="80" w:type="dxa"/>
              <w:start w:w="120" w:type="dxa"/>
              <w:bottom w:w="80" w:type="dxa"/>
              <w:end w:w="120" w:type="dxa"/>
            </w:tcMar>
            <w:vAlign w:val="center"/>
          </w:tcPr>
          <w:p>
            <w:pPr>
              <w:spacing w:after="0"/>
              <w:jc w:val="center"/>
            </w:pPr>
            <w:r/>
            <w:r>
              <w:rPr>
                <w:rFonts w:ascii="Calibri" w:hAnsi="Calibri"/>
                <w:b/>
                <w:color w:val="FFFFFF"/>
                <w:sz w:val="18"/>
              </w:rPr>
              <w:t>Required</w:t>
            </w:r>
          </w:p>
        </w:tc>
        <w:tc>
          <w:tcPr>
            <w:tcW w:type="dxa" w:w="3240"/>
            <w:shd w:fill="12385B"/>
            <w:tcMar>
              <w:top w:w="80" w:type="dxa"/>
              <w:start w:w="120" w:type="dxa"/>
              <w:bottom w:w="80" w:type="dxa"/>
              <w:end w:w="120" w:type="dxa"/>
            </w:tcMar>
            <w:vAlign w:val="center"/>
          </w:tcPr>
          <w:p>
            <w:pPr>
              <w:spacing w:after="0"/>
              <w:jc w:val="left"/>
            </w:pPr>
            <w:r/>
            <w:r>
              <w:rPr>
                <w:rFonts w:ascii="Calibri" w:hAnsi="Calibri"/>
                <w:b/>
                <w:color w:val="FFFFFF"/>
                <w:sz w:val="18"/>
              </w:rPr>
              <w:t>Controlled result</w:t>
            </w:r>
          </w:p>
        </w:tc>
        <w:tc>
          <w:tcPr>
            <w:tcW w:type="dxa" w:w="1620"/>
            <w:shd w:fill="12385B"/>
            <w:tcMar>
              <w:top w:w="80" w:type="dxa"/>
              <w:start w:w="120" w:type="dxa"/>
              <w:bottom w:w="80" w:type="dxa"/>
              <w:end w:w="120" w:type="dxa"/>
            </w:tcMar>
            <w:vAlign w:val="center"/>
          </w:tcPr>
          <w:p>
            <w:pPr>
              <w:spacing w:after="0"/>
              <w:jc w:val="center"/>
            </w:pPr>
            <w:r/>
            <w:r>
              <w:rPr>
                <w:rFonts w:ascii="Calibri" w:hAnsi="Calibri"/>
                <w:b/>
                <w:color w:val="FFFFFF"/>
                <w:sz w:val="18"/>
              </w:rPr>
              <w:t>Status</w:t>
            </w:r>
          </w:p>
        </w:tc>
      </w:tr>
      <w:tr>
        <w:trPr>
          <w:cantSplit/>
        </w:trPr>
        <w:tc>
          <w:tcPr>
            <w:tcW w:type="dxa" w:w="1600"/>
            <w:tcMar>
              <w:top w:w="80" w:type="dxa"/>
              <w:start w:w="120" w:type="dxa"/>
              <w:bottom w:w="80" w:type="dxa"/>
              <w:end w:w="120" w:type="dxa"/>
            </w:tcMar>
            <w:vAlign w:val="center"/>
          </w:tcPr>
          <w:p>
            <w:pPr>
              <w:spacing w:after="0" w:line="259" w:lineRule="auto"/>
              <w:jc w:val="center"/>
            </w:pPr>
            <w:r/>
            <w:r>
              <w:rPr>
                <w:rFonts w:ascii="Calibri" w:hAnsi="Calibri"/>
                <w:color w:val="1E2D38"/>
                <w:sz w:val="16"/>
              </w:rPr>
              <w:t>Total</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6"/>
              </w:rPr>
              <w:t>17</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6"/>
              </w:rPr>
              <w:t>17</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6"/>
              </w:rPr>
              <w:t>PASS</w:t>
            </w:r>
          </w:p>
        </w:tc>
      </w:tr>
      <w:tr>
        <w:trPr>
          <w:cantSplit/>
        </w:trPr>
        <w:tc>
          <w:tcPr>
            <w:tcW w:type="dxa" w:w="1600"/>
            <w:tcMar>
              <w:top w:w="80" w:type="dxa"/>
              <w:start w:w="120" w:type="dxa"/>
              <w:bottom w:w="80" w:type="dxa"/>
              <w:end w:w="120" w:type="dxa"/>
            </w:tcMar>
            <w:vAlign w:val="center"/>
            <w:shd w:fill="F8FAFC"/>
          </w:tcPr>
          <w:p>
            <w:pPr>
              <w:spacing w:after="0" w:line="259" w:lineRule="auto"/>
            </w:pPr>
            <w:r/>
            <w:r>
              <w:rPr>
                <w:rFonts w:ascii="Calibri" w:hAnsi="Calibri"/>
                <w:color w:val="1E2D38"/>
                <w:sz w:val="16"/>
              </w:rPr>
              <w:t>Difficulty</w:t>
            </w:r>
          </w:p>
        </w:tc>
        <w:tc>
          <w:tcPr>
            <w:tcW w:type="dxa" w:w="2900"/>
            <w:tcMar>
              <w:top w:w="80" w:type="dxa"/>
              <w:start w:w="120" w:type="dxa"/>
              <w:bottom w:w="80" w:type="dxa"/>
              <w:end w:w="120" w:type="dxa"/>
            </w:tcMar>
            <w:vAlign w:val="center"/>
            <w:shd w:fill="F8FAFC"/>
          </w:tcPr>
          <w:p>
            <w:pPr>
              <w:spacing w:after="0" w:line="259" w:lineRule="auto"/>
            </w:pPr>
            <w:r/>
            <w:r>
              <w:rPr>
                <w:rFonts w:ascii="Calibri" w:hAnsi="Calibri"/>
                <w:color w:val="1E2D38"/>
                <w:sz w:val="16"/>
              </w:rPr>
              <w:t>E=5; M=7; D=5</w:t>
            </w:r>
          </w:p>
        </w:tc>
        <w:tc>
          <w:tcPr>
            <w:tcW w:type="dxa" w:w="3240"/>
            <w:tcMar>
              <w:top w:w="80" w:type="dxa"/>
              <w:start w:w="120" w:type="dxa"/>
              <w:bottom w:w="80" w:type="dxa"/>
              <w:end w:w="120" w:type="dxa"/>
            </w:tcMar>
            <w:vAlign w:val="center"/>
            <w:shd w:fill="F8FAFC"/>
          </w:tcPr>
          <w:p>
            <w:pPr>
              <w:spacing w:after="0" w:line="259" w:lineRule="auto"/>
            </w:pPr>
            <w:r/>
            <w:r>
              <w:rPr>
                <w:rFonts w:ascii="Calibri" w:hAnsi="Calibri"/>
                <w:color w:val="1E2D38"/>
                <w:sz w:val="16"/>
              </w:rPr>
              <w:t>E=5; M=7; D=5</w:t>
            </w:r>
          </w:p>
        </w:tc>
        <w:tc>
          <w:tcPr>
            <w:tcW w:type="dxa" w:w="1620"/>
            <w:tcMar>
              <w:top w:w="80" w:type="dxa"/>
              <w:start w:w="120" w:type="dxa"/>
              <w:bottom w:w="80" w:type="dxa"/>
              <w:end w:w="120" w:type="dxa"/>
            </w:tcMar>
            <w:vAlign w:val="center"/>
            <w:shd w:fill="F8FAFC"/>
          </w:tcPr>
          <w:p>
            <w:pPr>
              <w:spacing w:after="0" w:line="259" w:lineRule="auto"/>
            </w:pPr>
            <w:r/>
            <w:r>
              <w:rPr>
                <w:rFonts w:ascii="Calibri" w:hAnsi="Calibri"/>
                <w:color w:val="1E2D38"/>
                <w:sz w:val="16"/>
              </w:rPr>
              <w:t>PASS</w:t>
            </w:r>
          </w:p>
        </w:tc>
      </w:tr>
      <w:tr>
        <w:trPr>
          <w:cantSplit/>
        </w:trPr>
        <w:tc>
          <w:tcPr>
            <w:tcW w:type="dxa" w:w="1600"/>
            <w:tcMar>
              <w:top w:w="80" w:type="dxa"/>
              <w:start w:w="120" w:type="dxa"/>
              <w:bottom w:w="80" w:type="dxa"/>
              <w:end w:w="120" w:type="dxa"/>
            </w:tcMar>
            <w:vAlign w:val="center"/>
          </w:tcPr>
          <w:p>
            <w:pPr>
              <w:spacing w:after="0" w:line="259" w:lineRule="auto"/>
              <w:jc w:val="center"/>
            </w:pPr>
            <w:r/>
            <w:r>
              <w:rPr>
                <w:rFonts w:ascii="Calibri" w:hAnsi="Calibri"/>
                <w:color w:val="1E2D38"/>
                <w:sz w:val="16"/>
              </w:rPr>
              <w:t>Type</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6"/>
              </w:rPr>
              <w:t>K=3; A=5; S=6; I=3</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6"/>
              </w:rPr>
              <w:t>K=3; A=5; S=6; I=3</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6"/>
              </w:rPr>
              <w:t>PASS</w:t>
            </w:r>
          </w:p>
        </w:tc>
      </w:tr>
      <w:tr>
        <w:trPr>
          <w:cantSplit/>
        </w:trPr>
        <w:tc>
          <w:tcPr>
            <w:tcW w:type="dxa" w:w="1600"/>
            <w:tcMar>
              <w:top w:w="80" w:type="dxa"/>
              <w:start w:w="120" w:type="dxa"/>
              <w:bottom w:w="80" w:type="dxa"/>
              <w:end w:w="120" w:type="dxa"/>
            </w:tcMar>
            <w:vAlign w:val="center"/>
            <w:shd w:fill="F8FAFC"/>
          </w:tcPr>
          <w:p>
            <w:pPr>
              <w:spacing w:after="0" w:line="259" w:lineRule="auto"/>
            </w:pPr>
            <w:r/>
            <w:r>
              <w:rPr>
                <w:rFonts w:ascii="Calibri" w:hAnsi="Calibri"/>
                <w:color w:val="1E2D38"/>
                <w:sz w:val="16"/>
              </w:rPr>
              <w:t>Primary domain</w:t>
            </w:r>
          </w:p>
        </w:tc>
        <w:tc>
          <w:tcPr>
            <w:tcW w:type="dxa" w:w="2900"/>
            <w:tcMar>
              <w:top w:w="80" w:type="dxa"/>
              <w:start w:w="120" w:type="dxa"/>
              <w:bottom w:w="80" w:type="dxa"/>
              <w:end w:w="120" w:type="dxa"/>
            </w:tcMar>
            <w:vAlign w:val="center"/>
            <w:shd w:fill="F8FAFC"/>
          </w:tcPr>
          <w:p>
            <w:pPr>
              <w:spacing w:after="0" w:line="259" w:lineRule="auto"/>
            </w:pPr>
            <w:r/>
            <w:r>
              <w:rPr>
                <w:rFonts w:ascii="Calibri" w:hAnsi="Calibri"/>
                <w:color w:val="1E2D38"/>
                <w:sz w:val="16"/>
              </w:rPr>
              <w:t>D1=1; D2=6; D3=5; D4=1; D5=3; D6=1</w:t>
            </w:r>
          </w:p>
        </w:tc>
        <w:tc>
          <w:tcPr>
            <w:tcW w:type="dxa" w:w="3240"/>
            <w:tcMar>
              <w:top w:w="80" w:type="dxa"/>
              <w:start w:w="120" w:type="dxa"/>
              <w:bottom w:w="80" w:type="dxa"/>
              <w:end w:w="120" w:type="dxa"/>
            </w:tcMar>
            <w:vAlign w:val="center"/>
            <w:shd w:fill="F8FAFC"/>
          </w:tcPr>
          <w:p>
            <w:pPr>
              <w:spacing w:after="0" w:line="259" w:lineRule="auto"/>
            </w:pPr>
            <w:r/>
            <w:r>
              <w:rPr>
                <w:rFonts w:ascii="Calibri" w:hAnsi="Calibri"/>
                <w:color w:val="1E2D38"/>
                <w:sz w:val="16"/>
              </w:rPr>
              <w:t>D1=1; D2=6; D3=5; D4=1; D5=3; D6=1</w:t>
            </w:r>
          </w:p>
        </w:tc>
        <w:tc>
          <w:tcPr>
            <w:tcW w:type="dxa" w:w="1620"/>
            <w:tcMar>
              <w:top w:w="80" w:type="dxa"/>
              <w:start w:w="120" w:type="dxa"/>
              <w:bottom w:w="80" w:type="dxa"/>
              <w:end w:w="120" w:type="dxa"/>
            </w:tcMar>
            <w:vAlign w:val="center"/>
            <w:shd w:fill="F8FAFC"/>
          </w:tcPr>
          <w:p>
            <w:pPr>
              <w:spacing w:after="0" w:line="259" w:lineRule="auto"/>
            </w:pPr>
            <w:r/>
            <w:r>
              <w:rPr>
                <w:rFonts w:ascii="Calibri" w:hAnsi="Calibri"/>
                <w:color w:val="1E2D38"/>
                <w:sz w:val="16"/>
              </w:rPr>
              <w:t>PASS</w:t>
            </w:r>
          </w:p>
        </w:tc>
      </w:tr>
      <w:tr>
        <w:trPr>
          <w:cantSplit/>
        </w:trPr>
        <w:tc>
          <w:tcPr>
            <w:tcW w:type="dxa" w:w="1600"/>
            <w:tcMar>
              <w:top w:w="80" w:type="dxa"/>
              <w:start w:w="120" w:type="dxa"/>
              <w:bottom w:w="80" w:type="dxa"/>
              <w:end w:w="120" w:type="dxa"/>
            </w:tcMar>
            <w:vAlign w:val="center"/>
          </w:tcPr>
          <w:p>
            <w:pPr>
              <w:spacing w:after="0" w:line="259" w:lineRule="auto"/>
            </w:pPr>
            <w:r/>
            <w:r>
              <w:rPr>
                <w:rFonts w:ascii="Calibri" w:hAnsi="Calibri"/>
                <w:color w:val="1E2D38"/>
                <w:sz w:val="16"/>
              </w:rPr>
              <w:t>Key position</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6"/>
              </w:rPr>
              <w:t>A=5; B=4; C=4; D=4</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6"/>
              </w:rPr>
              <w:t>A=5; B=4; C=4; D=4</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6"/>
              </w:rPr>
              <w:t>PASS</w:t>
            </w:r>
          </w:p>
        </w:tc>
      </w:tr>
    </w:tbl>
    <w:p>
      <w:pPr>
        <w:spacing w:after="20"/>
      </w:pPr>
    </w:p>
    <w:p>
      <w:pPr>
        <w:pStyle w:val="Heading1"/>
      </w:pPr>
      <w:r>
        <w:t>Item 1 -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Which statement BEST describes a clinically useful provisional formulation for a complex presentation?</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It connects the most relevant biological, psychological, relational, developmental, cultural, environmental, and structural factors; identifies alternatives; and states what new evidence would change the hypothesis.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It lists every possible diagnosis and contextual factor without deciding how they may interact.</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It selects one primary cause early so treatment can proceed without further reassessment.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It records the family's preferred explanation as definitive because collaboration replaces differential assessment.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A describes a provisional, systemic formulation that organizes interacting factors, preserves differential possibilities, and identifies disconfirming evidence. It is clinically useful because it guides the next assessment and treatment decision while remaining open to revision.</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integrates multiple levels of context, identifies alternatives, and states what evidence would confirm, weaken, or revise the hypothesis.</w:t>
      </w:r>
    </w:p>
    <w:p>
      <w:pPr>
        <w:keepLines/>
        <w:spacing w:after="100" w:line="283" w:lineRule="auto"/>
      </w:pPr>
      <w:r>
        <w:rPr>
          <w:rFonts w:ascii="Calibri" w:hAnsi="Calibri"/>
          <w:b/>
          <w:color w:val="12385B"/>
          <w:sz w:val="21"/>
        </w:rPr>
        <w:t xml:space="preserve">B: </w:t>
      </w:r>
      <w:r>
        <w:rPr>
          <w:rFonts w:ascii="Calibri" w:hAnsi="Calibri"/>
          <w:color w:val="1E2D38"/>
          <w:sz w:val="21"/>
        </w:rPr>
        <w:t>Inventory-without-formulation trap. A comprehensive list does not explain how the factors interact, what is most relevant now, or what should be tested next.</w:t>
      </w:r>
    </w:p>
    <w:p>
      <w:pPr>
        <w:keepLines/>
        <w:spacing w:after="100" w:line="283" w:lineRule="auto"/>
      </w:pPr>
      <w:r>
        <w:rPr>
          <w:rFonts w:ascii="Calibri" w:hAnsi="Calibri"/>
          <w:b/>
          <w:color w:val="12385B"/>
          <w:sz w:val="21"/>
        </w:rPr>
        <w:t xml:space="preserve">C: </w:t>
      </w:r>
      <w:r>
        <w:rPr>
          <w:rFonts w:ascii="Calibri" w:hAnsi="Calibri"/>
          <w:color w:val="1E2D38"/>
          <w:sz w:val="21"/>
        </w:rPr>
        <w:t>Premature closure. Selecting one cause early increases diagnostic overshadowing and prevents response data or new evidence from changing the plan.</w:t>
      </w:r>
    </w:p>
    <w:p>
      <w:pPr>
        <w:keepLines/>
        <w:spacing w:after="100" w:line="283" w:lineRule="auto"/>
      </w:pPr>
      <w:r>
        <w:rPr>
          <w:rFonts w:ascii="Calibri" w:hAnsi="Calibri"/>
          <w:b/>
          <w:color w:val="12385B"/>
          <w:sz w:val="21"/>
        </w:rPr>
        <w:t xml:space="preserve">D: </w:t>
      </w:r>
      <w:r>
        <w:rPr>
          <w:rFonts w:ascii="Calibri" w:hAnsi="Calibri"/>
          <w:color w:val="1E2D38"/>
          <w:sz w:val="21"/>
        </w:rPr>
        <w:t>Collaboration-overreach. Client meanings are essential evidence, but collaboration does not turn one preferred explanation into a definitive diagnosis or complete differential assessment.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formulation items, choose the answer that integrates interacting factors, keeps alternatives open, and names evidence that would change the working hypothesis.</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MOSAIC: map interactions, observe acuity and function, select the decision point, assess context and scope, integrate hypotheses, and check the response.</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Integrate multiple factors into a provisional systemic hypothesis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MOSAIC</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2 -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client with chronic pain and a prior depressive disorder develops new agitation, severe insomnia, and confusion after several health and medication changes. Family members say, “It is just the depression again.” What should the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Increase cognitive restructuring because the established diagnosis already explains the symptoms.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Clarify baseline, onset, function, safety, substances, sleep, health and medication changes; keep several hypotheses open; and coordinate timely evaluation within consent and scope.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Ask the family to stop discussing medical factors so treatment remains relational.</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Refer immediately and end all MFT involvement because any medication question is outside the therapist's role.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New agitation, severe insomnia, and confusion following health and medication changes require a renewed multidimensional assessment. Option B establishes baseline and onset, examines urgent safety and medical or substance contributors, preserves several hypotheses, and coordinates appropriate evaluation without practicing medicine.</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Diagnostic-overshadowing trap. A prior depressive disorder does not establish that new confusion, agitation, and insomnia have the same cause or can be treated safely with one familiar technique.</w:t>
      </w:r>
    </w:p>
    <w:p>
      <w:pPr>
        <w:keepLines/>
        <w:spacing w:after="100" w:line="283" w:lineRule="auto"/>
      </w:pPr>
      <w:r>
        <w:rPr>
          <w:rFonts w:ascii="Calibri" w:hAnsi="Calibri"/>
          <w:b/>
          <w:color w:val="1F3A5F"/>
          <w:sz w:val="21"/>
        </w:rPr>
        <w:t xml:space="preserve">B: </w:t>
      </w:r>
      <w:r>
        <w:rPr>
          <w:rFonts w:ascii="Calibri" w:hAnsi="Calibri"/>
          <w:color w:val="1E2D38"/>
          <w:sz w:val="21"/>
        </w:rPr>
        <w:t>Correct. It reassesses timing, function, safety, substances, sleep, health, and medication changes and coordinates evaluation while keeping the formulation provisional.</w:t>
      </w:r>
    </w:p>
    <w:p>
      <w:pPr>
        <w:keepLines/>
        <w:spacing w:after="100" w:line="283" w:lineRule="auto"/>
      </w:pPr>
      <w:r>
        <w:rPr>
          <w:rFonts w:ascii="Calibri" w:hAnsi="Calibri"/>
          <w:b/>
          <w:color w:val="12385B"/>
          <w:sz w:val="21"/>
        </w:rPr>
        <w:t xml:space="preserve">C: </w:t>
      </w:r>
      <w:r>
        <w:rPr>
          <w:rFonts w:ascii="Calibri" w:hAnsi="Calibri"/>
          <w:color w:val="1E2D38"/>
          <w:sz w:val="21"/>
        </w:rPr>
        <w:t>False systemic boundary. Medical and medication factors can alter behavior, cognition, sleep, and relationships and therefore belong in an integrated MFT assessment.</w:t>
      </w:r>
    </w:p>
    <w:p>
      <w:pPr>
        <w:keepLines/>
        <w:spacing w:after="100" w:line="283" w:lineRule="auto"/>
      </w:pPr>
      <w:r>
        <w:rPr>
          <w:rFonts w:ascii="Calibri" w:hAnsi="Calibri"/>
          <w:b/>
          <w:color w:val="12385B"/>
          <w:sz w:val="21"/>
        </w:rPr>
        <w:t xml:space="preserve">D: </w:t>
      </w:r>
      <w:r>
        <w:rPr>
          <w:rFonts w:ascii="Calibri" w:hAnsi="Calibri"/>
          <w:color w:val="1E2D38"/>
          <w:sz w:val="21"/>
        </w:rPr>
        <w:t>Abandonment and role-confusion trap. The therapist should not prescribe, but can assess function and risk, coordinate within consent, maintain relational care, and arrange referral or transfer when indicated.</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symptoms are new, atypical, or temporally linked to health or medication changes, reassess before attributing them to an established diagnosis.</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Compare baseline with onset, assess safety and function, map recent health/substance/medication changes, keep alternatives open, and coordinate within role.</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D5</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Prevent diagnostic overshadowing in a complex presentation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 and 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MOSAIC</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Medication, medical-evaluation, emergency, consent, communication, and documentation decisions must follow current law, ethics, board guidance, organizational policy, and competence-appropriate consultation.</w:t>
            </w:r>
          </w:p>
        </w:tc>
      </w:tr>
    </w:tbl>
    <w:p>
      <w:pPr>
        <w:spacing w:after="20"/>
      </w:pPr>
    </w:p>
    <w:p>
      <w:pPr>
        <w:pStyle w:val="Heading1"/>
      </w:pPr>
      <w:r>
        <w:t>Item 3 -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An adult seeks therapy for stress and invites a sibling “to explain the family.” The sibling begins emailing privately and asks to receive progress updates. Before using the sibling as a collateral source, what should the therapist do?</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Accept the sibling as a co-client because attendance establishes client status.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Receive private updates without discussion because collateral information is not confidential.</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Clarify the identified client, treatment unit, sibling's role, goals, consent, confidentiality and information-flow boundaries, and how collateral information will be handled and documented.</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Exclude the sibling permanently because individual referrals cannot include family participation.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Attendance does not automatically make a collateral participant a client, nor does it authorize private information exchange. Option C defines the identified client, treatment unit, sibling role, goals, consent, confidentiality, information flow, and documentation before collateral material is used.</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Role-assumption error. Presence in a session does not by itself establish co-client status, informed consent, or reciprocal access to treatment information.</w:t>
      </w:r>
    </w:p>
    <w:p>
      <w:pPr>
        <w:keepLines/>
        <w:spacing w:after="100" w:line="283" w:lineRule="auto"/>
      </w:pPr>
      <w:r>
        <w:rPr>
          <w:rFonts w:ascii="Calibri" w:hAnsi="Calibri"/>
          <w:b/>
          <w:color w:val="12385B"/>
          <w:sz w:val="21"/>
        </w:rPr>
        <w:t xml:space="preserve">B: </w:t>
      </w:r>
      <w:r>
        <w:rPr>
          <w:rFonts w:ascii="Calibri" w:hAnsi="Calibri"/>
          <w:color w:val="1E2D38"/>
          <w:sz w:val="21"/>
        </w:rPr>
        <w:t>Confidentiality error. Collateral information can create privacy, alliance, record, and treatment risks; the therapist must explain and structure how it will be received and used.</w:t>
      </w:r>
    </w:p>
    <w:p>
      <w:pPr>
        <w:keepLines/>
        <w:spacing w:after="100" w:line="283" w:lineRule="auto"/>
      </w:pPr>
      <w:r>
        <w:rPr>
          <w:rFonts w:ascii="Calibri" w:hAnsi="Calibri"/>
          <w:b/>
          <w:color w:val="1F3A5F"/>
          <w:sz w:val="21"/>
        </w:rPr>
        <w:t xml:space="preserve">C: </w:t>
      </w:r>
      <w:r>
        <w:rPr>
          <w:rFonts w:ascii="Calibri" w:hAnsi="Calibri"/>
          <w:color w:val="1E2D38"/>
          <w:sz w:val="21"/>
        </w:rPr>
        <w:t>Correct. It clarifies client and participant roles, permission, information boundaries, clinical purpose, and documentation before accepting collateral involvement.</w:t>
      </w:r>
    </w:p>
    <w:p>
      <w:pPr>
        <w:keepLines/>
        <w:spacing w:after="100" w:line="283" w:lineRule="auto"/>
      </w:pPr>
      <w:r>
        <w:rPr>
          <w:rFonts w:ascii="Calibri" w:hAnsi="Calibri"/>
          <w:b/>
          <w:color w:val="12385B"/>
          <w:sz w:val="21"/>
        </w:rPr>
        <w:t xml:space="preserve">D: </w:t>
      </w:r>
      <w:r>
        <w:rPr>
          <w:rFonts w:ascii="Calibri" w:hAnsi="Calibri"/>
          <w:color w:val="1E2D38"/>
          <w:sz w:val="21"/>
        </w:rPr>
        <w:t>Unnecessary exclusion. Individual treatment may include family or collateral participation when clinically appropriate and governed by clear consent and role boundaries.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collateral-participant questions, do not infer role from attendance; define who the client is, why the person is involved, and how information will flow.</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Identify the client, treatment unit, participant role, purpose, permission, confidentiality limits, record handling, and conditions for future communication.</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Select the client, treatment unit, and consented collateral role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 and 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MOSAIC</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Client status, authorization, confidentiality, records, and collateral communication depend on current jurisdictional law, ethics, informed-consent terms, and setting policy.</w:t>
            </w:r>
          </w:p>
        </w:tc>
      </w:tr>
    </w:tbl>
    <w:p>
      <w:pPr>
        <w:spacing w:after="20"/>
      </w:pPr>
    </w:p>
    <w:p>
      <w:pPr>
        <w:pStyle w:val="Heading1"/>
      </w:pPr>
      <w:r>
        <w:t>Item 4 -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During a telehealth couple session, one partner becomes difficult to awaken after using pills from an unmarked container. Breathing appears slow, the other partner is unsure what was taken, and their two children are in the home. What should the therapist do FIRST?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Ask the alert partner to monitor the person while the therapist completes a substance-use history.</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Continue the session briefly to determine whether the couple's conflict triggered the use.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Schedule a same-week addiction referral and send a communication worksheet for the family.</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Activate emergency response using the verified location, direct the alert partner to follow dispatcher guidance, address the children's immediate safety, and document and coordinate continuity after stabilization.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Unresponsiveness, slowed breathing, and unknown pills indicate a possible overdose or medical emergency. Option D prioritizes emergency activation using the verified telehealth location, dispatcher-guided action, immediate child safety, and continuity after stabilization rather than extending routine assessment or treatment.</w:t>
      </w:r>
    </w:p>
    <w:p>
      <w:pPr>
        <w:pStyle w:val="Heading2"/>
      </w:pPr>
      <w:r>
        <w:t>Option-by-Option Rationales</w:t>
      </w:r>
    </w:p>
    <w:p>
      <w:pPr>
        <w:keepLines/>
        <w:spacing w:after="100" w:line="283" w:lineRule="auto"/>
      </w:pPr>
      <w:r>
        <w:rPr>
          <w:rFonts w:ascii="Calibri" w:hAnsi="Calibri"/>
          <w:b/>
          <w:color w:val="9B1C1C"/>
          <w:sz w:val="21"/>
        </w:rPr>
        <w:t xml:space="preserve">A: </w:t>
      </w:r>
      <w:r>
        <w:rPr>
          <w:rFonts w:ascii="Calibri" w:hAnsi="Calibri"/>
          <w:color w:val="1E2D38"/>
          <w:sz w:val="21"/>
        </w:rPr>
        <w:t>Dangerous delay. Monitoring while completing a history does not address possible respiratory depression or the need for immediate emergency intervention.</w:t>
      </w:r>
    </w:p>
    <w:p>
      <w:pPr>
        <w:keepLines/>
        <w:spacing w:after="100" w:line="283" w:lineRule="auto"/>
      </w:pPr>
      <w:r>
        <w:rPr>
          <w:rFonts w:ascii="Calibri" w:hAnsi="Calibri"/>
          <w:b/>
          <w:color w:val="12385B"/>
          <w:sz w:val="21"/>
        </w:rPr>
        <w:t xml:space="preserve">B: </w:t>
      </w:r>
      <w:r>
        <w:rPr>
          <w:rFonts w:ascii="Calibri" w:hAnsi="Calibri"/>
          <w:color w:val="1E2D38"/>
          <w:sz w:val="21"/>
        </w:rPr>
        <w:t>Clinical-priority error. Exploring a relational trigger must wait until the person and children are safe and the acute emergency is addressed.</w:t>
      </w:r>
    </w:p>
    <w:p>
      <w:pPr>
        <w:keepLines/>
        <w:spacing w:after="100" w:line="283" w:lineRule="auto"/>
      </w:pPr>
      <w:r>
        <w:rPr>
          <w:rFonts w:ascii="Calibri" w:hAnsi="Calibri"/>
          <w:b/>
          <w:color w:val="12385B"/>
          <w:sz w:val="21"/>
        </w:rPr>
        <w:t xml:space="preserve">C: </w:t>
      </w:r>
      <w:r>
        <w:rPr>
          <w:rFonts w:ascii="Calibri" w:hAnsi="Calibri"/>
          <w:color w:val="1E2D38"/>
          <w:sz w:val="21"/>
        </w:rPr>
        <w:t>Insufficient acuity response. A later referral and worksheet do not match an unresponsive person with slow breathing and unknown ingestion.</w:t>
      </w:r>
    </w:p>
    <w:p>
      <w:pPr>
        <w:keepLines/>
        <w:spacing w:after="100" w:line="283" w:lineRule="auto"/>
      </w:pPr>
      <w:r>
        <w:rPr>
          <w:rFonts w:ascii="Calibri" w:hAnsi="Calibri"/>
          <w:b/>
          <w:color w:val="1F3A5F"/>
          <w:sz w:val="21"/>
        </w:rPr>
        <w:t xml:space="preserve">D: </w:t>
      </w:r>
      <w:r>
        <w:rPr>
          <w:rFonts w:ascii="Calibri" w:hAnsi="Calibri"/>
          <w:color w:val="1E2D38"/>
          <w:sz w:val="21"/>
        </w:rPr>
        <w:t>Correct. It follows a safety-first sequence: verified location, emergency response, dispatcher guidance, child protection, documentation, and post-stabilization continuity.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the stem shows possible overdose, impaired consciousness, slowed breathing, or another acute medical threat, choose emergency action before history-taking or routine referral.</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STEADY: screen danger, triage the acute need, establish immediate safety and participation capacity, coordinate the appropriate level of care, document, and reassess continuity.</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D5</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Prioritize intoxication, withdrawal, overdose, or acute instability</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2 and 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R2</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Ch2 / STEADY</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Emergency, telehealth-location, minor-safety, reporting, rescue-medication, disclosure, and documentation duties vary by jurisdiction and setting; apply current protocols and qualified consultation.</w:t>
            </w:r>
          </w:p>
        </w:tc>
      </w:tr>
    </w:tbl>
    <w:p>
      <w:pPr>
        <w:spacing w:after="20"/>
      </w:pPr>
    </w:p>
    <w:p>
      <w:pPr>
        <w:pStyle w:val="Heading1"/>
      </w:pPr>
      <w:r>
        <w:t>Item 5 -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client reports episodic stimulant use, panic symptoms, missed work, and conflict with a partner. The client is unsure about change but has recently reconnected with a supportive aunt and community group. What is the MOST appropriate assessment approach?</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Assess substance pattern and function, intoxication and withdrawal or medical risk, co-occurring symptoms across time, readiness, family effects, recovery resources, barriers, and level-of-care indicators.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Determine whether the client accepts an addiction identity before asking about strengths or goals.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Treat the panic first because psychiatric symptoms are always the underlying cause of substance use.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Rely on the partner's description because collateral reports are more objective than client self-report.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A assesses the substance-use pattern and function, acute risks, co-occurring symptoms over time, readiness, relational effects, resources, barriers, and level-of-care indicators. This produces a person-centered and systemic assessment without requiring a particular recovery identity or relying on one informant.</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integrates acuity, pattern, function, co-occurrence, motivation, family impact, strengths, access, and level-of-care reasoning.</w:t>
      </w:r>
    </w:p>
    <w:p>
      <w:pPr>
        <w:keepLines/>
        <w:spacing w:after="100" w:line="283" w:lineRule="auto"/>
      </w:pPr>
      <w:r>
        <w:rPr>
          <w:rFonts w:ascii="Calibri" w:hAnsi="Calibri"/>
          <w:b/>
          <w:color w:val="12385B"/>
          <w:sz w:val="21"/>
        </w:rPr>
        <w:t xml:space="preserve">B: </w:t>
      </w:r>
      <w:r>
        <w:rPr>
          <w:rFonts w:ascii="Calibri" w:hAnsi="Calibri"/>
          <w:color w:val="1E2D38"/>
          <w:sz w:val="21"/>
        </w:rPr>
        <w:t>Identity-gate trap. A client does not need to adopt a prescribed label before strengths, goals, readiness, or treatment options can be assessed.</w:t>
      </w:r>
    </w:p>
    <w:p>
      <w:pPr>
        <w:keepLines/>
        <w:spacing w:after="100" w:line="283" w:lineRule="auto"/>
      </w:pPr>
      <w:r>
        <w:rPr>
          <w:rFonts w:ascii="Calibri" w:hAnsi="Calibri"/>
          <w:b/>
          <w:color w:val="12385B"/>
          <w:sz w:val="21"/>
        </w:rPr>
        <w:t xml:space="preserve">C: </w:t>
      </w:r>
      <w:r>
        <w:rPr>
          <w:rFonts w:ascii="Calibri" w:hAnsi="Calibri"/>
          <w:color w:val="1E2D38"/>
          <w:sz w:val="21"/>
        </w:rPr>
        <w:t>False hierarchy. Panic and substance use may interact in several directions; neither can be assumed to be the universal underlying cause.</w:t>
      </w:r>
    </w:p>
    <w:p>
      <w:pPr>
        <w:keepLines/>
        <w:spacing w:after="100" w:line="283" w:lineRule="auto"/>
      </w:pPr>
      <w:r>
        <w:rPr>
          <w:rFonts w:ascii="Calibri" w:hAnsi="Calibri"/>
          <w:b/>
          <w:color w:val="12385B"/>
          <w:sz w:val="21"/>
        </w:rPr>
        <w:t xml:space="preserve">D: </w:t>
      </w:r>
      <w:r>
        <w:rPr>
          <w:rFonts w:ascii="Calibri" w:hAnsi="Calibri"/>
          <w:color w:val="1E2D38"/>
          <w:sz w:val="21"/>
        </w:rPr>
        <w:t>Collateral-overreach. Partner observations can add data, but they do not automatically replace client report, consent, direct assessment, or reconciliation of differing perspectives.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substance-use assessment, select the option that combines pattern, function, acute risk, co-occurrence, readiness, systemic effects, recovery resources, and level of care.</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RECOVER to assess use and function, acute risk, readiness, supports, family effects, care options, and response without prescribing an identity.</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D5</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Assess substance pattern, readiness, co-occurrence, and recovery resources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2</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Ch2 / RECOVER</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Withdrawal, intoxication, overdose, medication, and placement concerns may require current medical/addiction protocols, emergency procedures, validated assessment, and consultation within scope.</w:t>
            </w:r>
          </w:p>
        </w:tc>
      </w:tr>
    </w:tbl>
    <w:p>
      <w:pPr>
        <w:spacing w:after="20"/>
      </w:pPr>
    </w:p>
    <w:p>
      <w:pPr>
        <w:pStyle w:val="Heading1"/>
      </w:pPr>
      <w:r>
        <w:t>Item 6 -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Which plan BEST reflects integrated, client-aligned recovery support when no immediate instability requires emergency action?</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Require the same abstinence-based peer program for every client so progress has one standard definition.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Link the client's goals and readiness with evidence-informed treatment options, recovery supports, family and environmental resources, consented coordination, measurable indicators, and a scheduled reassessment point.</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Limit treatment to couple communication because recovery services may weaken the MFT relationship.</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Let the family select the level of care without clinical assessment because autonomy controls placement.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B connects the client's own goals and readiness with evidence-informed choices, recovery and family resources, consented coordination, measurable outcomes, and a reassessment point. It supports recovery without imposing a single program or delegating clinical placement entirely to the family.</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One-size-fits-all error. Recovery pathways should reflect assessed needs, evidence, preferences, culture, access, and level of care rather than one required identity or program.</w:t>
      </w:r>
    </w:p>
    <w:p>
      <w:pPr>
        <w:keepLines/>
        <w:spacing w:after="100" w:line="283" w:lineRule="auto"/>
      </w:pPr>
      <w:r>
        <w:rPr>
          <w:rFonts w:ascii="Calibri" w:hAnsi="Calibri"/>
          <w:b/>
          <w:color w:val="1F3A5F"/>
          <w:sz w:val="21"/>
        </w:rPr>
        <w:t xml:space="preserve">B: </w:t>
      </w:r>
      <w:r>
        <w:rPr>
          <w:rFonts w:ascii="Calibri" w:hAnsi="Calibri"/>
          <w:color w:val="1E2D38"/>
          <w:sz w:val="21"/>
        </w:rPr>
        <w:t>Correct. It creates an individualized, coordinated, measurable plan that preserves client choice and can be revised as needs change.</w:t>
      </w:r>
    </w:p>
    <w:p>
      <w:pPr>
        <w:keepLines/>
        <w:spacing w:after="100" w:line="283" w:lineRule="auto"/>
      </w:pPr>
      <w:r>
        <w:rPr>
          <w:rFonts w:ascii="Calibri" w:hAnsi="Calibri"/>
          <w:b/>
          <w:color w:val="12385B"/>
          <w:sz w:val="21"/>
        </w:rPr>
        <w:t xml:space="preserve">C: </w:t>
      </w:r>
      <w:r>
        <w:rPr>
          <w:rFonts w:ascii="Calibri" w:hAnsi="Calibri"/>
          <w:color w:val="1E2D38"/>
          <w:sz w:val="21"/>
        </w:rPr>
        <w:t>Fragmentation trap. Restricting care to communication ignores substance-related risks and resources and may prevent appropriate specialty collaboration.</w:t>
      </w:r>
    </w:p>
    <w:p>
      <w:pPr>
        <w:keepLines/>
        <w:spacing w:after="100" w:line="283" w:lineRule="auto"/>
      </w:pPr>
      <w:r>
        <w:rPr>
          <w:rFonts w:ascii="Calibri" w:hAnsi="Calibri"/>
          <w:b/>
          <w:color w:val="12385B"/>
          <w:sz w:val="21"/>
        </w:rPr>
        <w:t xml:space="preserve">D: </w:t>
      </w:r>
      <w:r>
        <w:rPr>
          <w:rFonts w:ascii="Calibri" w:hAnsi="Calibri"/>
          <w:color w:val="1E2D38"/>
          <w:sz w:val="21"/>
        </w:rPr>
        <w:t>Clinical-responsibility error. Autonomy matters, but level-of-care recommendations require competent assessment, informed choice, and attention to safety.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The strongest recovery plan combines client authorship with evidence, assessed level of care, supports, coordination, and scheduled outcome review.</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Link goals and readiness to options, resources, barriers, systemic impact, consented roles, measurable indicators, and a specific reassessment point.</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 / D5</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Design an integrated, client-aligned recovery support plan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2 and 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Ch2 / RECOVER</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7 -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therapist is assessing a new sexual concern with a transgender client in a consensually nonmonogamous relationship. Which opening is BEST?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Ask which partner and body part caused the dysfunction so the therapist can choose a diagnosis.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Begin with a standard heterosexual-couple checklist to avoid making the client feel singled out.</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Explain why the topic may be relevant, ask permission and privacy preferences, invite client-defined language, and distinguish the concern, goals, anatomy or health factors, behavior, desire, consent, relationships, culture, and safety without assumption.</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Avoid sexuality questions unless the client first requests specialized sex therapy.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C begins with rationale, permission, privacy, and client-defined language, then separates concern, goals, anatomy or health factors, behavior, desire, consent, relationships, culture, and safety. This is inclusive, clinically specific, and free of assumptions about identity or relationship structure.</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Reductionistic and assumptive. It presumes dysfunction and causation before clarifying the client's concern, goals, language, consent, health, context, and relationships.</w:t>
      </w:r>
    </w:p>
    <w:p>
      <w:pPr>
        <w:keepLines/>
        <w:spacing w:after="100" w:line="283" w:lineRule="auto"/>
      </w:pPr>
      <w:r>
        <w:rPr>
          <w:rFonts w:ascii="Calibri" w:hAnsi="Calibri"/>
          <w:b/>
          <w:color w:val="12385B"/>
          <w:sz w:val="21"/>
        </w:rPr>
        <w:t xml:space="preserve">B: </w:t>
      </w:r>
      <w:r>
        <w:rPr>
          <w:rFonts w:ascii="Calibri" w:hAnsi="Calibri"/>
          <w:color w:val="1E2D38"/>
          <w:sz w:val="21"/>
        </w:rPr>
        <w:t>Heteronormative template error. Applying a heterosexual-couple checklist to every client can erase relevant identities, anatomy, behavior, relationship structure, and safety information.</w:t>
      </w:r>
    </w:p>
    <w:p>
      <w:pPr>
        <w:keepLines/>
        <w:spacing w:after="100" w:line="283" w:lineRule="auto"/>
      </w:pPr>
      <w:r>
        <w:rPr>
          <w:rFonts w:ascii="Calibri" w:hAnsi="Calibri"/>
          <w:b/>
          <w:color w:val="1F3A5F"/>
          <w:sz w:val="21"/>
        </w:rPr>
        <w:t xml:space="preserve">C: </w:t>
      </w:r>
      <w:r>
        <w:rPr>
          <w:rFonts w:ascii="Calibri" w:hAnsi="Calibri"/>
          <w:color w:val="1E2D38"/>
          <w:sz w:val="21"/>
        </w:rPr>
        <w:t>Correct. It uses permission and client-defined language while assessing distinct sexual-health, relational, medical, cultural, and safety dimensions.</w:t>
      </w:r>
    </w:p>
    <w:p>
      <w:pPr>
        <w:keepLines/>
        <w:spacing w:after="100" w:line="283" w:lineRule="auto"/>
      </w:pPr>
      <w:r>
        <w:rPr>
          <w:rFonts w:ascii="Calibri" w:hAnsi="Calibri"/>
          <w:b/>
          <w:color w:val="12385B"/>
          <w:sz w:val="21"/>
        </w:rPr>
        <w:t xml:space="preserve">D: </w:t>
      </w:r>
      <w:r>
        <w:rPr>
          <w:rFonts w:ascii="Calibri" w:hAnsi="Calibri"/>
          <w:color w:val="1E2D38"/>
          <w:sz w:val="21"/>
        </w:rPr>
        <w:t>Avoidance. Respectful sexual-health inquiry can be appropriate when clinically relevant; competence limits determine depth, treatment, consultation, and referral—not whether basic assessment may occur.</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inclusive sexuality items, favor permission, privacy, client-defined language, behavioral specificity, consent and safety, context, and scope awareness.</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OPENS: offer permission, pinpoint the concern, evaluate consent and context, normalize without assumption, and scope treatment or referral.</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Use inclusive sexual-health inquiry and client-defined language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Ch3 / OPENS</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Sexual-health, reproductive, consent, confidentiality, abuse, and protective-duty requirements depend on client status, jurisdiction, facts, setting, and current professional guidance.</w:t>
            </w:r>
          </w:p>
        </w:tc>
      </w:tr>
    </w:tbl>
    <w:p>
      <w:pPr>
        <w:spacing w:after="20"/>
      </w:pPr>
    </w:p>
    <w:p>
      <w:pPr>
        <w:pStyle w:val="Heading1"/>
      </w:pPr>
      <w:r>
        <w:t>Item 8 -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In conjoint therapy, one partner says privately that refusing sexual activity leads to threats, blocked access to money, and fear of retaliation. The other partner requests intimacy-building exercises at the next session. What should the therapist do FIRST?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Assign a sensate-focus exercise with a rule that either partner may stop at any time.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Ask the fearful partner to disclose the threats during the next conjoint session so both perspectives are represented.</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Normalize desire differences and begin communication coaching because the concern is relational.</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Assess immediate safety, coercion, retaliation, voluntariness, treatment-setting risks, and applicable protective duties; create an appropriate safety and level-of-care response before routine conjoint intimacy work.</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Threats, financial control, and fear of retaliation indicate possible coercive control and compromised voluntariness. Option D pauses routine conjoint intimacy work and first assesses immediate danger, coercion, retaliation, treatment-format risk, and applicable protective duties so the response and level of care can be made safely.</w:t>
      </w:r>
    </w:p>
    <w:p>
      <w:pPr>
        <w:pStyle w:val="Heading2"/>
      </w:pPr>
      <w:r>
        <w:t>Option-by-Option Rationales</w:t>
      </w:r>
    </w:p>
    <w:p>
      <w:pPr>
        <w:keepLines/>
        <w:spacing w:after="100" w:line="283" w:lineRule="auto"/>
      </w:pPr>
      <w:r>
        <w:rPr>
          <w:rFonts w:ascii="Calibri" w:hAnsi="Calibri"/>
          <w:b/>
          <w:color w:val="9B1C1C"/>
          <w:sz w:val="21"/>
        </w:rPr>
        <w:t xml:space="preserve">A: </w:t>
      </w:r>
      <w:r>
        <w:rPr>
          <w:rFonts w:ascii="Calibri" w:hAnsi="Calibri"/>
          <w:color w:val="1E2D38"/>
          <w:sz w:val="21"/>
        </w:rPr>
        <w:t>Unsafe assignment. A stop rule does not make an intimacy exercise voluntary when threats, financial control, and anticipated retaliation are present.</w:t>
      </w:r>
    </w:p>
    <w:p>
      <w:pPr>
        <w:keepLines/>
        <w:spacing w:after="100" w:line="283" w:lineRule="auto"/>
      </w:pPr>
      <w:r>
        <w:rPr>
          <w:rFonts w:ascii="Calibri" w:hAnsi="Calibri"/>
          <w:b/>
          <w:color w:val="9B1C1C"/>
          <w:sz w:val="21"/>
        </w:rPr>
        <w:t xml:space="preserve">B: </w:t>
      </w:r>
      <w:r>
        <w:rPr>
          <w:rFonts w:ascii="Calibri" w:hAnsi="Calibri"/>
          <w:color w:val="1E2D38"/>
          <w:sz w:val="21"/>
        </w:rPr>
        <w:t>Unsafe disclosure. Directing conjoint disclosure may expose private help-seeking and increase retaliation before safety and treatment-format risks are assessed.</w:t>
      </w:r>
    </w:p>
    <w:p>
      <w:pPr>
        <w:keepLines/>
        <w:spacing w:after="100" w:line="283" w:lineRule="auto"/>
      </w:pPr>
      <w:r>
        <w:rPr>
          <w:rFonts w:ascii="Calibri" w:hAnsi="Calibri"/>
          <w:b/>
          <w:color w:val="12385B"/>
          <w:sz w:val="21"/>
        </w:rPr>
        <w:t xml:space="preserve">C: </w:t>
      </w:r>
      <w:r>
        <w:rPr>
          <w:rFonts w:ascii="Calibri" w:hAnsi="Calibri"/>
          <w:color w:val="1E2D38"/>
          <w:sz w:val="21"/>
        </w:rPr>
        <w:t>Risk minimization. Communication coaching and normalization are inappropriate before coercion, voluntariness, and immediate safety are evaluated.</w:t>
      </w:r>
    </w:p>
    <w:p>
      <w:pPr>
        <w:keepLines/>
        <w:spacing w:after="100" w:line="283" w:lineRule="auto"/>
      </w:pPr>
      <w:r>
        <w:rPr>
          <w:rFonts w:ascii="Calibri" w:hAnsi="Calibri"/>
          <w:b/>
          <w:color w:val="1F3A5F"/>
          <w:sz w:val="21"/>
        </w:rPr>
        <w:t xml:space="preserve">D: </w:t>
      </w:r>
      <w:r>
        <w:rPr>
          <w:rFonts w:ascii="Calibri" w:hAnsi="Calibri"/>
          <w:color w:val="1E2D38"/>
          <w:sz w:val="21"/>
        </w:rPr>
        <w:t>Correct. It prioritizes private safety and coercion assessment, treatment-setting decisions, protective duties, and appropriate stabilization before intimacy intervention.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sexual activity is linked to threats, retaliation, control, or fear, treat consent and treatment format as safety questions before using conjoint exercises.</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Assess danger, coercion, voluntariness, retaliation, privacy, and safe contact separately; then determine the appropriate format, safeguards, duties, and level of care.</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D5</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Respond to coercion or immediate safety in a sexual context</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3 and 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R9</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Ch3 / OPENS</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Responses to coercion, violence, abuse, threats, confidentiality, and protective duties must be governed by current jurisdictional law, ethics, board guidance, policy, and qualified consultation.</w:t>
            </w:r>
          </w:p>
        </w:tc>
      </w:tr>
    </w:tbl>
    <w:p>
      <w:pPr>
        <w:spacing w:after="20"/>
      </w:pPr>
    </w:p>
    <w:p>
      <w:pPr>
        <w:pStyle w:val="Heading1"/>
      </w:pPr>
      <w:r>
        <w:t>Item 9 -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client with a fluctuating neurological condition misses sessions when fatigue is severe. The clinic's only evening room is not mobility accessible, family members answer questions for the client, and treatment is being labeled “noncompliant.” What is the BEST integrated response?</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Engage the client directly using preferred communication, assess function and access barriers, clarify family roles and consent, offer reasonable format and pacing adaptations, coordinate health information when authorized, and track benefit and burden.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Continue the standard schedule so clinical boundaries are identical for every client.</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Make a family member the treatment decision-maker because disability reduces the client's capacity to participate.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Suspend therapy until the medical condition is fully resolved because MFT treatment cannot address health-related barriers.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pattern labeled “noncompliance” is closely tied to fluctuating function, inaccessible facilities, communication displacement, and possible role confusion. Option A engages the client directly, assesses access and function, preserves autonomy, defines family roles, adapts the care format, coordinates within permission, and monitors both benefit and burden.</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treats access and function as clinical variables, centers the client's voice, uses consented family participation, adapts delivery, and evaluates the result.</w:t>
      </w:r>
    </w:p>
    <w:p>
      <w:pPr>
        <w:keepLines/>
        <w:spacing w:after="100" w:line="283" w:lineRule="auto"/>
      </w:pPr>
      <w:r>
        <w:rPr>
          <w:rFonts w:ascii="Calibri" w:hAnsi="Calibri"/>
          <w:b/>
          <w:color w:val="12385B"/>
          <w:sz w:val="21"/>
        </w:rPr>
        <w:t xml:space="preserve">B: </w:t>
      </w:r>
      <w:r>
        <w:rPr>
          <w:rFonts w:ascii="Calibri" w:hAnsi="Calibri"/>
          <w:color w:val="1E2D38"/>
          <w:sz w:val="21"/>
        </w:rPr>
        <w:t>Equality-versus-equity trap. Identical scheduling can perpetuate exclusion when a known access barrier prevents meaningful participation.</w:t>
      </w:r>
    </w:p>
    <w:p>
      <w:pPr>
        <w:keepLines/>
        <w:spacing w:after="100" w:line="283" w:lineRule="auto"/>
      </w:pPr>
      <w:r>
        <w:rPr>
          <w:rFonts w:ascii="Calibri" w:hAnsi="Calibri"/>
          <w:b/>
          <w:color w:val="12385B"/>
          <w:sz w:val="21"/>
        </w:rPr>
        <w:t xml:space="preserve">C: </w:t>
      </w:r>
      <w:r>
        <w:rPr>
          <w:rFonts w:ascii="Calibri" w:hAnsi="Calibri"/>
          <w:color w:val="1E2D38"/>
          <w:sz w:val="21"/>
        </w:rPr>
        <w:t>Ableist capacity assumption. Disability does not automatically eliminate decision-making capacity or authorize family members to replace the client's voice.</w:t>
      </w:r>
    </w:p>
    <w:p>
      <w:pPr>
        <w:keepLines/>
        <w:spacing w:after="100" w:line="283" w:lineRule="auto"/>
      </w:pPr>
      <w:r>
        <w:rPr>
          <w:rFonts w:ascii="Calibri" w:hAnsi="Calibri"/>
          <w:b/>
          <w:color w:val="12385B"/>
          <w:sz w:val="21"/>
        </w:rPr>
        <w:t xml:space="preserve">D: </w:t>
      </w:r>
      <w:r>
        <w:rPr>
          <w:rFonts w:ascii="Calibri" w:hAnsi="Calibri"/>
          <w:color w:val="1E2D38"/>
          <w:sz w:val="21"/>
        </w:rPr>
        <w:t>Unnecessary suspension. MFT care can address relational and access effects while coordinating medical information and adapting treatment within scope.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“noncompliance” appears alongside disability, health, fatigue, language, transportation, or facility barriers, assess access and burden before attributing motivation.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BRIDGE: clarify the shared care question, function and barriers, relational effects, permission and roles, adapted plan, and participant-level response.</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D2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Adapt treatment for chronic illness, disability, and access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4 and 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Ch4 / BRIDGE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Accessibility, reasonable-accommodation, capacity, consent, telehealth, documentation, and nondiscrimination requirements must be applied under current law and setting policy.</w:t>
            </w:r>
          </w:p>
        </w:tc>
      </w:tr>
    </w:tbl>
    <w:p>
      <w:pPr>
        <w:spacing w:after="20"/>
      </w:pPr>
    </w:p>
    <w:p>
      <w:pPr>
        <w:pStyle w:val="Heading1"/>
      </w:pPr>
      <w:r>
        <w:t>Item 10 -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After a recent medication adjustment, a client reports daytime sleepiness, irritability, and new driving errors. The spouse asks the therapist to tell the prescriber which medication to discontinue. What should the therapist do?</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Recommend stopping the medication immediately because driving risk overrides role boundaries.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Assess immediate safety and function, clarify what is known, obtain appropriate permission, communicate relevant observations to the prescriber, and maintain MFT role clarity rather than directing medication treatment.</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Decline all discussion because medication effects have no relevance to systemic therapy.</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Ask the spouse to contact the prescriber secretly so the client cannot minimize the symptoms.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New sleepiness, irritability, and driving errors raise immediate safety and functional concerns that are relevant to treatment. Option B assesses those concerns, clarifies the limits of the available information, obtains appropriate permission, shares relevant observations with the prescriber, and avoids directing medication treatment outside the MFT role.</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Prescribing overreach. The therapist should address driving safety and urgent evaluation but should not independently direct medication discontinuation.</w:t>
      </w:r>
    </w:p>
    <w:p>
      <w:pPr>
        <w:keepLines/>
        <w:spacing w:after="100" w:line="283" w:lineRule="auto"/>
      </w:pPr>
      <w:r>
        <w:rPr>
          <w:rFonts w:ascii="Calibri" w:hAnsi="Calibri"/>
          <w:b/>
          <w:color w:val="1F3A5F"/>
          <w:sz w:val="21"/>
        </w:rPr>
        <w:t xml:space="preserve">B: </w:t>
      </w:r>
      <w:r>
        <w:rPr>
          <w:rFonts w:ascii="Calibri" w:hAnsi="Calibri"/>
          <w:color w:val="1E2D38"/>
          <w:sz w:val="21"/>
        </w:rPr>
        <w:t>Correct. It combines safety and function assessment, informed permission, relevant communication, and clear professional-role limits.</w:t>
      </w:r>
    </w:p>
    <w:p>
      <w:pPr>
        <w:keepLines/>
        <w:spacing w:after="100" w:line="283" w:lineRule="auto"/>
      </w:pPr>
      <w:r>
        <w:rPr>
          <w:rFonts w:ascii="Calibri" w:hAnsi="Calibri"/>
          <w:b/>
          <w:color w:val="12385B"/>
          <w:sz w:val="21"/>
        </w:rPr>
        <w:t xml:space="preserve">C: </w:t>
      </w:r>
      <w:r>
        <w:rPr>
          <w:rFonts w:ascii="Calibri" w:hAnsi="Calibri"/>
          <w:color w:val="1E2D38"/>
          <w:sz w:val="21"/>
        </w:rPr>
        <w:t>False scope boundary. Medication effects can affect safety, functioning, mood, and relationships and therefore require assessment and appropriate coordination.</w:t>
      </w:r>
    </w:p>
    <w:p>
      <w:pPr>
        <w:keepLines/>
        <w:spacing w:after="100" w:line="283" w:lineRule="auto"/>
      </w:pPr>
      <w:r>
        <w:rPr>
          <w:rFonts w:ascii="Calibri" w:hAnsi="Calibri"/>
          <w:b/>
          <w:color w:val="12385B"/>
          <w:sz w:val="21"/>
        </w:rPr>
        <w:t xml:space="preserve">D: </w:t>
      </w:r>
      <w:r>
        <w:rPr>
          <w:rFonts w:ascii="Calibri" w:hAnsi="Calibri"/>
          <w:color w:val="1E2D38"/>
          <w:sz w:val="21"/>
        </w:rPr>
        <w:t>Consent and alliance violation. Secret communication is not justified merely because a spouse fears minimization; the therapist must assess urgency and follow lawful, ethical information rules.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medication questions, choose assess-and-coordinate rather than prescribe, ignore, or communicate secretly.</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Assess urgency and function, distinguish observation from medical conclusion, obtain permission when appropriate, communicate minimum necessary facts, and document roles and follow-up.</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Differentiate medication or medical factors and coordinate care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4 and 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Ch4 / BRIDGE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Medication advice, urgent disclosure, driving-risk response, authorization, and provider communication must follow current law, ethics, policy, and medical consultation within scope.</w:t>
            </w:r>
          </w:p>
        </w:tc>
      </w:tr>
    </w:tbl>
    <w:p>
      <w:pPr>
        <w:spacing w:after="20"/>
      </w:pPr>
    </w:p>
    <w:p>
      <w:pPr>
        <w:pStyle w:val="Heading1"/>
      </w:pPr>
      <w:r>
        <w:t>Item 11 -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Which principle BEST guides adaptation of treatment during a family life-cycle transition?</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Use chronological age as the primary indicator of what every family member should accomplish.</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Treat conflict during a transition as evidence of disorder before examining context or function.</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Relate tasks and symptoms to development, culture, family structure, health, function, autonomy, resources, and risk, then adapt goals and participation without assuming one universal sequence.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Avoid involving family members because developmental needs are always individual.</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C avoids a universal developmental timetable and instead evaluates development, culture, family organization, health, function, autonomy, resources, and risk. Those factors guide individualized goals and participation during a family transition.</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Age-norm trap. Chronological age alone does not determine capacity, family tasks, cultural meaning, support needs, or the appropriate treatment target.</w:t>
      </w:r>
    </w:p>
    <w:p>
      <w:pPr>
        <w:keepLines/>
        <w:spacing w:after="100" w:line="283" w:lineRule="auto"/>
      </w:pPr>
      <w:r>
        <w:rPr>
          <w:rFonts w:ascii="Calibri" w:hAnsi="Calibri"/>
          <w:b/>
          <w:color w:val="12385B"/>
          <w:sz w:val="21"/>
        </w:rPr>
        <w:t xml:space="preserve">B: </w:t>
      </w:r>
      <w:r>
        <w:rPr>
          <w:rFonts w:ascii="Calibri" w:hAnsi="Calibri"/>
          <w:color w:val="1E2D38"/>
          <w:sz w:val="21"/>
        </w:rPr>
        <w:t>Premature pathologizing. Conflict may reflect a transition, context, access problem, relational pattern, or disorder and must be assessed before diagnostic conclusions.</w:t>
      </w:r>
    </w:p>
    <w:p>
      <w:pPr>
        <w:keepLines/>
        <w:spacing w:after="100" w:line="283" w:lineRule="auto"/>
      </w:pPr>
      <w:r>
        <w:rPr>
          <w:rFonts w:ascii="Calibri" w:hAnsi="Calibri"/>
          <w:b/>
          <w:color w:val="1F3A5F"/>
          <w:sz w:val="21"/>
        </w:rPr>
        <w:t xml:space="preserve">C: </w:t>
      </w:r>
      <w:r>
        <w:rPr>
          <w:rFonts w:ascii="Calibri" w:hAnsi="Calibri"/>
          <w:color w:val="1E2D38"/>
          <w:sz w:val="21"/>
        </w:rPr>
        <w:t>Correct. It integrates developmental and contextual evidence and adapts treatment without imposing one universal family-life-cycle sequence.</w:t>
      </w:r>
    </w:p>
    <w:p>
      <w:pPr>
        <w:keepLines/>
        <w:spacing w:after="100" w:line="283" w:lineRule="auto"/>
      </w:pPr>
      <w:r>
        <w:rPr>
          <w:rFonts w:ascii="Calibri" w:hAnsi="Calibri"/>
          <w:b/>
          <w:color w:val="12385B"/>
          <w:sz w:val="21"/>
        </w:rPr>
        <w:t xml:space="preserve">D: </w:t>
      </w:r>
      <w:r>
        <w:rPr>
          <w:rFonts w:ascii="Calibri" w:hAnsi="Calibri"/>
          <w:color w:val="1E2D38"/>
          <w:sz w:val="21"/>
        </w:rPr>
        <w:t>Individual-reduction trap. Developmental transitions often reorganize roles, boundaries, caregiving, autonomy, and support across the family system.</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Developmental questions reward contextual adaptation, not rigid age norms, premature diagnosis, or automatic exclusion of the family system.</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SEASONS to situate the transition, elicit meaning, assess function and risk, support adaptive tasks, organize resources, and revise when needed.</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D2</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Adapt goals and intervention to development and family life cycle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5 and 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SEASONS</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12 -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Nine months after a community disaster and the death of a close friend, a client participates in culturally meaningful remembrance rituals. The client also reports worsening nightmares, inability to work, heavy alcohol use, and thoughts of “not wanting to wake up.” What should the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Diagnose prolonged grief solely because more than six months have passed.</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Reassure the client that all reactions are normal within the client's culture and avoid risk questions.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Begin exposure work immediately so avoidance does not become permanent.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Honor the rituals and meaning while directly assessing suicide risk, trauma, depression, substance use, function, supports, and level of care, then coordinate or refer as indicated.</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Culturally meaningful mourning and clinically significant risk can coexist. Option D honors ritual and meaning while directly assessing suicide risk, trauma, depression, substance use, functional decline, supports, and level of care, then coordinates or refers according to the findings.</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Criterion shortcut. Time since loss alone does not establish prolonged grief disorder; full current diagnostic criteria, culture, context, function, and alternatives must be assessed.</w:t>
      </w:r>
    </w:p>
    <w:p>
      <w:pPr>
        <w:keepLines/>
        <w:spacing w:after="100" w:line="283" w:lineRule="auto"/>
      </w:pPr>
      <w:r>
        <w:rPr>
          <w:rFonts w:ascii="Calibri" w:hAnsi="Calibri"/>
          <w:b/>
          <w:color w:val="12385B"/>
          <w:sz w:val="21"/>
        </w:rPr>
        <w:t xml:space="preserve">B: </w:t>
      </w:r>
      <w:r>
        <w:rPr>
          <w:rFonts w:ascii="Calibri" w:hAnsi="Calibri"/>
          <w:color w:val="1E2D38"/>
          <w:sz w:val="21"/>
        </w:rPr>
        <w:t>Risk-bypass error. Cultural humility does not justify avoiding direct assessment of suicidal thoughts, heavy alcohol use, nightmares, or inability to work.</w:t>
      </w:r>
    </w:p>
    <w:p>
      <w:pPr>
        <w:keepLines/>
        <w:spacing w:after="100" w:line="283" w:lineRule="auto"/>
      </w:pPr>
      <w:r>
        <w:rPr>
          <w:rFonts w:ascii="Calibri" w:hAnsi="Calibri"/>
          <w:b/>
          <w:color w:val="12385B"/>
          <w:sz w:val="21"/>
        </w:rPr>
        <w:t xml:space="preserve">C: </w:t>
      </w:r>
      <w:r>
        <w:rPr>
          <w:rFonts w:ascii="Calibri" w:hAnsi="Calibri"/>
          <w:color w:val="1E2D38"/>
          <w:sz w:val="21"/>
        </w:rPr>
        <w:t>Premature intervention. Exposure should not begin before safety, stabilization, diagnosis, readiness, substance use, and treatment fit are assessed.</w:t>
      </w:r>
    </w:p>
    <w:p>
      <w:pPr>
        <w:keepLines/>
        <w:spacing w:after="100" w:line="283" w:lineRule="auto"/>
      </w:pPr>
      <w:r>
        <w:rPr>
          <w:rFonts w:ascii="Calibri" w:hAnsi="Calibri"/>
          <w:b/>
          <w:color w:val="1F3A5F"/>
          <w:sz w:val="21"/>
        </w:rPr>
        <w:t xml:space="preserve">D: </w:t>
      </w:r>
      <w:r>
        <w:rPr>
          <w:rFonts w:ascii="Calibri" w:hAnsi="Calibri"/>
          <w:color w:val="1E2D38"/>
          <w:sz w:val="21"/>
        </w:rPr>
        <w:t>Correct. It combines cultural responsiveness with direct multidimensional risk, differential, functional, support, and level-of-care assessment.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Do not choose between honoring grief and assessing disorder or danger; the best answer does both.</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Elicit meaning and ritual, then assess function, duration and pattern, trauma, depression, substance use, suicide risk, supports, and level of care.</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D5</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Differentiate grief, disorder, trauma, culture, and suicide risk</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5 and 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SEASONS</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Diagnosis, suicide-risk response, emergency action, substance-related care, confidentiality, and referral must follow current criteria, law, professional standards, policy, and individualized consultation.</w:t>
            </w:r>
          </w:p>
        </w:tc>
      </w:tr>
    </w:tbl>
    <w:p>
      <w:pPr>
        <w:spacing w:after="20"/>
      </w:pPr>
    </w:p>
    <w:p>
      <w:pPr>
        <w:pStyle w:val="Heading1"/>
      </w:pPr>
      <w:r>
        <w:t>Item 13 -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An older adult who previously managed finances independently now appears confused and has unpaid utilities. A caregiving relative controls the bank card, refuses private conversation, and says the client is “too old to understand.” What should the therapist do FIRST?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Assess immediate safety, decision-specific capacity and functional change within role, possible exploitation or neglect, urgent medical needs, access to private communication, and current jurisdictional protective duties and level-of-care options.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Accept the caregiver's account because the caregiver has the most daily contact.</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Teach stress management to the caregiver before asking about finances or capacity.</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Transfer the case immediately without assessing safety because aging and finances are outside MFT scope.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New confusion, loss of financial function, restricted private access, and control of the bank card raise possible medical urgency, exploitation, neglect, and capacity concerns. Option A begins with immediate safety and decision-specific assessment, obtains private communication when safely possible, and applies current protective duties and care options.</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assesses acute change, safety, decision-specific capacity and function, exploitation or neglect, private access, protective duties, and level of care before routine treatment.</w:t>
      </w:r>
    </w:p>
    <w:p>
      <w:pPr>
        <w:keepLines/>
        <w:spacing w:after="100" w:line="283" w:lineRule="auto"/>
      </w:pPr>
      <w:r>
        <w:rPr>
          <w:rFonts w:ascii="Calibri" w:hAnsi="Calibri"/>
          <w:b/>
          <w:color w:val="12385B"/>
          <w:sz w:val="21"/>
        </w:rPr>
        <w:t xml:space="preserve">B: </w:t>
      </w:r>
      <w:r>
        <w:rPr>
          <w:rFonts w:ascii="Calibri" w:hAnsi="Calibri"/>
          <w:color w:val="1E2D38"/>
          <w:sz w:val="21"/>
        </w:rPr>
        <w:t>Collateral-dominance trap. Daily contact does not make the caregiver's account definitive, especially when the caregiver controls access and finances.</w:t>
      </w:r>
    </w:p>
    <w:p>
      <w:pPr>
        <w:keepLines/>
        <w:spacing w:after="100" w:line="283" w:lineRule="auto"/>
      </w:pPr>
      <w:r>
        <w:rPr>
          <w:rFonts w:ascii="Calibri" w:hAnsi="Calibri"/>
          <w:b/>
          <w:color w:val="12385B"/>
          <w:sz w:val="21"/>
        </w:rPr>
        <w:t xml:space="preserve">C: </w:t>
      </w:r>
      <w:r>
        <w:rPr>
          <w:rFonts w:ascii="Calibri" w:hAnsi="Calibri"/>
          <w:color w:val="1E2D38"/>
          <w:sz w:val="21"/>
        </w:rPr>
        <w:t>Priority error. Caregiver stress may be relevant, but it cannot be addressed first when new confusion, unpaid utilities, blocked privacy, and possible exploitation are present.</w:t>
      </w:r>
    </w:p>
    <w:p>
      <w:pPr>
        <w:keepLines/>
        <w:spacing w:after="100" w:line="283" w:lineRule="auto"/>
      </w:pPr>
      <w:r>
        <w:rPr>
          <w:rFonts w:ascii="Calibri" w:hAnsi="Calibri"/>
          <w:b/>
          <w:color w:val="12385B"/>
          <w:sz w:val="21"/>
        </w:rPr>
        <w:t xml:space="preserve">D: </w:t>
      </w:r>
      <w:r>
        <w:rPr>
          <w:rFonts w:ascii="Calibri" w:hAnsi="Calibri"/>
          <w:color w:val="1E2D38"/>
          <w:sz w:val="21"/>
        </w:rPr>
        <w:t>Abandonment and scope error. The therapist should not conduct a specialist capacity determination beyond competence, but must assess immediate safety and function and coordinate or report as required.</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aging or caregiving cases, new cognitive or functional change plus control of access or finances should trigger safety, capacity, exploitation, medical, and protective-duty assessment.</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Establish private access and immediate safety, compare baseline and change, assess decision-specific function, identify control or exploitation cues, and coordinate current protective and medical responses.</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D5</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Assess aging, caregiving, capacity, neglect, and level of care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5 and 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R9</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STEADY</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Capacity, elder/dependent-adult abuse, neglect, exploitation, reporting, emergency response, confidentiality, and documentation duties are jurisdiction-specific and must be verified currently.</w:t>
            </w:r>
          </w:p>
        </w:tc>
      </w:tr>
    </w:tbl>
    <w:p>
      <w:pPr>
        <w:spacing w:after="20"/>
      </w:pPr>
    </w:p>
    <w:p>
      <w:pPr>
        <w:pStyle w:val="Heading1"/>
      </w:pPr>
      <w:r>
        <w:t>Item 14 -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client receiving MFT, addiction, and primary-care services signs a broad release stating “all information may be shared.” Team members begin copying everyone on detailed notes, and no one can state who is responsible for suicide-risk follow-up. What should the MFT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Continue sharing because a signed release removes the need to limit or explain disclosures.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Revisit informed permission and its limits, identify the client and each provider's role, establish minimum-necessary information flow and risk responsibilities, use secure communication, document decisions, and verify current law and policy.</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Withdraw from the team so another professional becomes solely responsible for confidentiality.</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Ask the client to coordinate the providers without further clinician communication.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A broad release does not by itself create clinically appropriate or unlimited information exchange, and unidentified ownership of suicide follow-up is a serious continuity risk. Option B revisits informed permission, defines client and provider roles, limits information to the necessary purpose, assigns risk responsibilities, secures communication, and documents the plan.</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Overdisclosure trap. A signed release does not remove duties to explain, purpose-limit, secure, and appropriately restrict disclosures under current law and ethics.</w:t>
      </w:r>
    </w:p>
    <w:p>
      <w:pPr>
        <w:keepLines/>
        <w:spacing w:after="100" w:line="283" w:lineRule="auto"/>
      </w:pPr>
      <w:r>
        <w:rPr>
          <w:rFonts w:ascii="Calibri" w:hAnsi="Calibri"/>
          <w:b/>
          <w:color w:val="1F3A5F"/>
          <w:sz w:val="21"/>
        </w:rPr>
        <w:t xml:space="preserve">B: </w:t>
      </w:r>
      <w:r>
        <w:rPr>
          <w:rFonts w:ascii="Calibri" w:hAnsi="Calibri"/>
          <w:color w:val="1E2D38"/>
          <w:sz w:val="21"/>
        </w:rPr>
        <w:t>Correct. It repairs consent, role, minimum-necessary information flow, security, risk ownership, documentation, and current-law verification.</w:t>
      </w:r>
    </w:p>
    <w:p>
      <w:pPr>
        <w:keepLines/>
        <w:spacing w:after="100" w:line="283" w:lineRule="auto"/>
      </w:pPr>
      <w:r>
        <w:rPr>
          <w:rFonts w:ascii="Calibri" w:hAnsi="Calibri"/>
          <w:b/>
          <w:color w:val="12385B"/>
          <w:sz w:val="21"/>
        </w:rPr>
        <w:t xml:space="preserve">C: </w:t>
      </w:r>
      <w:r>
        <w:rPr>
          <w:rFonts w:ascii="Calibri" w:hAnsi="Calibri"/>
          <w:color w:val="1E2D38"/>
          <w:sz w:val="21"/>
        </w:rPr>
        <w:t>Fragmentation and abandonment risk. Leaving the team does not solve unclear responsibility or ensure continuity unless a planned transfer is clinically and ethically indicated.</w:t>
      </w:r>
    </w:p>
    <w:p>
      <w:pPr>
        <w:keepLines/>
        <w:spacing w:after="100" w:line="283" w:lineRule="auto"/>
      </w:pPr>
      <w:r>
        <w:rPr>
          <w:rFonts w:ascii="Calibri" w:hAnsi="Calibri"/>
          <w:b/>
          <w:color w:val="12385B"/>
          <w:sz w:val="21"/>
        </w:rPr>
        <w:t xml:space="preserve">D: </w:t>
      </w:r>
      <w:r>
        <w:rPr>
          <w:rFonts w:ascii="Calibri" w:hAnsi="Calibri"/>
          <w:color w:val="1E2D38"/>
          <w:sz w:val="21"/>
        </w:rPr>
        <w:t>Improper burden shift. Clients participate in coordination choices but should not be made solely responsible for resolving provider-role and safety-follow-up failures.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In integrated-care items, choose explicit permission, purpose, roles, minimum-necessary exchange, safety ownership, security, documentation, and continuity.</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Define who the client is, what each provider owns, what information is necessary, how it may be shared, who follows risk, and when the plan will be reviewed.</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D5</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Clarify consent, confidentiality, records, and integrated-care roles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6 and 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BRIDGE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Authorizations, minimum-necessary standards, sensitive-record protections, electronic communication, suicide-risk duties, and documentation vary by law, jurisdiction, payer, program, and setting policy.</w:t>
            </w:r>
          </w:p>
        </w:tc>
      </w:tr>
    </w:tbl>
    <w:p>
      <w:pPr>
        <w:spacing w:after="20"/>
      </w:pPr>
    </w:p>
    <w:p>
      <w:pPr>
        <w:pStyle w:val="Heading1"/>
      </w:pPr>
      <w:r>
        <w:t>Item 15 -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trauma-exposed client has escalating dissociation, housing instability, recurrent intoxication, and inconsistent contact with several providers. The therapist is considering a new trauma-processing protocol. What is the BEST next step?</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Begin the protocol because trauma processing may resolve the other problems simultaneously.</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Increase the frequency of the same outpatient sessions without reassessing acuity or coordination.</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Pause trauma processing, reassess safety, intoxication, stability, participation capacity, supports, and level of care; clarify provider roles; and build a coordinated stabilization and continuity plan.</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Discharge immediately for nonattendance because readiness is solely the client's responsibility.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Escalating dissociation, recurrent intoxication, housing instability, and fragmented provider contact undermine the client's stability and participation capacity for a new trauma-processing protocol. Option C pauses processing, reassesses acuity and level of care, clarifies roles, and creates coordinated stabilization and continuity first.</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Intervention-before-stabilization trap. Trauma processing may increase risk or disengagement when intoxication, dissociation, housing instability, and fragmented care are not sufficiently stabilized.</w:t>
      </w:r>
    </w:p>
    <w:p>
      <w:pPr>
        <w:keepLines/>
        <w:spacing w:after="100" w:line="283" w:lineRule="auto"/>
      </w:pPr>
      <w:r>
        <w:rPr>
          <w:rFonts w:ascii="Calibri" w:hAnsi="Calibri"/>
          <w:b/>
          <w:color w:val="12385B"/>
          <w:sz w:val="21"/>
        </w:rPr>
        <w:t xml:space="preserve">B: </w:t>
      </w:r>
      <w:r>
        <w:rPr>
          <w:rFonts w:ascii="Calibri" w:hAnsi="Calibri"/>
          <w:color w:val="1E2D38"/>
          <w:sz w:val="21"/>
        </w:rPr>
        <w:t>Dose-without-reassessment error. More of the same outpatient care does not determine whether acuity, access, coordination, or level of care has changed.</w:t>
      </w:r>
    </w:p>
    <w:p>
      <w:pPr>
        <w:keepLines/>
        <w:spacing w:after="100" w:line="283" w:lineRule="auto"/>
      </w:pPr>
      <w:r>
        <w:rPr>
          <w:rFonts w:ascii="Calibri" w:hAnsi="Calibri"/>
          <w:b/>
          <w:color w:val="1F3A5F"/>
          <w:sz w:val="21"/>
        </w:rPr>
        <w:t xml:space="preserve">C: </w:t>
      </w:r>
      <w:r>
        <w:rPr>
          <w:rFonts w:ascii="Calibri" w:hAnsi="Calibri"/>
          <w:color w:val="1E2D38"/>
          <w:sz w:val="21"/>
        </w:rPr>
        <w:t>Correct. It sequences safety, stability, participation capacity, role clarity, coordinated level of care, and continuity before trauma processing.</w:t>
      </w:r>
    </w:p>
    <w:p>
      <w:pPr>
        <w:keepLines/>
        <w:spacing w:after="100" w:line="283" w:lineRule="auto"/>
      </w:pPr>
      <w:r>
        <w:rPr>
          <w:rFonts w:ascii="Calibri" w:hAnsi="Calibri"/>
          <w:b/>
          <w:color w:val="12385B"/>
          <w:sz w:val="21"/>
        </w:rPr>
        <w:t xml:space="preserve">D: </w:t>
      </w:r>
      <w:r>
        <w:rPr>
          <w:rFonts w:ascii="Calibri" w:hAnsi="Calibri"/>
          <w:color w:val="1E2D38"/>
          <w:sz w:val="21"/>
        </w:rPr>
        <w:t>Punitive discharge. Inconsistent contact is clinically meaningful data about stability, access, alliance, and care fit and requires assessment and continuity planning.</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acuity and instability interfere with participation, stabilize and coordinate the level of care before adding an intensive protocol.</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STEADY: screen danger, triage interacting needs, establish participation capacity, align care and roles, document, and reassess before proceeding.</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 / D5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Sequence stabilization and treatment for trauma complexity</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6 and 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R9</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STEADY</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Dissociation, intoxication, trauma treatment, emergency thresholds, level-of-care placement, confidentiality, and coordination require individualized assessment and current competence-based consultation.</w:t>
            </w:r>
          </w:p>
        </w:tc>
      </w:tr>
    </w:tbl>
    <w:p>
      <w:pPr>
        <w:spacing w:after="20"/>
      </w:pPr>
    </w:p>
    <w:p>
      <w:pPr>
        <w:pStyle w:val="Heading1"/>
      </w:pPr>
      <w:r>
        <w:t>Item 16 -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therapist recognizes that a couple needs specialized sexual-pain treatment beyond the therapist's competence. Which action is MOST appropriate?</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Continue using general couples techniques without discussing the competence limit.</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End services immediately and give the couple a list of websites.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Ask the couple to choose whether the therapist is competent because informed consent transfers the decision.</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Explain the limit and rationale, offer qualified referral options, obtain permission for a warm handoff when possible, clarify any continuing MFT role, and document continuity and follow-up.</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D addresses the competence limit transparently and protects continuity through qualified referrals, permission for a warm handoff, clarification of any remaining MFT role, documentation, and follow-up. Referral supplements or transitions care; it is not concealment, a website list, or a transfer of the competence judgment to clients.</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Competence concealment. Continuing without disclosure or appropriate consultation/referral exposes clients to care beyond the therapist's training and prevents informed choice.</w:t>
      </w:r>
    </w:p>
    <w:p>
      <w:pPr>
        <w:keepLines/>
        <w:spacing w:after="100" w:line="283" w:lineRule="auto"/>
      </w:pPr>
      <w:r>
        <w:rPr>
          <w:rFonts w:ascii="Calibri" w:hAnsi="Calibri"/>
          <w:b/>
          <w:color w:val="12385B"/>
          <w:sz w:val="21"/>
        </w:rPr>
        <w:t xml:space="preserve">B: </w:t>
      </w:r>
      <w:r>
        <w:rPr>
          <w:rFonts w:ascii="Calibri" w:hAnsi="Calibri"/>
          <w:color w:val="1E2D38"/>
          <w:sz w:val="21"/>
        </w:rPr>
        <w:t>Abrupt-referral trap. Immediate termination with generic websites does not provide clinically appropriate referral, transition planning, or continuity.</w:t>
      </w:r>
    </w:p>
    <w:p>
      <w:pPr>
        <w:keepLines/>
        <w:spacing w:after="100" w:line="283" w:lineRule="auto"/>
      </w:pPr>
      <w:r>
        <w:rPr>
          <w:rFonts w:ascii="Calibri" w:hAnsi="Calibri"/>
          <w:b/>
          <w:color w:val="12385B"/>
          <w:sz w:val="21"/>
        </w:rPr>
        <w:t xml:space="preserve">C: </w:t>
      </w:r>
      <w:r>
        <w:rPr>
          <w:rFonts w:ascii="Calibri" w:hAnsi="Calibri"/>
          <w:color w:val="1E2D38"/>
          <w:sz w:val="21"/>
        </w:rPr>
        <w:t>Consent fallacy. Clients choose among informed options, but informed consent cannot convert an unqualified therapist into a competent specialty provider.</w:t>
      </w:r>
    </w:p>
    <w:p>
      <w:pPr>
        <w:keepLines/>
        <w:spacing w:after="100" w:line="283" w:lineRule="auto"/>
      </w:pPr>
      <w:r>
        <w:rPr>
          <w:rFonts w:ascii="Calibri" w:hAnsi="Calibri"/>
          <w:b/>
          <w:color w:val="1F3A5F"/>
          <w:sz w:val="21"/>
        </w:rPr>
        <w:t xml:space="preserve">D: </w:t>
      </w:r>
      <w:r>
        <w:rPr>
          <w:rFonts w:ascii="Calibri" w:hAnsi="Calibri"/>
          <w:color w:val="1E2D38"/>
          <w:sz w:val="21"/>
        </w:rPr>
        <w:t>Correct. It combines transparency, qualified referral, consented handoff, role clarity, documentation, follow-up, and nonabandonment.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competence limits, choose transparent discussion plus qualified referral and continuity—not silent practice, abrupt ending, or waiver logic.</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Explain the limit and rationale, offer qualified options, arrange a consented handoff, define any continuing role, document, and confirm connection.</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Coordinate referral and continuity within competence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6 and 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BRIDGE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Competence, informed consent, referral, records, coordination, and nonabandonment duties must be applied under current ethics, law, board guidance, and organizational policy.</w:t>
            </w:r>
          </w:p>
        </w:tc>
      </w:tr>
    </w:tbl>
    <w:p>
      <w:pPr>
        <w:spacing w:after="20"/>
      </w:pPr>
    </w:p>
    <w:p>
      <w:pPr>
        <w:pStyle w:val="Heading1"/>
      </w:pPr>
      <w:r>
        <w:t>Item 17 -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After eight weeks of coordinated care, substance use is lower, but one partner reports more fear at home, the client misses medical appointments because of transportation, and the care team has not reviewed its goals. What should the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Review safety, alliance, function, access, outcomes, burdens, and roles by participant; revisit the hypothesis and treatment unit; and collaboratively continue, adapt, step up or down, transfer, or end components with documented continuity.</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Continue unchanged because improvement in substance use establishes overall success.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Remove the fearful partner from outcome review so reports do not conflict.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Add another service before clarifying why current care is not meeting all needs.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One favorable outcome does not establish overall success. Option A reviews safety, alliance, function, access, benefit, burden, and roles by participant, then revises the hypothesis and care plan from the full response pattern.</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uses participant-level data to reassess the formulation, roles, and whether care should continue, adapt, change level, transfer, or end.</w:t>
      </w:r>
    </w:p>
    <w:p>
      <w:pPr>
        <w:keepLines/>
        <w:spacing w:after="100" w:line="283" w:lineRule="auto"/>
      </w:pPr>
      <w:r>
        <w:rPr>
          <w:rFonts w:ascii="Calibri" w:hAnsi="Calibri"/>
          <w:b/>
          <w:color w:val="12385B"/>
          <w:sz w:val="21"/>
        </w:rPr>
        <w:t xml:space="preserve">B: </w:t>
      </w:r>
      <w:r>
        <w:rPr>
          <w:rFonts w:ascii="Calibri" w:hAnsi="Calibri"/>
          <w:color w:val="1E2D38"/>
          <w:sz w:val="21"/>
        </w:rPr>
        <w:t>Single-outcome trap. Reduced substance use does not erase increased fear, missed medical care, or unreviewed goals.</w:t>
      </w:r>
    </w:p>
    <w:p>
      <w:pPr>
        <w:keepLines/>
        <w:spacing w:after="100" w:line="283" w:lineRule="auto"/>
      </w:pPr>
      <w:r>
        <w:rPr>
          <w:rFonts w:ascii="Calibri" w:hAnsi="Calibri"/>
          <w:b/>
          <w:color w:val="12385B"/>
          <w:sz w:val="21"/>
        </w:rPr>
        <w:t xml:space="preserve">C: </w:t>
      </w:r>
      <w:r>
        <w:rPr>
          <w:rFonts w:ascii="Calibri" w:hAnsi="Calibri"/>
          <w:color w:val="1E2D38"/>
          <w:sz w:val="21"/>
        </w:rPr>
        <w:t>Data suppression. Excluding a conflicting report discards possible safety, alliance, or adverse-effect information.</w:t>
      </w:r>
    </w:p>
    <w:p>
      <w:pPr>
        <w:keepLines/>
        <w:spacing w:after="100" w:line="283" w:lineRule="auto"/>
      </w:pPr>
      <w:r>
        <w:rPr>
          <w:rFonts w:ascii="Calibri" w:hAnsi="Calibri"/>
          <w:b/>
          <w:color w:val="12385B"/>
          <w:sz w:val="21"/>
        </w:rPr>
        <w:t xml:space="preserve">D: </w:t>
      </w:r>
      <w:r>
        <w:rPr>
          <w:rFonts w:ascii="Calibri" w:hAnsi="Calibri"/>
          <w:color w:val="1E2D38"/>
          <w:sz w:val="21"/>
        </w:rPr>
        <w:t>Service-accumulation trap. Adding care before clarifying barriers, roles, and nonresponse increases fragmentation.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Disaggregate outcomes and burdens; one improved measure cannot cancel safety, access, or alliance deterioration.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Review participant-level response, revise the hypothesis, and document why care will continue, adapt, change level, transfer, or end.</w:t>
            </w:r>
          </w:p>
        </w:tc>
      </w:tr>
    </w:tbl>
    <w:p>
      <w:pPr>
        <w:spacing w:after="20"/>
      </w:pPr>
    </w:p>
    <w:p>
      <w:pPr>
        <w:pStyle w:val="Heading2"/>
        <w:pageBreakBefore/>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 / D3 / D5</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Evaluate response and revise a nonresponsive complex-care plan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R10</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MOSAIC</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Controlled Remediation Supports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REVIEW SEQUENCE:  </w:t>
            </w:r>
            <w:r>
              <w:rPr>
                <w:rFonts w:ascii="Calibri" w:hAnsi="Calibri"/>
                <w:color w:val="1E2D38"/>
                <w:sz w:val="20"/>
              </w:rPr>
              <w:t>Use the reasoning-error profile, domain review, and low-confidence worksheet together. Remediate the decision rule—not only the item—and document the evidence that supports a retake.</w:t>
            </w:r>
          </w:p>
        </w:tc>
      </w:tr>
    </w:tbl>
    <w:p>
      <w:pPr>
        <w:spacing w:after="20"/>
      </w:pPr>
    </w:p>
    <w:p>
      <w:pPr>
        <w:pStyle w:val="Heading2"/>
        <w:pageBreakBefore/>
      </w:pPr>
      <w:r>
        <w:t>Reasoning-Error Code Profile</w:t>
      </w:r>
    </w:p>
    <w:tbl>
      <w:tblPr>
        <w:tblW w:type="dxa" w:w="9360"/>
        <w:jc w:val="center"/>
        <w:tblLayout w:type="fixed"/>
        <w:tblLook w:firstColumn="1" w:firstRow="1" w:lastColumn="0" w:lastRow="0" w:noHBand="0" w:noVBand="1" w:val="04A0"/>
        <w:tblInd w:w="0" w:type="dxa"/>
      </w:tblPr>
      <w:tblGrid>
        <w:gridCol w:w="720"/>
        <w:gridCol w:w="2300"/>
        <w:gridCol w:w="1200"/>
        <w:gridCol w:w="5140"/>
      </w:tblGrid>
      <w:tr>
        <w:trPr>
          <w:tblHeader w:val="true"/>
          <w:cantSplit/>
        </w:trPr>
        <w:tc>
          <w:tcPr>
            <w:tcW w:type="dxa" w:w="720"/>
            <w:shd w:fill="12385B"/>
            <w:tcMar>
              <w:top w:w="80" w:type="dxa"/>
              <w:start w:w="120" w:type="dxa"/>
              <w:bottom w:w="80" w:type="dxa"/>
              <w:end w:w="120" w:type="dxa"/>
            </w:tcMar>
            <w:vAlign w:val="center"/>
          </w:tcPr>
          <w:p>
            <w:pPr>
              <w:spacing w:after="0"/>
              <w:jc w:val="center"/>
            </w:pPr>
            <w:r/>
            <w:r>
              <w:rPr>
                <w:rFonts w:ascii="Calibri" w:hAnsi="Calibri"/>
                <w:b/>
                <w:color w:val="FFFFFF"/>
                <w:sz w:val="18"/>
              </w:rPr>
              <w:t>Code</w:t>
            </w:r>
          </w:p>
        </w:tc>
        <w:tc>
          <w:tcPr>
            <w:tcW w:type="dxa" w:w="2300"/>
            <w:shd w:fill="12385B"/>
            <w:tcMar>
              <w:top w:w="80" w:type="dxa"/>
              <w:start w:w="120" w:type="dxa"/>
              <w:bottom w:w="80" w:type="dxa"/>
              <w:end w:w="120" w:type="dxa"/>
            </w:tcMar>
            <w:vAlign w:val="center"/>
          </w:tcPr>
          <w:p>
            <w:pPr>
              <w:spacing w:after="0"/>
              <w:jc w:val="left"/>
            </w:pPr>
            <w:r/>
            <w:r>
              <w:rPr>
                <w:rFonts w:ascii="Calibri" w:hAnsi="Calibri"/>
                <w:b/>
                <w:color w:val="FFFFFF"/>
                <w:sz w:val="18"/>
              </w:rPr>
              <w:t>Reasoning pattern</w:t>
            </w:r>
          </w:p>
        </w:tc>
        <w:tc>
          <w:tcPr>
            <w:tcW w:type="dxa" w:w="1200"/>
            <w:shd w:fill="12385B"/>
            <w:tcMar>
              <w:top w:w="80" w:type="dxa"/>
              <w:start w:w="120" w:type="dxa"/>
              <w:bottom w:w="80" w:type="dxa"/>
              <w:end w:w="120" w:type="dxa"/>
            </w:tcMar>
            <w:vAlign w:val="center"/>
          </w:tcPr>
          <w:p>
            <w:pPr>
              <w:spacing w:after="0"/>
              <w:jc w:val="center"/>
            </w:pPr>
            <w:r/>
            <w:r>
              <w:rPr>
                <w:rFonts w:ascii="Calibri" w:hAnsi="Calibri"/>
                <w:b/>
                <w:color w:val="FFFFFF"/>
                <w:sz w:val="18"/>
              </w:rPr>
              <w:t>Bank items</w:t>
            </w:r>
          </w:p>
        </w:tc>
        <w:tc>
          <w:tcPr>
            <w:tcW w:type="dxa" w:w="5140"/>
            <w:shd w:fill="12385B"/>
            <w:tcMar>
              <w:top w:w="80" w:type="dxa"/>
              <w:start w:w="120" w:type="dxa"/>
              <w:bottom w:w="80" w:type="dxa"/>
              <w:end w:w="120" w:type="dxa"/>
            </w:tcMar>
            <w:vAlign w:val="center"/>
          </w:tcPr>
          <w:p>
            <w:pPr>
              <w:spacing w:after="0"/>
              <w:jc w:val="center"/>
            </w:pPr>
            <w:r/>
            <w:r>
              <w:rPr>
                <w:rFonts w:ascii="Calibri" w:hAnsi="Calibri"/>
                <w:b/>
                <w:color w:val="FFFFFF"/>
                <w:sz w:val="18"/>
              </w:rPr>
              <w:t>Repair action</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R1</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Single-cause / diagnostic-overshadowing trap</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1, 2</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Map interacting biological, relational, developmental, cultural, environmental, and structural factors before narrowing.</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R2</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Acuity or withdrawal miss</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4</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Assess intoxication, withdrawal, overdose, medical/psychiatric instability, and immediate level-of-care needs first.</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R3</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Recovery-path imposition</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5, 6</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Clarify goals, readiness, evidence, supports, and multiple recovery pathways without prescribing one identity or method.</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R4</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Sexuality assumption / competence drift</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7</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Use permission and client-defined language; assess consent, safety, context, medical factors, and referral needs.</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R5</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Medicalization, ableism, or access neglect</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9, 10</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Separate medical facts from assumptions, assess function and barriers, adapt access, and coordinate within role.</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R6</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Developmental or age-norm error</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11</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Locate the concern in development and family life cycle while assessing impairment, capacity, culture, risk, and supports.</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R7</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Grief pathologizing or risk bypass</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12</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Honor grief meaning and variation while assessing function, trauma, depression, prolonged grief, substance use, and suicide risk.</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R8</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Role, consent, or information-flow confusion</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3, 14, 16</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Identify the client, obtain permission, define each role, limit disclosure, document, and preserve continuity.</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R9</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Intervention before stabilization / wrong level of care</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8, 13, 15</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Address danger and participation capacity first; select, coordinate, and reassess appropriate care.</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R10</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Feedback, coordination, or documentation neglect</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17</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Track response and barriers, clarify ownership, document rationale, and continue, adapt, transition, or end.</w:t>
            </w:r>
          </w:p>
        </w:tc>
      </w:tr>
    </w:tbl>
    <w:p>
      <w:pPr>
        <w:spacing w:after="20"/>
      </w:pPr>
    </w:p>
    <w:p>
      <w:pPr>
        <w:pStyle w:val="Heading2"/>
        <w:pageBreakBefore/>
      </w:pPr>
      <w:r>
        <w:t>Domain and Confidence Review</w:t>
      </w:r>
    </w:p>
    <w:tbl>
      <w:tblPr>
        <w:tblW w:type="dxa" w:w="9360"/>
        <w:jc w:val="center"/>
        <w:tblLayout w:type="fixed"/>
        <w:tblLook w:firstColumn="1" w:firstRow="1" w:lastColumn="0" w:lastRow="0" w:noHBand="0" w:noVBand="1" w:val="04A0"/>
        <w:tblInd w:w="0" w:type="dxa"/>
      </w:tblPr>
      <w:tblGrid>
        <w:gridCol w:w="4200"/>
        <w:gridCol w:w="1420"/>
        <w:gridCol w:w="1440"/>
        <w:gridCol w:w="2300"/>
      </w:tblGrid>
      <w:tr>
        <w:trPr>
          <w:tblHeader w:val="true"/>
          <w:cantSplit/>
        </w:trPr>
        <w:tc>
          <w:tcPr>
            <w:tcW w:type="dxa" w:w="4200"/>
            <w:shd w:fill="12385B"/>
            <w:tcMar>
              <w:top w:w="80" w:type="dxa"/>
              <w:start w:w="120" w:type="dxa"/>
              <w:bottom w:w="80" w:type="dxa"/>
              <w:end w:w="120" w:type="dxa"/>
            </w:tcMar>
            <w:vAlign w:val="center"/>
          </w:tcPr>
          <w:p>
            <w:pPr>
              <w:spacing w:after="0"/>
              <w:jc w:val="center"/>
            </w:pPr>
            <w:r/>
            <w:r>
              <w:rPr>
                <w:rFonts w:ascii="Calibri" w:hAnsi="Calibri"/>
                <w:b/>
                <w:color w:val="FFFFFF"/>
                <w:sz w:val="18"/>
              </w:rPr>
              <w:t>Primary domain</w:t>
            </w:r>
          </w:p>
        </w:tc>
        <w:tc>
          <w:tcPr>
            <w:tcW w:type="dxa" w:w="1420"/>
            <w:shd w:fill="12385B"/>
            <w:tcMar>
              <w:top w:w="80" w:type="dxa"/>
              <w:start w:w="120" w:type="dxa"/>
              <w:bottom w:w="80" w:type="dxa"/>
              <w:end w:w="120" w:type="dxa"/>
            </w:tcMar>
            <w:vAlign w:val="center"/>
          </w:tcPr>
          <w:p>
            <w:pPr>
              <w:spacing w:after="0"/>
              <w:jc w:val="center"/>
            </w:pPr>
            <w:r/>
            <w:r>
              <w:rPr>
                <w:rFonts w:ascii="Calibri" w:hAnsi="Calibri"/>
                <w:b/>
                <w:color w:val="FFFFFF"/>
                <w:sz w:val="18"/>
              </w:rPr>
              <w:t>Items</w:t>
            </w:r>
          </w:p>
        </w:tc>
        <w:tc>
          <w:tcPr>
            <w:tcW w:type="dxa" w:w="1440"/>
            <w:shd w:fill="12385B"/>
            <w:tcMar>
              <w:top w:w="80" w:type="dxa"/>
              <w:start w:w="120" w:type="dxa"/>
              <w:bottom w:w="80" w:type="dxa"/>
              <w:end w:w="120" w:type="dxa"/>
            </w:tcMar>
            <w:vAlign w:val="center"/>
          </w:tcPr>
          <w:p>
            <w:pPr>
              <w:spacing w:after="0"/>
              <w:jc w:val="center"/>
            </w:pPr>
            <w:r/>
            <w:r>
              <w:rPr>
                <w:rFonts w:ascii="Calibri" w:hAnsi="Calibri"/>
                <w:b/>
                <w:color w:val="FFFFFF"/>
                <w:sz w:val="18"/>
              </w:rPr>
              <w:t>Correct</w:t>
            </w:r>
          </w:p>
        </w:tc>
        <w:tc>
          <w:tcPr>
            <w:tcW w:type="dxa" w:w="2300"/>
            <w:shd w:fill="12385B"/>
            <w:tcMar>
              <w:top w:w="80" w:type="dxa"/>
              <w:start w:w="120" w:type="dxa"/>
              <w:bottom w:w="80" w:type="dxa"/>
              <w:end w:w="120" w:type="dxa"/>
            </w:tcMar>
            <w:vAlign w:val="center"/>
          </w:tcPr>
          <w:p>
            <w:pPr>
              <w:spacing w:after="0"/>
              <w:jc w:val="left"/>
            </w:pPr>
            <w:r/>
            <w:r>
              <w:rPr>
                <w:rFonts w:ascii="Calibri" w:hAnsi="Calibri"/>
                <w:b/>
                <w:color w:val="FFFFFF"/>
                <w:sz w:val="18"/>
              </w:rPr>
              <w:t>Review priority</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D1 - Practice of Systemic Therapy</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3</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1</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shd w:fill="F8FAFC"/>
          </w:tcPr>
          <w:p>
            <w:pPr>
              <w:spacing w:after="0" w:line="259" w:lineRule="auto"/>
            </w:pPr>
            <w:r/>
            <w:r>
              <w:rPr>
                <w:rFonts w:ascii="Calibri" w:hAnsi="Calibri"/>
                <w:color w:val="1E2D38"/>
                <w:sz w:val="16"/>
              </w:rPr>
              <w:t>D2 - Assessing, Hypothesizing, Diagnosing</w:t>
            </w:r>
          </w:p>
        </w:tc>
        <w:tc>
          <w:tcPr>
            <w:tcW w:type="dxa" w:w="1420"/>
            <w:tcMar>
              <w:top w:w="80" w:type="dxa"/>
              <w:start w:w="120" w:type="dxa"/>
              <w:bottom w:w="80" w:type="dxa"/>
              <w:end w:w="120" w:type="dxa"/>
            </w:tcMar>
            <w:vAlign w:val="center"/>
            <w:shd w:fill="F8FAFC"/>
          </w:tcPr>
          <w:p>
            <w:pPr>
              <w:spacing w:after="0" w:line="259" w:lineRule="auto"/>
            </w:pPr>
            <w:r/>
            <w:r>
              <w:rPr>
                <w:rFonts w:ascii="Calibri" w:hAnsi="Calibri"/>
                <w:color w:val="1E2D38"/>
                <w:sz w:val="16"/>
              </w:rPr>
              <w:t>1, 2, 5, 7, 10, 12</w:t>
            </w:r>
          </w:p>
        </w:tc>
        <w:tc>
          <w:tcPr>
            <w:tcW w:type="dxa" w:w="144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 / 6</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D3 - Designing and Conducting Treatment</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6, 9, 11, 15, 16</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5</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shd w:fill="F8FAFC"/>
          </w:tcPr>
          <w:p>
            <w:pPr>
              <w:spacing w:after="0" w:line="259" w:lineRule="auto"/>
            </w:pPr>
            <w:r/>
            <w:r>
              <w:rPr>
                <w:rFonts w:ascii="Calibri" w:hAnsi="Calibri"/>
                <w:color w:val="1E2D38"/>
                <w:sz w:val="16"/>
              </w:rPr>
              <w:t>D4 - Evaluating Ongoing Process and Terminating</w:t>
            </w:r>
          </w:p>
        </w:tc>
        <w:tc>
          <w:tcPr>
            <w:tcW w:type="dxa" w:w="1420"/>
            <w:tcMar>
              <w:top w:w="80" w:type="dxa"/>
              <w:start w:w="120" w:type="dxa"/>
              <w:bottom w:w="80" w:type="dxa"/>
              <w:end w:w="120" w:type="dxa"/>
            </w:tcMar>
            <w:vAlign w:val="center"/>
            <w:shd w:fill="F8FAFC"/>
          </w:tcPr>
          <w:p>
            <w:pPr>
              <w:spacing w:after="0" w:line="259" w:lineRule="auto"/>
            </w:pPr>
            <w:r/>
            <w:r>
              <w:rPr>
                <w:rFonts w:ascii="Calibri" w:hAnsi="Calibri"/>
                <w:color w:val="1E2D38"/>
                <w:sz w:val="16"/>
              </w:rPr>
              <w:t>17</w:t>
            </w:r>
          </w:p>
        </w:tc>
        <w:tc>
          <w:tcPr>
            <w:tcW w:type="dxa" w:w="144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 / 1</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D5 - Managing Crisis Situations</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4, 8, 13</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3</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shd w:fill="F8FAFC"/>
          </w:tcPr>
          <w:p>
            <w:pPr>
              <w:spacing w:after="0" w:line="259" w:lineRule="auto"/>
            </w:pPr>
            <w:r/>
            <w:r>
              <w:rPr>
                <w:rFonts w:ascii="Calibri" w:hAnsi="Calibri"/>
                <w:color w:val="1E2D38"/>
                <w:sz w:val="16"/>
              </w:rPr>
              <w:t>D6 - Ethical, Legal, Professional Standards</w:t>
            </w:r>
          </w:p>
        </w:tc>
        <w:tc>
          <w:tcPr>
            <w:tcW w:type="dxa" w:w="1420"/>
            <w:tcMar>
              <w:top w:w="80" w:type="dxa"/>
              <w:start w:w="120" w:type="dxa"/>
              <w:bottom w:w="80" w:type="dxa"/>
              <w:end w:w="120" w:type="dxa"/>
            </w:tcMar>
            <w:vAlign w:val="center"/>
            <w:shd w:fill="F8FAFC"/>
          </w:tcPr>
          <w:p>
            <w:pPr>
              <w:spacing w:after="0" w:line="259" w:lineRule="auto"/>
            </w:pPr>
            <w:r/>
            <w:r>
              <w:rPr>
                <w:rFonts w:ascii="Calibri" w:hAnsi="Calibri"/>
                <w:color w:val="1E2D38"/>
                <w:sz w:val="16"/>
              </w:rPr>
              <w:t>14</w:t>
            </w:r>
          </w:p>
        </w:tc>
        <w:tc>
          <w:tcPr>
            <w:tcW w:type="dxa" w:w="144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 / 1</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____________________________</w:t>
            </w:r>
          </w:p>
        </w:tc>
      </w:tr>
    </w:tbl>
    <w:p>
      <w:pPr>
        <w:spacing w:after="20"/>
      </w:pPr>
    </w:p>
    <w:p>
      <w:pPr>
        <w:pStyle w:val="Heading2"/>
        <w:pageBreakBefore/>
      </w:pPr>
      <w:r>
        <w:t>Low-Confidence and Missed-Item Review</w:t>
      </w:r>
    </w:p>
    <w:tbl>
      <w:tblPr>
        <w:tblW w:type="dxa" w:w="9360"/>
        <w:jc w:val="center"/>
        <w:tblLayout w:type="fixed"/>
        <w:tblLook w:firstColumn="1" w:firstRow="1" w:lastColumn="0" w:lastRow="0" w:noHBand="0" w:noVBand="1" w:val="04A0"/>
        <w:tblInd w:w="0" w:type="dxa"/>
      </w:tblPr>
      <w:tblGrid>
        <w:gridCol w:w="720"/>
        <w:gridCol w:w="1700"/>
        <w:gridCol w:w="1200"/>
        <w:gridCol w:w="2790"/>
        <w:gridCol w:w="2950"/>
      </w:tblGrid>
      <w:tr>
        <w:trPr>
          <w:tblHeader w:val="true"/>
          <w:cantSplit/>
        </w:trPr>
        <w:tc>
          <w:tcPr>
            <w:tcW w:type="dxa" w:w="720"/>
            <w:shd w:fill="12385B"/>
            <w:tcMar>
              <w:top w:w="80" w:type="dxa"/>
              <w:start w:w="120" w:type="dxa"/>
              <w:bottom w:w="80" w:type="dxa"/>
              <w:end w:w="120" w:type="dxa"/>
            </w:tcMar>
            <w:vAlign w:val="center"/>
          </w:tcPr>
          <w:p>
            <w:pPr>
              <w:spacing w:after="0"/>
              <w:jc w:val="center"/>
            </w:pPr>
            <w:r/>
            <w:r>
              <w:rPr>
                <w:rFonts w:ascii="Calibri" w:hAnsi="Calibri"/>
                <w:b/>
                <w:color w:val="FFFFFF"/>
                <w:sz w:val="18"/>
              </w:rPr>
              <w:t>Item</w:t>
            </w:r>
          </w:p>
        </w:tc>
        <w:tc>
          <w:tcPr>
            <w:tcW w:type="dxa" w:w="1700"/>
            <w:shd w:fill="12385B"/>
            <w:tcMar>
              <w:top w:w="80" w:type="dxa"/>
              <w:start w:w="120" w:type="dxa"/>
              <w:bottom w:w="80" w:type="dxa"/>
              <w:end w:w="120" w:type="dxa"/>
            </w:tcMar>
            <w:vAlign w:val="center"/>
          </w:tcPr>
          <w:p>
            <w:pPr>
              <w:spacing w:after="0"/>
              <w:jc w:val="left"/>
            </w:pPr>
            <w:r/>
            <w:r>
              <w:rPr>
                <w:rFonts w:ascii="Calibri" w:hAnsi="Calibri"/>
                <w:b/>
                <w:color w:val="FFFFFF"/>
                <w:sz w:val="18"/>
              </w:rPr>
              <w:t>Result / confidence</w:t>
            </w:r>
          </w:p>
        </w:tc>
        <w:tc>
          <w:tcPr>
            <w:tcW w:type="dxa" w:w="1200"/>
            <w:shd w:fill="12385B"/>
            <w:tcMar>
              <w:top w:w="80" w:type="dxa"/>
              <w:start w:w="120" w:type="dxa"/>
              <w:bottom w:w="80" w:type="dxa"/>
              <w:end w:w="120" w:type="dxa"/>
            </w:tcMar>
            <w:vAlign w:val="center"/>
          </w:tcPr>
          <w:p>
            <w:pPr>
              <w:spacing w:after="0"/>
              <w:jc w:val="center"/>
            </w:pPr>
            <w:r/>
            <w:r>
              <w:rPr>
                <w:rFonts w:ascii="Calibri" w:hAnsi="Calibri"/>
                <w:b/>
                <w:color w:val="FFFFFF"/>
                <w:sz w:val="18"/>
              </w:rPr>
              <w:t>Error code</w:t>
            </w:r>
          </w:p>
        </w:tc>
        <w:tc>
          <w:tcPr>
            <w:tcW w:type="dxa" w:w="2790"/>
            <w:shd w:fill="12385B"/>
            <w:tcMar>
              <w:top w:w="80" w:type="dxa"/>
              <w:start w:w="120" w:type="dxa"/>
              <w:bottom w:w="80" w:type="dxa"/>
              <w:end w:w="120" w:type="dxa"/>
            </w:tcMar>
            <w:vAlign w:val="center"/>
          </w:tcPr>
          <w:p>
            <w:pPr>
              <w:spacing w:after="0"/>
              <w:jc w:val="left"/>
            </w:pPr>
            <w:r/>
            <w:r>
              <w:rPr>
                <w:rFonts w:ascii="Calibri" w:hAnsi="Calibri"/>
                <w:b/>
                <w:color w:val="FFFFFF"/>
                <w:sz w:val="18"/>
              </w:rPr>
              <w:t>Why my option failed</w:t>
            </w:r>
          </w:p>
        </w:tc>
        <w:tc>
          <w:tcPr>
            <w:tcW w:type="dxa" w:w="2950"/>
            <w:shd w:fill="12385B"/>
            <w:tcMar>
              <w:top w:w="80" w:type="dxa"/>
              <w:start w:w="120" w:type="dxa"/>
              <w:bottom w:w="80" w:type="dxa"/>
              <w:end w:w="120" w:type="dxa"/>
            </w:tcMar>
            <w:vAlign w:val="center"/>
          </w:tcPr>
          <w:p>
            <w:pPr>
              <w:spacing w:after="0"/>
              <w:jc w:val="center"/>
            </w:pPr>
            <w:r/>
            <w:r>
              <w:rPr>
                <w:rFonts w:ascii="Calibri" w:hAnsi="Calibri"/>
                <w:b/>
                <w:color w:val="FFFFFF"/>
                <w:sz w:val="18"/>
              </w:rPr>
              <w:t>Transfer rule</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bl>
    <w:p>
      <w:pPr>
        <w:spacing w:after="20"/>
      </w:pPr>
    </w:p>
    <w:p>
      <w:pPr>
        <w:pStyle w:val="Heading2"/>
      </w:pPr>
      <w:r>
        <w:t>Readiness and Retake Plan</w:t>
      </w:r>
    </w:p>
    <w:p>
      <w:pPr>
        <w:spacing w:after="40"/>
      </w:pPr>
      <w:r>
        <w:rPr>
          <w:rFonts w:ascii="Calibri" w:hAnsi="Calibri"/>
          <w:b/>
          <w:color w:val="12385B"/>
          <w:sz w:val="21"/>
        </w:rPr>
        <w:t>Items requiring review:</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Most frequent reasoning pattern:</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Workbook chapter and CTA tool to revisit:</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One repair rule I can explain without notes:</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Practice action before retake:</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Evidence that I understand why each distractor fails:</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Retake date and time limit:</w:t>
      </w:r>
    </w:p>
    <w:p>
      <w:pPr>
        <w:spacing w:after="160"/>
      </w:pPr>
      <w:r>
        <w:rPr>
          <w:rFonts w:ascii="Calibri" w:hAnsi="Calibri"/>
          <w:color w:val="5A6872"/>
          <w:sz w:val="20"/>
        </w:rPr>
        <w:t>______________________________________________________________________________</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READINESS GATE:  </w:t>
            </w:r>
            <w:r>
              <w:rPr>
                <w:rFonts w:ascii="Calibri" w:hAnsi="Calibri"/>
                <w:color w:val="1E2D38"/>
                <w:sz w:val="20"/>
              </w:rPr>
              <w:t>Do not rely on score alone. Before retaking, the learner should identify the controlling decision point, name acuity or level-of-care cues, explain why the keyed action comes first, describe every distractor defect, and state a transferable repair rule for each missed or low-confidence item.</w:t>
            </w:r>
          </w:p>
        </w:tc>
      </w:tr>
    </w:tbl>
    <w:p>
      <w:pPr>
        <w:spacing w:after="20"/>
      </w:pPr>
    </w:p>
    <w:p>
      <w:pPr>
        <w:pStyle w:val="Heading1"/>
      </w:pPr>
      <w:r>
        <w:t>Current Official Sources and Control Notices</w:t>
      </w:r>
    </w:p>
    <w:p>
      <w:pPr>
        <w:keepLines w:val="0"/>
        <w:spacing w:after="100" w:line="283" w:lineRule="auto"/>
      </w:pPr>
      <w:r>
        <w:rPr>
          <w:rFonts w:ascii="Calibri" w:hAnsi="Calibri"/>
          <w:b/>
          <w:color w:val="12385B"/>
          <w:sz w:val="21"/>
        </w:rPr>
        <w:t xml:space="preserve">Source-control date: </w:t>
      </w:r>
      <w:r>
        <w:rPr>
          <w:rFonts w:ascii="Calibri" w:hAnsi="Calibri"/>
          <w:color w:val="1E2D38"/>
          <w:sz w:val="21"/>
        </w:rPr>
        <w:t>Verified August 2, 2026. Examination specifications, clinical standards, diagnostic criteria, and jurisdictional requirements can change.</w:t>
      </w:r>
    </w:p>
    <w:p>
      <w:pPr>
        <w:spacing w:after="160"/>
      </w:pPr>
      <w:hyperlink r:id="rId14">
        <w:r>
          <w:rPr>
            <w:color w:val="13A6A6"/>
            <w:u w:val="single"/>
          </w:rPr>
          <w:t>AMFTRB Exam Reference</w:t>
        </w:r>
      </w:hyperlink>
      <w:r>
        <w:rPr>
          <w:rFonts w:ascii="Calibri" w:hAnsi="Calibri"/>
          <w:color w:val="1E2D38"/>
          <w:sz w:val="21"/>
        </w:rPr>
        <w:t xml:space="preserve"> - Official examination purpose, structure, security, candidate guidance, and current content-reference routing.</w:t>
      </w:r>
    </w:p>
    <w:p>
      <w:pPr>
        <w:spacing w:after="160"/>
      </w:pPr>
      <w:hyperlink r:id="rId15">
        <w:r>
          <w:rPr>
            <w:color w:val="13A6A6"/>
            <w:u w:val="single"/>
          </w:rPr>
          <w:t>AMFTRB Your National Exam Roadmap</w:t>
        </w:r>
      </w:hyperlink>
      <w:r>
        <w:rPr>
          <w:rFonts w:ascii="Calibri" w:hAnsi="Calibri"/>
          <w:color w:val="1E2D38"/>
          <w:sz w:val="21"/>
        </w:rPr>
        <w:t xml:space="preserve"> - Current candidate handbook and examination-preparation routing.</w:t>
      </w:r>
    </w:p>
    <w:p>
      <w:pPr>
        <w:spacing w:after="160"/>
      </w:pPr>
      <w:hyperlink r:id="rId16">
        <w:r>
          <w:rPr>
            <w:color w:val="13A6A6"/>
            <w:u w:val="single"/>
          </w:rPr>
          <w:t>AAMFT Code of Ethics</w:t>
        </w:r>
      </w:hyperlink>
      <w:r>
        <w:rPr>
          <w:rFonts w:ascii="Calibri" w:hAnsi="Calibri"/>
          <w:color w:val="1E2D38"/>
          <w:sz w:val="21"/>
        </w:rPr>
        <w:t xml:space="preserve"> - Revised code effective January 1, 2026, including informed consent, confidentiality, competence, coordination, referral, consultation, records, and nonabandonment principles.</w:t>
      </w:r>
    </w:p>
    <w:p>
      <w:pPr>
        <w:spacing w:after="160"/>
      </w:pPr>
      <w:hyperlink r:id="rId17">
        <w:r>
          <w:rPr>
            <w:color w:val="13A6A6"/>
            <w:u w:val="single"/>
          </w:rPr>
          <w:t>ASAM Criteria, Fourth Edition</w:t>
        </w:r>
      </w:hyperlink>
      <w:r>
        <w:rPr>
          <w:rFonts w:ascii="Calibri" w:hAnsi="Calibri"/>
          <w:color w:val="1E2D38"/>
          <w:sz w:val="21"/>
        </w:rPr>
        <w:t xml:space="preserve"> - Person-centered multidimensional assessment, individualized planning, and level-of-care framework for addiction treatment.</w:t>
      </w:r>
    </w:p>
    <w:p>
      <w:pPr>
        <w:spacing w:after="160"/>
      </w:pPr>
      <w:hyperlink r:id="rId18">
        <w:r>
          <w:rPr>
            <w:color w:val="13A6A6"/>
            <w:u w:val="single"/>
          </w:rPr>
          <w:t>SAMHSA Recovery and Support</w:t>
        </w:r>
      </w:hyperlink>
      <w:r>
        <w:rPr>
          <w:rFonts w:ascii="Calibri" w:hAnsi="Calibri"/>
          <w:color w:val="1E2D38"/>
          <w:sz w:val="21"/>
        </w:rPr>
        <w:t xml:space="preserve"> - Recovery-oriented care, multiple pathways, wellness, self-direction, and recovery supports.</w:t>
      </w:r>
    </w:p>
    <w:p>
      <w:pPr>
        <w:spacing w:after="160"/>
      </w:pPr>
      <w:hyperlink r:id="rId19">
        <w:r>
          <w:rPr>
            <w:color w:val="13A6A6"/>
            <w:u w:val="single"/>
          </w:rPr>
          <w:t>CDC Guide to Taking a Sexual History</w:t>
        </w:r>
      </w:hyperlink>
      <w:r>
        <w:rPr>
          <w:rFonts w:ascii="Calibri" w:hAnsi="Calibri"/>
          <w:color w:val="1E2D38"/>
          <w:sz w:val="21"/>
        </w:rPr>
        <w:t xml:space="preserve"> - Permission-based, nonjudgmental, behaviorally specific sexual-health inquiry.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OFFICIAL-SOURCE DISCLAIMER:  </w:t>
            </w:r>
            <w:r>
              <w:rPr>
                <w:rFonts w:ascii="Calibri" w:hAnsi="Calibri"/>
                <w:color w:val="1E2D38"/>
                <w:sz w:val="20"/>
              </w:rPr>
              <w:t>CTA is an independent educational resource and is not affiliated with or endorsed by AMFTRB, PTC, Prometric, AAMFT, ASAM, SAMHSA, CDC, HHS, or any licensing board. These are original CTA practice items, not live, recalled, leaked, retired, proprietary, or memorized examination content.</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12385B"/>
                <w:sz w:val="20"/>
              </w:rPr>
              <w:t xml:space="preserve">EDUCATIONAL USE AND OUTCOME NOTICE:  </w:t>
            </w:r>
            <w:r>
              <w:rPr>
                <w:rFonts w:ascii="Calibri" w:hAnsi="Calibri"/>
                <w:color w:val="1E2D38"/>
                <w:sz w:val="20"/>
              </w:rPr>
              <w:t>This file provides exam preparation only. It does not provide CE credit, legal advice, diagnosis, treatment, medical care, prescribing, withdrawal management, emergency services, supervision, or a substitute for current procedures and qualified consultation. Participation does not guarantee examination passage.</w:t>
            </w:r>
          </w:p>
        </w:tc>
      </w:tr>
    </w:tbl>
    <w:p>
      <w:pPr>
        <w:spacing w:after="20"/>
      </w:pPr>
    </w:p>
    <w:sectPr w:rsidR="00FC693F" w:rsidRPr="0006063C" w:rsidSect="00034616">
      <w:headerReference w:type="default" r:id="rId9"/>
      <w:footerReference w:type="default" r:id="rId10"/>
      <w:headerReference w:type="even"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872"/>
        <w:sz w:val="16"/>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872"/>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27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D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13A6A6"/>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238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line="264" w:lineRule="auto"/>
    </w:pPr>
    <w:rPr>
      <w:rFonts w:asciiTheme="majorHAnsi" w:eastAsiaTheme="majorEastAsia" w:hAnsiTheme="majorHAnsi" w:cstheme="majorBidi" w:ascii="Calibri" w:hAnsi="Calibri"/>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amftrb.org/exam-info/" TargetMode="External"/><Relationship Id="rId15" Type="http://schemas.openxmlformats.org/officeDocument/2006/relationships/hyperlink" Target="https://amftrb.org/your-exam-roadmap/" TargetMode="External"/><Relationship Id="rId16" Type="http://schemas.openxmlformats.org/officeDocument/2006/relationships/hyperlink" Target="https://www.aamft.org/AAMFT/web/Action-Advocacy/Code-of-Ethics-New.aspx" TargetMode="External"/><Relationship Id="rId17" Type="http://schemas.openxmlformats.org/officeDocument/2006/relationships/hyperlink" Target="https://www.asam.org/asam-criteria" TargetMode="External"/><Relationship Id="rId18" Type="http://schemas.openxmlformats.org/officeDocument/2006/relationships/hyperlink" Target="https://www.samhsa.gov/substance-use/recovery" TargetMode="External"/><Relationship Id="rId19" Type="http://schemas.openxmlformats.org/officeDocument/2006/relationships/hyperlink" Target="https://www.cdc.gov/sti/hcp/clinical-guidance/taking-a-sexual-hist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9 Controlled Answer Key and Detailed Rationales</dc:title>
  <dc:subject>Controlled option-by-option rationales for original CTA Workbook 9 exam-preparation items; no CE credit</dc:subject>
  <dc:creator>Clinical Training &amp; Supervision Academy</dc:creator>
  <cp:keywords>LMFT, AMFTRB, exam preparation, complex presentations, substance use, recovery, sexuality, health, development, grief, integrated care, controlled answer key</cp:keywords>
  <dc:description>Release only after the learner completes and records the first timed attempt.</dc:description>
  <cp:lastModifiedBy/>
  <cp:revision>1</cp:revision>
  <dcterms:created xsi:type="dcterms:W3CDTF">2013-12-23T23:15:00Z</dcterms:created>
  <dcterms:modified xsi:type="dcterms:W3CDTF">2013-12-23T23:15:00Z</dcterms:modified>
  <cp:category/>
</cp:coreProperties>
</file>