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5349240" cy="1353312"/>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3"/>
                    <a:srcRect l="20437" t="39712" r="23347" b="39615"/>
                    <a:stretch>
                      <a:fillRect/>
                    </a:stretch>
                  </pic:blipFill>
                  <pic:spPr>
                    <a:xfrm>
                      <a:off x="0" y="0"/>
                      <a:ext cx="5349240" cy="1353312"/>
                    </a:xfrm>
                    <a:prstGeom prst="rect"/>
                  </pic:spPr>
                </pic:pic>
              </a:graphicData>
            </a:graphic>
          </wp:inline>
        </w:drawing>
      </w:r>
    </w:p>
    <w:p>
      <w:pPr>
        <w:spacing w:after="20"/>
        <w:jc w:val="center"/>
      </w:pPr>
      <w:r>
        <w:rPr>
          <w:rFonts w:ascii="Calibri" w:hAnsi="Calibri" w:eastAsia="Calibri"/>
          <w:b/>
          <w:color w:val="10A7A0"/>
          <w:sz w:val="28"/>
        </w:rPr>
        <w:t>CTA LMFT AMFTRB</w:t>
      </w:r>
    </w:p>
    <w:p>
      <w:pPr>
        <w:spacing w:after="260"/>
        <w:jc w:val="center"/>
      </w:pPr>
      <w:r>
        <w:rPr>
          <w:rFonts w:ascii="Calibri" w:hAnsi="Calibri" w:eastAsia="Calibri"/>
          <w:b/>
          <w:color w:val="0B2D5C"/>
          <w:sz w:val="20"/>
        </w:rPr>
        <w:t>NATIONAL EXAM PREPARATION PROGRAM</w:t>
      </w:r>
    </w:p>
    <w:p>
      <w:pPr>
        <w:pStyle w:val="Title"/>
        <w:jc w:val="center"/>
      </w:pPr>
      <w:r>
        <w:t>Checkpoint 2</w:t>
      </w:r>
    </w:p>
    <w:p>
      <w:pPr>
        <w:pStyle w:val="Subtitle"/>
        <w:jc w:val="center"/>
      </w:pPr>
      <w:r>
        <w:t>Domain Performance Report</w:t>
      </w:r>
    </w:p>
    <w:p>
      <w:pPr>
        <w:spacing w:after="260"/>
        <w:jc w:val="center"/>
      </w:pPr>
      <w:r>
        <w:rPr>
          <w:rFonts w:ascii="Calibri" w:hAnsi="Calibri" w:eastAsia="Calibri"/>
          <w:color w:val="66717A"/>
          <w:sz w:val="17"/>
        </w:rPr>
        <w:t>60 scored practice items | 80 minutes | Version 1.0 | August 4, 2026</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RELEASE CONDITION: </w:t>
      </w:r>
      <w:r>
        <w:rPr>
          <w:rFonts w:ascii="Calibri" w:hAnsi="Calibri" w:eastAsia="Calibri"/>
          <w:color w:val="1F2933"/>
          <w:sz w:val="18"/>
        </w:rPr>
        <w:t>Use only after the learner has submitted and preserved the first 60-item, 80-minute Checkpoint 2 attempt. The answer-hidden candidate form and controlled rationales remain separate access-controlled artifacts.</w:t>
      </w:r>
    </w:p>
    <w:p>
      <w:pPr>
        <w:spacing w:before="80" w:after="140" w:line="259" w:lineRule="auto"/>
        <w:ind w:left="144" w:right="58"/>
        <w:shd w:fill="E7F7F5"/>
        <w:pBdr>
          <w:left w:val="single" w:sz="12" w:space="6" w:color="10A7A0"/>
        </w:pBdr>
      </w:pPr>
      <w:r>
        <w:rPr>
          <w:rFonts w:ascii="Calibri" w:hAnsi="Calibri" w:eastAsia="Calibri"/>
          <w:b/>
          <w:color w:val="0B2D5C"/>
          <w:sz w:val="18"/>
        </w:rPr>
        <w:t xml:space="preserve">PROGRAM STATUS: </w:t>
      </w:r>
      <w:r>
        <w:rPr>
          <w:rFonts w:ascii="Calibri" w:hAnsi="Calibri" w:eastAsia="Calibri"/>
          <w:color w:val="1F2933"/>
          <w:sz w:val="18"/>
        </w:rPr>
        <w:t>Independent national AMFTRB examination preparation. This resource provides no continuing-education credit and does not predict, convert, or guarantee an official examination result.</w:t>
      </w:r>
    </w:p>
    <w:p>
      <w:r>
        <w:br w:type="page"/>
      </w:r>
    </w:p>
    <w:p>
      <w:pPr>
        <w:pStyle w:val="Heading1"/>
      </w:pPr>
      <w:r>
        <w:t>How to Complete This Report</w:t>
      </w:r>
    </w:p>
    <w:p>
      <w:pPr>
        <w:pStyle w:val="ListNumber"/>
        <w:keepLines/>
        <w:spacing w:after="100"/>
      </w:pPr>
      <w:r>
        <w:t>Preserve the first-attempt answer record, completion time, unanswered count, interruptions, and confidence ratings before reviewing any answer or rationale.</w:t>
      </w:r>
    </w:p>
    <w:p>
      <w:pPr>
        <w:pStyle w:val="ListNumber"/>
        <w:keepLines/>
        <w:spacing w:after="100"/>
      </w:pPr>
      <w:r>
        <w:t>After submission, use the authorized Checkpoint 2 scoring output and controlled rationales to enter the raw total, six-domain profile, confidence pattern, and reasoning-error counts.</w:t>
      </w:r>
    </w:p>
    <w:p>
      <w:pPr>
        <w:pStyle w:val="ListNumber"/>
        <w:keepLines/>
        <w:spacing w:after="100"/>
      </w:pPr>
      <w:r>
        <w:t>Review every incorrect response and every correct response rated confidence 1 or 2. A low-confidence correct answer remains a remediation target when the reasoning is unstable.</w:t>
      </w:r>
    </w:p>
    <w:p>
      <w:pPr>
        <w:pStyle w:val="ListNumber"/>
        <w:keepLines/>
        <w:spacing w:after="100"/>
      </w:pPr>
      <w:r>
        <w:t>Transfer the resulting priorities into the separate Required Remediation Workbook and Workbook 9 Progression Gate. Workbook 9 remains locked until the written evidence is completed and authorized.</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NO FIXED PASSING THRESHOLD: </w:t>
      </w:r>
      <w:r>
        <w:rPr>
          <w:rFonts w:ascii="Calibri" w:hAnsi="Calibri" w:eastAsia="Calibri"/>
          <w:color w:val="1F2933"/>
          <w:sz w:val="18"/>
        </w:rPr>
        <w:t>Record raw CTA practice performance only. Do not convert this score to an official AMFTRB scaled score, infer a guaranteed raw passing score, or treat one percentage as automatic readiness.</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Checkpoint 2 attempt date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Report completion 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Reviewer, if applicable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r>
        <w:br w:type="page"/>
      </w:r>
    </w:p>
    <w:p>
      <w:pPr>
        <w:pStyle w:val="Heading1"/>
      </w:pPr>
      <w:r>
        <w:t>First-Attempt Integrity and Session Record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Start / end time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 / 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Total time used</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 minutes of 80</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Items answered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60</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Unanswered items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Raw total correct</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60</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Incorrect items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Correct at confidence 1-2</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Interruptions or unusual conditions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pStyle w:val="Heading2"/>
      </w:pPr>
      <w:r>
        <w:t>First-attempt integrity check</w:t>
      </w:r>
    </w:p>
    <w:p>
      <w:pPr>
        <w:keepLines/>
        <w:spacing w:after="60"/>
        <w:ind w:left="288" w:hanging="288"/>
      </w:pPr>
      <w:r>
        <w:t>☐ I completed the attempt before opening the answer key or rationales.</w:t>
      </w:r>
    </w:p>
    <w:p>
      <w:pPr>
        <w:keepLines/>
        <w:spacing w:after="60"/>
        <w:ind w:left="288" w:hanging="288"/>
      </w:pPr>
      <w:r>
        <w:t>☐ The recorded answer set is my first submitted response set.</w:t>
      </w:r>
    </w:p>
    <w:p>
      <w:pPr>
        <w:keepLines/>
        <w:spacing w:after="60"/>
        <w:ind w:left="288" w:hanging="288"/>
      </w:pPr>
      <w:r>
        <w:t>☐ I recorded interruptions, accommodations, or environmental conditions that materially affected performance.</w:t>
      </w:r>
    </w:p>
    <w:p>
      <w:pPr>
        <w:keepLines/>
        <w:spacing w:after="60"/>
        <w:ind w:left="288" w:hanging="288"/>
      </w:pPr>
      <w:r>
        <w:t>☐ I did not use recalled or shared live-examination items.</w:t>
      </w:r>
    </w:p>
    <w:p>
      <w:pPr>
        <w:spacing w:before="80" w:after="140" w:line="259" w:lineRule="auto"/>
        <w:ind w:left="144" w:right="58"/>
        <w:shd w:fill="EAF1F8"/>
        <w:pBdr>
          <w:left w:val="single" w:sz="12" w:space="6" w:color="10A7A0"/>
        </w:pBdr>
      </w:pPr>
      <w:r>
        <w:rPr>
          <w:rFonts w:ascii="Calibri" w:hAnsi="Calibri" w:eastAsia="Calibri"/>
          <w:b/>
          <w:color w:val="0B2D5C"/>
          <w:sz w:val="18"/>
        </w:rPr>
        <w:t xml:space="preserve">INTERPRETATION NOTE: </w:t>
      </w:r>
      <w:r>
        <w:rPr>
          <w:rFonts w:ascii="Calibri" w:hAnsi="Calibri" w:eastAsia="Calibri"/>
          <w:color w:val="1F2933"/>
          <w:sz w:val="18"/>
        </w:rPr>
        <w:t>An interrupted or nonstandard attempt may still identify learning needs, but it should not be treated as equivalent to a clean full-condition simulation.</w:t>
      </w:r>
    </w:p>
    <w:p>
      <w:r>
        <w:br w:type="page"/>
      </w:r>
    </w:p>
    <w:p>
      <w:pPr>
        <w:pStyle w:val="Heading1"/>
      </w:pPr>
      <w:r>
        <w:t>Six-Domain Performance Profile</w:t>
      </w:r>
    </w:p>
    <w:p>
      <w:r>
        <w:t>Enter the raw domain results supplied by the authorized scoring record. Do not reconstruct protected item-to-domain mappings from the learner assessment.</w:t>
      </w:r>
    </w:p>
    <w:tbl>
      <w:tblPr>
        <w:tblStyle w:val="TableGrid"/>
        <w:tblW w:type="dxa" w:w="9240"/>
        <w:jc w:val="left"/>
        <w:tblLayout w:type="fixed"/>
        <w:tblLook w:firstColumn="1" w:firstRow="1" w:lastColumn="0" w:lastRow="0" w:noHBand="0" w:noVBand="1" w:val="04A0"/>
        <w:tblInd w:w="120" w:type="dxa"/>
      </w:tblPr>
      <w:tblGrid>
        <w:gridCol w:w="650"/>
        <w:gridCol w:w="3300"/>
        <w:gridCol w:w="600"/>
        <w:gridCol w:w="650"/>
        <w:gridCol w:w="650"/>
        <w:gridCol w:w="1100"/>
        <w:gridCol w:w="229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Domain</w:t>
            </w:r>
          </w:p>
        </w:tc>
        <w:tc>
          <w:tcPr>
            <w:tcW w:type="dxa" w:w="3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Practice domain</w:t>
            </w:r>
          </w:p>
        </w:tc>
        <w:tc>
          <w:tcPr>
            <w:tcW w:type="dxa" w:w="6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Max</w:t>
            </w:r>
          </w:p>
        </w:tc>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Raw</w:t>
            </w:r>
          </w:p>
        </w:tc>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w:t>
            </w:r>
          </w:p>
        </w:tc>
        <w:tc>
          <w:tcPr>
            <w:tcW w:type="dxa" w:w="1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Low-conf. correct</w:t>
            </w:r>
          </w:p>
        </w:tc>
        <w:tc>
          <w:tcPr>
            <w:tcW w:type="dxa" w:w="229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Priority</w:t>
            </w:r>
          </w:p>
        </w:tc>
      </w:tr>
      <w:tr>
        <w:trPr>
          <w:cantSplit/>
        </w:trPr>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D1</w:t>
            </w:r>
          </w:p>
        </w:tc>
        <w:tc>
          <w:tcPr>
            <w:tcW w:type="dxa" w:w="3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Practice of Systemic Therapy</w:t>
            </w:r>
          </w:p>
        </w:tc>
        <w:tc>
          <w:tcPr>
            <w:tcW w:type="dxa" w:w="6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10</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D2</w:t>
            </w:r>
          </w:p>
        </w:tc>
        <w:tc>
          <w:tcPr>
            <w:tcW w:type="dxa" w:w="3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Assessing, Hypothesizing, and Diagnosing</w:t>
            </w:r>
          </w:p>
        </w:tc>
        <w:tc>
          <w:tcPr>
            <w:tcW w:type="dxa" w:w="6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10</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D3</w:t>
            </w:r>
          </w:p>
        </w:tc>
        <w:tc>
          <w:tcPr>
            <w:tcW w:type="dxa" w:w="3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Designing and Conducting Treatment</w:t>
            </w:r>
          </w:p>
        </w:tc>
        <w:tc>
          <w:tcPr>
            <w:tcW w:type="dxa" w:w="6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10</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D4</w:t>
            </w:r>
          </w:p>
        </w:tc>
        <w:tc>
          <w:tcPr>
            <w:tcW w:type="dxa" w:w="3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Evaluating Ongoing Process and Terminating Treatment</w:t>
            </w:r>
          </w:p>
        </w:tc>
        <w:tc>
          <w:tcPr>
            <w:tcW w:type="dxa" w:w="6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9</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D5</w:t>
            </w:r>
          </w:p>
        </w:tc>
        <w:tc>
          <w:tcPr>
            <w:tcW w:type="dxa" w:w="3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Managing Crisis Situations</w:t>
            </w:r>
          </w:p>
        </w:tc>
        <w:tc>
          <w:tcPr>
            <w:tcW w:type="dxa" w:w="6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10</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D6</w:t>
            </w:r>
          </w:p>
        </w:tc>
        <w:tc>
          <w:tcPr>
            <w:tcW w:type="dxa" w:w="3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Maintaining Ethical, Legal, and Professional Standards</w:t>
            </w:r>
          </w:p>
        </w:tc>
        <w:tc>
          <w:tcPr>
            <w:tcW w:type="dxa" w:w="6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11</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Moderate / Monitor</w:t>
            </w:r>
          </w:p>
        </w:tc>
      </w:tr>
    </w:tbl>
    <w:p>
      <w:pPr>
        <w:pStyle w:val="Heading2"/>
      </w:pPr>
      <w:r>
        <w:t>Domain interpretation</w:t>
      </w:r>
    </w:p>
    <w:p>
      <w:pPr>
        <w:keepLines/>
        <w:spacing w:after="60"/>
        <w:ind w:left="288" w:hanging="288"/>
      </w:pPr>
      <w:r>
        <w:t>☐ Mark High when a domain shows repeated knowledge, sequencing, safety, scope, or reasoning failures that transfer across items.</w:t>
      </w:r>
    </w:p>
    <w:p>
      <w:pPr>
        <w:keepLines/>
        <w:spacing w:after="60"/>
        <w:ind w:left="288" w:hanging="288"/>
      </w:pPr>
      <w:r>
        <w:t>☐ Mark Moderate when the domain is inconsistent or contains several low-confidence correct responses.</w:t>
      </w:r>
    </w:p>
    <w:p>
      <w:pPr>
        <w:keepLines/>
        <w:spacing w:after="60"/>
        <w:ind w:left="288" w:hanging="288"/>
      </w:pPr>
      <w:r>
        <w:t>☐ Mark Monitor when current reasoning is stable but still needs spaced review and fresh practice.</w:t>
      </w:r>
    </w:p>
    <w:p>
      <w:pPr>
        <w:keepLines/>
        <w:spacing w:after="60"/>
        <w:ind w:left="288" w:hanging="288"/>
      </w:pPr>
      <w:r>
        <w:t>☐ Do not make the gate decision from a small domain difference alone; consider reasoning patterns, confidence, pacing, fatigue, and consistency together.</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Highest-priority domain(s)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Strongest current domain(s)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Cross-domain concern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bl>
    <w:p>
      <w:r>
        <w:br w:type="page"/>
      </w:r>
    </w:p>
    <w:p>
      <w:pPr>
        <w:pStyle w:val="Heading1"/>
      </w:pPr>
      <w:r>
        <w:t>Reasoning-Error Profile</w:t>
      </w:r>
    </w:p>
    <w:tbl>
      <w:tblPr>
        <w:tblStyle w:val="TableGrid"/>
        <w:tblW w:type="dxa" w:w="9240"/>
        <w:jc w:val="left"/>
        <w:tblLayout w:type="fixed"/>
        <w:tblLook w:firstColumn="1" w:firstRow="1" w:lastColumn="0" w:lastRow="0" w:noHBand="0" w:noVBand="1" w:val="04A0"/>
        <w:tblInd w:w="120" w:type="dxa"/>
      </w:tblPr>
      <w:tblGrid>
        <w:gridCol w:w="850"/>
        <w:gridCol w:w="4200"/>
        <w:gridCol w:w="700"/>
        <w:gridCol w:w="1800"/>
        <w:gridCol w:w="1690"/>
      </w:tblGrid>
      <w:tr>
        <w:trPr>
          <w:cantSplit/>
          <w:tblHeader w:val="true"/>
        </w:trPr>
        <w:tc>
          <w:tcPr>
            <w:tcW w:type="dxa" w:w="8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Code</w:t>
            </w:r>
          </w:p>
        </w:tc>
        <w:tc>
          <w:tcPr>
            <w:tcW w:type="dxa" w:w="4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Observed reasoning pattern</w:t>
            </w:r>
          </w:p>
        </w:tc>
        <w:tc>
          <w:tcPr>
            <w:tcW w:type="dxa" w:w="7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Count</w:t>
            </w:r>
          </w:p>
        </w:tc>
        <w:tc>
          <w:tcPr>
            <w:tcW w:type="dxa" w:w="1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Representative items</w:t>
            </w:r>
          </w:p>
        </w:tc>
        <w:tc>
          <w:tcPr>
            <w:tcW w:type="dxa" w:w="169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Priority</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TASK</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Misread the task or decision qualifier</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STAGE</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Acted at the wrong stage of care</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SYSTEM</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Used linear rather than reciprocal reasoning</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ASSESS</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Reached a conclusion before integrating assessment data</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SAFETY</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Underprioritized immediate safety or level of care</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SCOPE</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Exceeded or failed to verify competence, role, or authority</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CONTEXT</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Underweighted culture, power, access, identity, or autonomy</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PLAN</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Selected action without collaborative goals, sequence, or fit</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EVAL</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Relied on one outcome signal or skipped collaborative review</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ETHICS</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Confused law, ethics, policy, rights, or documentation duties</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OVER</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Overreacted, overgeneralized, or chose an unsupported restriction</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UNDER</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Delayed, minimized, or chose an incomplete response</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bl>
    <w:p>
      <w:pPr>
        <w:spacing w:before="80" w:after="140" w:line="259" w:lineRule="auto"/>
        <w:ind w:left="144" w:right="58"/>
        <w:shd w:fill="E7F7F5"/>
        <w:pBdr>
          <w:left w:val="single" w:sz="12" w:space="6" w:color="10A7A0"/>
        </w:pBdr>
      </w:pPr>
      <w:r>
        <w:rPr>
          <w:rFonts w:ascii="Calibri" w:hAnsi="Calibri" w:eastAsia="Calibri"/>
          <w:b/>
          <w:color w:val="0B2D5C"/>
          <w:sz w:val="18"/>
        </w:rPr>
        <w:t xml:space="preserve">USE THE PATTERN, NOT THE ANSWER: </w:t>
      </w:r>
      <w:r>
        <w:rPr>
          <w:rFonts w:ascii="Calibri" w:hAnsi="Calibri" w:eastAsia="Calibri"/>
          <w:color w:val="1F2933"/>
          <w:sz w:val="18"/>
        </w:rPr>
        <w:t>The purpose of the code is to identify a transferable reasoning repair. Do not remediate by memorizing the keyed letter, wording, or case facts from Checkpoint 2.</w:t>
      </w:r>
    </w:p>
    <w:p>
      <w:r>
        <w:br w:type="page"/>
      </w:r>
    </w:p>
    <w:p>
      <w:pPr>
        <w:pStyle w:val="Heading1"/>
      </w:pPr>
      <w:r>
        <w:t>Confidence Stability and Pacing Profile</w:t>
      </w:r>
    </w:p>
    <w:p>
      <w:pPr>
        <w:pStyle w:val="Heading2"/>
      </w:pPr>
      <w:r>
        <w:t>Confidence scale</w:t>
      </w:r>
    </w:p>
    <w:tbl>
      <w:tblPr>
        <w:tblStyle w:val="TableGrid"/>
        <w:tblW w:type="dxa" w:w="9240"/>
        <w:jc w:val="left"/>
        <w:tblLayout w:type="fixed"/>
        <w:tblLook w:firstColumn="1" w:firstRow="1" w:lastColumn="0" w:lastRow="0" w:noHBand="0" w:noVBand="1" w:val="04A0"/>
        <w:tblInd w:w="120" w:type="dxa"/>
      </w:tblPr>
      <w:tblGrid>
        <w:gridCol w:w="800"/>
        <w:gridCol w:w="3000"/>
        <w:gridCol w:w="900"/>
        <w:gridCol w:w="900"/>
        <w:gridCol w:w="3640"/>
      </w:tblGrid>
      <w:tr>
        <w:trPr>
          <w:cantSplit/>
          <w:tblHeader w:val="true"/>
        </w:trPr>
        <w:tc>
          <w:tcPr>
            <w:tcW w:type="dxa" w:w="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Rating</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Meaning</w:t>
            </w:r>
          </w:p>
        </w:tc>
        <w:tc>
          <w:tcPr>
            <w:tcW w:type="dxa" w:w="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Correct</w:t>
            </w:r>
          </w:p>
        </w:tc>
        <w:tc>
          <w:tcPr>
            <w:tcW w:type="dxa" w:w="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Incorrect</w:t>
            </w:r>
          </w:p>
        </w:tc>
        <w:tc>
          <w:tcPr>
            <w:tcW w:type="dxa" w:w="36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Required response</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Guess / cannot explain</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Always remediate</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2</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Uncertain / partial reasoning</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Always remediate</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3</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Reasoned but not fully stable</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Review pattern and source</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4</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Can explain the decision and distractor defects</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Maintain with spaced practice</w:t>
            </w:r>
          </w:p>
        </w:tc>
      </w:tr>
    </w:tbl>
    <w:p>
      <w:pPr>
        <w:pStyle w:val="Heading2"/>
      </w:pPr>
      <w:r>
        <w:t>Flexible pacing checkpoints</w:t>
      </w:r>
    </w:p>
    <w:tbl>
      <w:tblPr>
        <w:tblStyle w:val="TableGrid"/>
        <w:tblW w:type="dxa" w:w="9240"/>
        <w:jc w:val="left"/>
        <w:tblLayout w:type="fixed"/>
        <w:tblLook w:firstColumn="1" w:firstRow="1" w:lastColumn="0" w:lastRow="0" w:noHBand="0" w:noVBand="1" w:val="04A0"/>
        <w:tblInd w:w="120" w:type="dxa"/>
      </w:tblPr>
      <w:tblGrid>
        <w:gridCol w:w="1000"/>
        <w:gridCol w:w="1800"/>
        <w:gridCol w:w="1400"/>
        <w:gridCol w:w="1000"/>
        <w:gridCol w:w="1100"/>
        <w:gridCol w:w="2940"/>
      </w:tblGrid>
      <w:tr>
        <w:trPr>
          <w:cantSplit/>
          <w:tblHeader w:val="true"/>
        </w:trPr>
        <w:tc>
          <w:tcPr>
            <w:tcW w:type="dxa" w:w="1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block</w:t>
            </w:r>
          </w:p>
        </w:tc>
        <w:tc>
          <w:tcPr>
            <w:tcW w:type="dxa" w:w="1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Reference checkpoint</w:t>
            </w:r>
          </w:p>
        </w:tc>
        <w:tc>
          <w:tcPr>
            <w:tcW w:type="dxa" w:w="14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Actual elapsed</w:t>
            </w:r>
          </w:p>
        </w:tc>
        <w:tc>
          <w:tcPr>
            <w:tcW w:type="dxa" w:w="1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Unanswered</w:t>
            </w:r>
          </w:p>
        </w:tc>
        <w:tc>
          <w:tcPr>
            <w:tcW w:type="dxa" w:w="1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Conf. drop?</w:t>
            </w:r>
          </w:p>
        </w:tc>
        <w:tc>
          <w:tcPr>
            <w:tcW w:type="dxa" w:w="29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Fatigue / attention note</w:t>
            </w:r>
          </w:p>
        </w:tc>
      </w:tr>
      <w:tr>
        <w:trPr>
          <w:cantSplit/>
        </w:trPr>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1-15</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about 20 min elapsed</w:t>
            </w:r>
          </w:p>
        </w:tc>
        <w:tc>
          <w:tcPr>
            <w:tcW w:type="dxa" w:w="1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16-30</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about 40 min elapsed</w:t>
            </w:r>
          </w:p>
        </w:tc>
        <w:tc>
          <w:tcPr>
            <w:tcW w:type="dxa" w:w="1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31-45</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about 60 min elapsed</w:t>
            </w:r>
          </w:p>
        </w:tc>
        <w:tc>
          <w:tcPr>
            <w:tcW w:type="dxa" w:w="1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46-60</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about 80 min elapsed</w:t>
            </w:r>
          </w:p>
        </w:tc>
        <w:tc>
          <w:tcPr>
            <w:tcW w:type="dxa" w:w="1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PACING RULE: </w:t>
      </w:r>
      <w:r>
        <w:rPr>
          <w:rFonts w:ascii="Calibri" w:hAnsi="Calibri" w:eastAsia="Calibri"/>
          <w:color w:val="1F2933"/>
          <w:sz w:val="18"/>
        </w:rPr>
        <w:t>The 80-second average is a planning benchmark, not a requirement to spend identical time on every item. Use checkpoints to detect drift while preserving enough time to answer every item.</w:t>
      </w:r>
    </w:p>
    <w:p>
      <w:r>
        <w:br w:type="page"/>
      </w:r>
    </w:p>
    <w:p>
      <w:pPr>
        <w:pStyle w:val="Heading1"/>
      </w:pPr>
      <w:r>
        <w:t>Diagnostic Synthesis and Remediation Priorities</w:t>
      </w:r>
    </w:p>
    <w:tbl>
      <w:tblPr>
        <w:tblStyle w:val="TableGrid"/>
        <w:tblW w:type="dxa" w:w="9240"/>
        <w:jc w:val="left"/>
        <w:tblLayout w:type="fixed"/>
        <w:tblLook w:firstColumn="1" w:firstRow="1" w:lastColumn="0" w:lastRow="0" w:noHBand="0" w:noVBand="1" w:val="04A0"/>
        <w:tblInd w:w="120" w:type="dxa"/>
      </w:tblPr>
      <w:tblGrid>
        <w:gridCol w:w="850"/>
        <w:gridCol w:w="2300"/>
        <w:gridCol w:w="2800"/>
        <w:gridCol w:w="3290"/>
      </w:tblGrid>
      <w:tr>
        <w:trPr>
          <w:cantSplit/>
          <w:tblHeader w:val="true"/>
        </w:trPr>
        <w:tc>
          <w:tcPr>
            <w:tcW w:type="dxa" w:w="8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Priority</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Domain / code / skill</w:t>
            </w:r>
          </w:p>
        </w:tc>
        <w:tc>
          <w:tcPr>
            <w:tcW w:type="dxa" w:w="2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Evidence from Checkpoint 2</w:t>
            </w:r>
          </w:p>
        </w:tc>
        <w:tc>
          <w:tcPr>
            <w:tcW w:type="dxa" w:w="329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Required remediation evidence</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2</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3</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5</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6</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_______________________________</w:t>
            </w:r>
          </w:p>
        </w:tc>
      </w:tr>
    </w:tbl>
    <w:p>
      <w:pPr>
        <w:pStyle w:val="Heading2"/>
      </w:pPr>
      <w:r>
        <w:t>Cross-pattern synthesis</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Most frequent error pattern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Highest-risk reasoning gap</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Knowledge area needing source review</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Pacing or fatigue pattern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Confidence-calibration pattern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First remediation action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spacing w:before="80" w:after="140" w:line="259" w:lineRule="auto"/>
        <w:ind w:left="144" w:right="58"/>
        <w:shd w:fill="FFF4D6"/>
        <w:pBdr>
          <w:left w:val="single" w:sz="12" w:space="6" w:color="10A7A0"/>
        </w:pBdr>
      </w:pPr>
      <w:r>
        <w:rPr>
          <w:rFonts w:ascii="Calibri" w:hAnsi="Calibri" w:eastAsia="Calibri"/>
          <w:b/>
          <w:color w:val="0B2D5C"/>
          <w:sz w:val="18"/>
        </w:rPr>
        <w:t xml:space="preserve">HANDOFF: </w:t>
      </w:r>
      <w:r>
        <w:rPr>
          <w:rFonts w:ascii="Calibri" w:hAnsi="Calibri" w:eastAsia="Calibri"/>
          <w:color w:val="1F2933"/>
          <w:sz w:val="18"/>
        </w:rPr>
        <w:t>Carry all High and Moderate priorities, all incorrect items, and all confidence 1-2 correct items into the Required Remediation Workbook and Workbook 9 Progression Gate. This report alone does not unlock Workbook 9.</w:t>
      </w:r>
    </w:p>
    <w:p>
      <w:r>
        <w:br w:type="page"/>
      </w:r>
    </w:p>
    <w:p>
      <w:pPr>
        <w:pStyle w:val="Heading1"/>
      </w:pPr>
      <w:r>
        <w:t>Completion Record and Use Limitations</w:t>
      </w:r>
    </w:p>
    <w:p>
      <w:pPr>
        <w:keepLines/>
        <w:spacing w:after="60"/>
        <w:ind w:left="288" w:hanging="288"/>
      </w:pPr>
      <w:r>
        <w:t>☐ Raw total, unanswered count, and completion time are recorded.</w:t>
      </w:r>
    </w:p>
    <w:p>
      <w:pPr>
        <w:keepLines/>
        <w:spacing w:after="60"/>
        <w:ind w:left="288" w:hanging="288"/>
      </w:pPr>
      <w:r>
        <w:t>☐ All six domain results are recorded from the authorized score output.</w:t>
      </w:r>
    </w:p>
    <w:p>
      <w:pPr>
        <w:keepLines/>
        <w:spacing w:after="60"/>
        <w:ind w:left="288" w:hanging="288"/>
      </w:pPr>
      <w:r>
        <w:t>☐ Incorrect and low-confidence correct items are identified for written repair.</w:t>
      </w:r>
    </w:p>
    <w:p>
      <w:pPr>
        <w:keepLines/>
        <w:spacing w:after="60"/>
        <w:ind w:left="288" w:hanging="288"/>
      </w:pPr>
      <w:r>
        <w:t>☐ Reasoning patterns, pacing, fatigue, confidence, and cross-domain priorities are documented.</w:t>
      </w:r>
    </w:p>
    <w:p>
      <w:pPr>
        <w:keepLines/>
        <w:spacing w:after="60"/>
        <w:ind w:left="288" w:hanging="288"/>
      </w:pPr>
      <w:r>
        <w:t>☐ The Required Remediation Workbook and Workbook 9 Progression Gate has been opened and assigned.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 confirmation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  Date: 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Reviewer confirmation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  Date: 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Progression workbook assigned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Yes / No / Not yet</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Workbook 9 status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LOCKED - pending completed remediation and authorized progression decision</w:t>
            </w:r>
          </w:p>
        </w:tc>
      </w:tr>
    </w:tbl>
    <w:p>
      <w:pPr>
        <w:spacing w:before="80" w:after="140" w:line="259" w:lineRule="auto"/>
        <w:ind w:left="144" w:right="58"/>
        <w:shd w:fill="F2F4F7"/>
        <w:pBdr>
          <w:left w:val="single" w:sz="12" w:space="6" w:color="10A7A0"/>
        </w:pBdr>
      </w:pPr>
      <w:r>
        <w:rPr>
          <w:rFonts w:ascii="Calibri" w:hAnsi="Calibri" w:eastAsia="Calibri"/>
          <w:b/>
          <w:color w:val="0B2D5C"/>
          <w:sz w:val="18"/>
        </w:rPr>
        <w:t xml:space="preserve">NO-GUARANTEE / NO-AFFILIATION NOTICE: </w:t>
      </w:r>
      <w:r>
        <w:rPr>
          <w:rFonts w:ascii="Calibri" w:hAnsi="Calibri" w:eastAsia="Calibri"/>
          <w:color w:val="1F2933"/>
          <w:sz w:val="18"/>
        </w:rPr>
        <w:t>CTA is an independent educational program and is not affiliated with or endorsed by AMFTRB, PTC, Prometric, AAMFT, BBS, or any licensing jurisdiction. Participation and practice performance do not guarantee examination passage, eligibility, licensure, or any particular result.</w:t>
      </w:r>
    </w:p>
    <w:p>
      <w:pPr>
        <w:pStyle w:val="Heading2"/>
      </w:pPr>
      <w:r>
        <w:t>Current Source Controls</w:t>
      </w:r>
    </w:p>
    <w:p>
      <w:pPr>
        <w:pStyle w:val="ListBullet"/>
      </w:pPr>
      <w:hyperlink r:id="rId14">
        <w:r>
          <w:rPr>
            <w:color w:val="10A7A0"/>
            <w:u w:val="single"/>
          </w:rPr>
          <w:t>2026 PTC/AMFTRB Handbook for Candidates</w:t>
        </w:r>
      </w:hyperlink>
    </w:p>
    <w:p>
      <w:pPr>
        <w:pStyle w:val="ListBullet"/>
      </w:pPr>
      <w:hyperlink r:id="rId15">
        <w:r>
          <w:rPr>
            <w:color w:val="10A7A0"/>
            <w:u w:val="single"/>
          </w:rPr>
          <w:t>AMFTRB Examination Information</w:t>
        </w:r>
      </w:hyperlink>
    </w:p>
    <w:p>
      <w:pPr>
        <w:pStyle w:val="ListBullet"/>
      </w:pPr>
      <w:hyperlink r:id="rId16">
        <w:r>
          <w:rPr>
            <w:color w:val="10A7A0"/>
            <w:u w:val="single"/>
          </w:rPr>
          <w:t>2026 AAMFT Code of Ethics</w:t>
        </w:r>
      </w:hyperlink>
    </w:p>
    <w:p>
      <w:r>
        <w:rPr>
          <w:rFonts w:ascii="Calibri" w:hAnsi="Calibri" w:eastAsia="Calibri"/>
          <w:b/>
          <w:color w:val="0B2D5C"/>
        </w:rPr>
        <w:t xml:space="preserve">Currency rule: </w:t>
      </w:r>
      <w:r>
        <w:t>Use current official sources and the learner's licensing jurisdiction for live requirements. CTA practice results do not replace official eligibility, law, regulation, ethics, policy, or individualized consultation.</w:t>
      </w:r>
    </w:p>
    <w:sectPr w:rsidR="00FC693F" w:rsidRPr="0006063C" w:rsidSect="00034616">
      <w:headerReference w:type="default" r:id="rId9"/>
      <w:footerReference w:type="default" r:id="rId10"/>
      <w:headerReference w:type="first" r:id="rId11"/>
      <w:footerReference w:type="first" r:id="rId12"/>
      <w:headerReference w:type="even" r:id="rId17"/>
      <w:footerReference w:type="even" r:id="rId18"/>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17A"/>
        <w:sz w:val="15"/>
      </w:rPr>
      <w:t xml:space="preserve">LEARNER POST-ATTEMPT RESOURCE   |   Page </w:t>
    </w:r>
    <w:r>
      <w:rPr>
        <w:rFonts w:ascii="Calibri" w:hAnsi="Calibri" w:eastAsia="Calibri"/>
        <w:color w:val="66717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17A"/>
        <w:sz w:val="16"/>
      </w:rPr>
      <w:t>Clinical Training &amp; Supervision Academy | Exam Preparation Program | No CE Credit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0B2D5C"/>
        <w:sz w:val="15"/>
      </w:rPr>
      <w:t>CTA LMFT AMFTRB | CHECKPOINT 2 REMEDIATION AND PROGRESSION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D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0A7A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0B2D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10A7A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ptcny.com/pdf/AMFTRB.pdf" TargetMode="External"/><Relationship Id="rId15" Type="http://schemas.openxmlformats.org/officeDocument/2006/relationships/hyperlink" Target="https://amftrb.org/exam-info/" TargetMode="External"/><Relationship Id="rId16" Type="http://schemas.openxmlformats.org/officeDocument/2006/relationships/hyperlink" Target="https://www.aamft.org/common/Uploaded%20files/Legal%20Ethics/AAMFT%20Code%20of%20Ethics.pdf" TargetMode="Externa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Checkpoint 2 Domain Performance Report</dc:title>
  <dc:subject>Post-attempt six-domain, confidence, pacing, and reasoning-pattern diagnostic for the 60-item Checkpoint 2 assessment.</dc:subject>
  <dc:creator>Clinical Training and Supervision Academy</dc:creator>
  <cp:keywords>CTA, LMFT, AMFTRB, Checkpoint 2, remediation, Workbook 9, progression gate</cp:keywords>
  <dc:description>Controlled post-attempt exam-preparation resource; no CE credit.</dc:description>
  <cp:lastModifiedBy>Clinical Training and Supervision Academy</cp:lastModifiedBy>
  <cp:revision>1</cp:revision>
  <dcterms:created xsi:type="dcterms:W3CDTF">2026-08-03T00:00:00Z</dcterms:created>
  <dcterms:modified xsi:type="dcterms:W3CDTF">2026-08-04T12:00:00Z</dcterms:modified>
  <cp:category/>
</cp:coreProperties>
</file>