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349240" cy="1353312"/>
            <wp:docPr id="1" name="Picture 1" descr="Clinical Training and Supervision Academy horizontal logo"/>
            <wp:cNvGraphicFramePr>
              <a:graphicFrameLocks noChangeAspect="1"/>
            </wp:cNvGraphicFramePr>
            <a:graphic>
              <a:graphicData uri="http://schemas.openxmlformats.org/drawingml/2006/picture">
                <pic:pic>
                  <pic:nvPicPr>
                    <pic:cNvPr id="0" name="10-Primary-Horizontal-Logo.png"/>
                    <pic:cNvPicPr/>
                  </pic:nvPicPr>
                  <pic:blipFill>
                    <a:blip r:embed="rId13"/>
                    <a:srcRect l="20437" t="39712" r="23347" b="39615"/>
                    <a:stretch>
                      <a:fillRect/>
                    </a:stretch>
                  </pic:blipFill>
                  <pic:spPr>
                    <a:xfrm>
                      <a:off x="0" y="0"/>
                      <a:ext cx="5349240" cy="1353312"/>
                    </a:xfrm>
                    <a:prstGeom prst="rect"/>
                  </pic:spPr>
                </pic:pic>
              </a:graphicData>
            </a:graphic>
          </wp:inline>
        </w:drawing>
      </w:r>
    </w:p>
    <w:p>
      <w:pPr>
        <w:spacing w:after="20"/>
        <w:jc w:val="center"/>
      </w:pPr>
      <w:r>
        <w:rPr>
          <w:rFonts w:ascii="Calibri" w:hAnsi="Calibri" w:eastAsia="Calibri"/>
          <w:b/>
          <w:color w:val="10A7A0"/>
          <w:sz w:val="28"/>
        </w:rPr>
        <w:t>CTA LMFT AMFTRB</w:t>
      </w:r>
    </w:p>
    <w:p>
      <w:pPr>
        <w:spacing w:after="260"/>
        <w:jc w:val="center"/>
      </w:pPr>
      <w:r>
        <w:rPr>
          <w:rFonts w:ascii="Calibri" w:hAnsi="Calibri" w:eastAsia="Calibri"/>
          <w:b/>
          <w:color w:val="0B2D5C"/>
          <w:sz w:val="20"/>
        </w:rPr>
        <w:t>NATIONAL EXAM PREPARATION PROGRAM</w:t>
      </w:r>
    </w:p>
    <w:p>
      <w:pPr>
        <w:pStyle w:val="Title"/>
        <w:jc w:val="center"/>
      </w:pPr>
      <w:r>
        <w:t>Checkpoint 2</w:t>
      </w:r>
    </w:p>
    <w:p>
      <w:pPr>
        <w:pStyle w:val="Subtitle"/>
        <w:jc w:val="center"/>
      </w:pPr>
      <w:r>
        <w:t>Required Remediation Workbook and Workbook 9 Progression Gate</w:t>
      </w:r>
    </w:p>
    <w:p>
      <w:pPr>
        <w:spacing w:after="260"/>
        <w:jc w:val="center"/>
      </w:pPr>
      <w:r>
        <w:rPr>
          <w:rFonts w:ascii="Calibri" w:hAnsi="Calibri" w:eastAsia="Calibri"/>
          <w:color w:val="66717A"/>
          <w:sz w:val="17"/>
        </w:rPr>
        <w:t>Version 1.0 | August 4, 2026 | Required before Workbook 9 access</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RELEASE CONDITION: </w:t>
      </w:r>
      <w:r>
        <w:rPr>
          <w:rFonts w:ascii="Calibri" w:hAnsi="Calibri" w:eastAsia="Calibri"/>
          <w:color w:val="1F2933"/>
          <w:sz w:val="18"/>
        </w:rPr>
        <w:t>Use only after the learner has submitted and preserved the first 60-item, 80-minute Checkpoint 2 attempt. The answer-hidden candidate form and controlled rationales remain separate access-controlled artifacts.</w:t>
      </w:r>
    </w:p>
    <w:p>
      <w:pPr>
        <w:spacing w:before="80" w:after="140" w:line="259" w:lineRule="auto"/>
        <w:ind w:left="144" w:right="58"/>
        <w:shd w:fill="E7F7F5"/>
        <w:pBdr>
          <w:left w:val="single" w:sz="12" w:space="6" w:color="10A7A0"/>
        </w:pBdr>
      </w:pPr>
      <w:r>
        <w:rPr>
          <w:rFonts w:ascii="Calibri" w:hAnsi="Calibri" w:eastAsia="Calibri"/>
          <w:b/>
          <w:color w:val="0B2D5C"/>
          <w:sz w:val="18"/>
        </w:rPr>
        <w:t xml:space="preserve">PROGRAM STATUS: </w:t>
      </w:r>
      <w:r>
        <w:rPr>
          <w:rFonts w:ascii="Calibri" w:hAnsi="Calibri" w:eastAsia="Calibri"/>
          <w:color w:val="1F2933"/>
          <w:sz w:val="18"/>
        </w:rPr>
        <w:t>Independent national AMFTRB examination preparation. This resource provides no continuing-education credit and does not predict, convert, or guarantee an official examination result.</w:t>
      </w:r>
    </w:p>
    <w:p>
      <w:pPr>
        <w:spacing w:before="80" w:after="140" w:line="259" w:lineRule="auto"/>
        <w:ind w:left="144" w:right="58"/>
        <w:shd w:fill="EAF1F8"/>
        <w:pBdr>
          <w:left w:val="single" w:sz="12" w:space="6" w:color="10A7A0"/>
        </w:pBdr>
      </w:pPr>
      <w:r>
        <w:rPr>
          <w:rFonts w:ascii="Calibri" w:hAnsi="Calibri" w:eastAsia="Calibri"/>
          <w:b/>
          <w:color w:val="0B2D5C"/>
          <w:sz w:val="18"/>
        </w:rPr>
        <w:t xml:space="preserve">ACCESS CONTROL: </w:t>
      </w:r>
      <w:r>
        <w:rPr>
          <w:rFonts w:ascii="Calibri" w:hAnsi="Calibri" w:eastAsia="Calibri"/>
          <w:color w:val="1F2933"/>
          <w:sz w:val="18"/>
        </w:rPr>
        <w:t>The learner may complete remediation fields, but only authorized program staff may record the controlled Workbook 9 progression decision.</w:t>
      </w:r>
    </w:p>
    <w:p>
      <w:r>
        <w:br w:type="page"/>
      </w:r>
    </w:p>
    <w:p>
      <w:pPr>
        <w:pStyle w:val="Heading1"/>
      </w:pPr>
      <w:r>
        <w:t>Required Sequence and Gate Standard</w:t>
      </w:r>
    </w:p>
    <w:p>
      <w:pPr>
        <w:pStyle w:val="ListNumber"/>
        <w:keepLines/>
        <w:spacing w:after="100"/>
      </w:pPr>
      <w:r>
        <w:t>Submit Checkpoint 2 under full 60-item, 80-minute conditions and preserve the first-attempt data before opening controlled answers or rationales.</w:t>
      </w:r>
    </w:p>
    <w:p>
      <w:pPr>
        <w:pStyle w:val="ListNumber"/>
        <w:keepLines/>
        <w:spacing w:after="100"/>
      </w:pPr>
      <w:r>
        <w:t>Complete the separate Domain Performance Report and transfer every High or Moderate priority, every incorrect item, and every confidence 1-2 correct item into this workbook.</w:t>
      </w:r>
    </w:p>
    <w:p>
      <w:pPr>
        <w:pStyle w:val="ListNumber"/>
        <w:keepLines/>
        <w:spacing w:after="100"/>
      </w:pPr>
      <w:r>
        <w:t>For each major error pattern, complete written error analysis, review the appropriate WB1-WB8 source or current authoritative source, state a corrected rule, and complete fresh reapplication without memorizing Checkpoint 2 wording.</w:t>
      </w:r>
    </w:p>
    <w:p>
      <w:pPr>
        <w:pStyle w:val="ListNumber"/>
        <w:keepLines/>
        <w:spacing w:after="100"/>
      </w:pPr>
      <w:r>
        <w:t>Document pacing, fatigue, confidence, anxiety, and attention adjustments; then submit the evidence for the controlled readiness decision.</w:t>
      </w:r>
    </w:p>
    <w:p>
      <w:pPr>
        <w:pStyle w:val="ListNumber"/>
        <w:keepLines/>
        <w:spacing w:after="100"/>
      </w:pPr>
      <w:r>
        <w:t>Unlock Workbook 9 only when all required evidence is complete and corrected reasoning is demonstrated on fresh material. Otherwise keep Workbook 9 locked and continue remediation.</w:t>
      </w:r>
    </w:p>
    <w:p>
      <w:pPr>
        <w:spacing w:before="80" w:after="140" w:line="259" w:lineRule="auto"/>
        <w:ind w:left="144" w:right="58"/>
        <w:shd w:fill="FFF4D6"/>
        <w:pBdr>
          <w:left w:val="single" w:sz="12" w:space="6" w:color="10A7A0"/>
        </w:pBdr>
      </w:pPr>
      <w:r>
        <w:rPr>
          <w:rFonts w:ascii="Calibri" w:hAnsi="Calibri" w:eastAsia="Calibri"/>
          <w:b/>
          <w:color w:val="9B1C1C"/>
          <w:sz w:val="18"/>
        </w:rPr>
        <w:t xml:space="preserve">GATE STANDARD: </w:t>
      </w:r>
      <w:r>
        <w:rPr>
          <w:rFonts w:ascii="Calibri" w:hAnsi="Calibri" w:eastAsia="Calibri"/>
          <w:color w:val="1F2933"/>
          <w:sz w:val="18"/>
        </w:rPr>
        <w:t>Progression is demonstrated through corrected reasoning, stable transfer, and a workable pacing plan - not by reaching one CTA percentage. A strong raw score does not waive incomplete remediation, and a weaker raw score does not create an automatic examination-outcome prediction.</w:t>
      </w:r>
    </w:p>
    <w:p>
      <w:pPr>
        <w:pStyle w:val="Heading2"/>
      </w:pPr>
      <w:r>
        <w:t>Required evidence at a glance</w:t>
      </w:r>
    </w:p>
    <w:p>
      <w:pPr>
        <w:keepLines/>
        <w:spacing w:after="60"/>
        <w:ind w:left="288" w:hanging="288"/>
      </w:pPr>
      <w:r>
        <w:t>☐ Corrected rule for each major error pattern</w:t>
      </w:r>
    </w:p>
    <w:p>
      <w:pPr>
        <w:keepLines/>
        <w:spacing w:after="60"/>
        <w:ind w:left="288" w:hanging="288"/>
      </w:pPr>
      <w:r>
        <w:t>☐ Item-level repair for every incorrect and low-confidence correct response</w:t>
      </w:r>
    </w:p>
    <w:p>
      <w:pPr>
        <w:keepLines/>
        <w:spacing w:after="60"/>
        <w:ind w:left="288" w:hanging="288"/>
      </w:pPr>
      <w:r>
        <w:t>☐ Weak-topic WB1-WB8 or authoritative-source review without answer memorization</w:t>
      </w:r>
    </w:p>
    <w:p>
      <w:pPr>
        <w:keepLines/>
        <w:spacing w:after="60"/>
        <w:ind w:left="288" w:hanging="288"/>
      </w:pPr>
      <w:r>
        <w:t>☐ Fresh practice showing the correction can be applied to a new task or case</w:t>
      </w:r>
    </w:p>
    <w:p>
      <w:pPr>
        <w:keepLines/>
        <w:spacing w:after="60"/>
        <w:ind w:left="288" w:hanging="288"/>
      </w:pPr>
      <w:r>
        <w:t>☐ Pacing and fatigue adjustment based on the first-attempt record</w:t>
      </w:r>
    </w:p>
    <w:p>
      <w:pPr>
        <w:keepLines/>
        <w:spacing w:after="60"/>
        <w:ind w:left="288" w:hanging="288"/>
      </w:pPr>
      <w:r>
        <w:t>☐ Practiced anxiety and attention-recovery plan</w:t>
      </w:r>
    </w:p>
    <w:p>
      <w:pPr>
        <w:keepLines/>
        <w:spacing w:after="60"/>
        <w:ind w:left="288" w:hanging="288"/>
      </w:pPr>
      <w:r>
        <w:t>☐ Candidate attestation and authorized Workbook 9 progression decision</w:t>
      </w:r>
    </w:p>
    <w:p>
      <w:r>
        <w:br w:type="page"/>
      </w:r>
    </w:p>
    <w:p>
      <w:pPr>
        <w:pStyle w:val="Heading1"/>
      </w:pPr>
      <w:r>
        <w:t>Transfer From the Domain Performance Report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Checkpoint 2 attempt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Raw total / unanswered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60   |   Unanswered: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Time used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 minutes of 80</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Incorrect / low-conf. correct</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 / 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Highest-priority domain(s)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Highest-priority error code(s)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Pacing / fatigue concern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Six-domain carry-forward</w:t>
      </w:r>
    </w:p>
    <w:tbl>
      <w:tblPr>
        <w:tblStyle w:val="TableGrid"/>
        <w:tblW w:type="dxa" w:w="9240"/>
        <w:jc w:val="left"/>
        <w:tblLayout w:type="fixed"/>
        <w:tblLook w:firstColumn="1" w:firstRow="1" w:lastColumn="0" w:lastRow="0" w:noHBand="0" w:noVBand="1" w:val="04A0"/>
        <w:tblInd w:w="120" w:type="dxa"/>
      </w:tblPr>
      <w:tblGrid>
        <w:gridCol w:w="900"/>
        <w:gridCol w:w="1500"/>
        <w:gridCol w:w="2200"/>
        <w:gridCol w:w="4640"/>
      </w:tblGrid>
      <w:tr>
        <w:trPr>
          <w:cantSplit/>
          <w:tblHeader w:val="true"/>
        </w:trPr>
        <w:tc>
          <w:tcPr>
            <w:tcW w:type="dxa" w:w="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Raw</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46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Primary remediation target</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10</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10</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10</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9</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D5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 / 10</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w:t>
            </w:r>
          </w:p>
        </w:tc>
      </w:tr>
      <w:tr>
        <w:trPr>
          <w:cantSplit/>
        </w:trPr>
        <w:tc>
          <w:tcPr>
            <w:tcW w:type="dxa" w:w="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D6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 / 11</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High / Moderate / Monitor</w:t>
            </w:r>
          </w:p>
        </w:tc>
        <w:tc>
          <w:tcPr>
            <w:tcW w:type="dxa" w:w="46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7"/>
              </w:rPr>
              <w:t>____________________________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SCOPE: </w:t>
      </w:r>
      <w:r>
        <w:rPr>
          <w:rFonts w:ascii="Calibri" w:hAnsi="Calibri" w:eastAsia="Calibri"/>
          <w:color w:val="1F2933"/>
          <w:sz w:val="18"/>
        </w:rPr>
        <w:t>Only include score and diagnostic information from the authorized Checkpoint 2 report. Do not add protected item-development metadata or reconstruct item-domain mappings.</w:t>
      </w:r>
    </w:p>
    <w:p>
      <w:r>
        <w:br w:type="page"/>
      </w:r>
    </w:p>
    <w:p>
      <w:pPr>
        <w:pStyle w:val="Heading1"/>
      </w:pPr>
      <w:r>
        <w:t>Major Error Patterns - 1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Major Error Patterns - 2 of 2</w:t>
      </w:r>
    </w:p>
    <w:p>
      <w:r>
        <w:t>Complete a card for each recurring or high-risk reasoning pattern. If fewer than six patterns are present, mark unused cards N/A; if more are present, copy a card.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cantSplit/>
        </w:trPr>
        <w:tc>
          <w:tcPr>
            <w:tcW w:type="dxa" w:w="1900"/>
            <w:shd w:fill="0B2D5C"/>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Major Pattern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Code: ____________  Domain(s): 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Representative item(s)</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I believed / did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Why that reasoning failed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Corrected rule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cantSplit/>
        </w:trPr>
        <w:tc>
          <w:tcPr>
            <w:tcW w:type="dxa" w:w="1900"/>
            <w:shd w:fill="EAF1F8"/>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Source and transfer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Weak-Topic and Source Review Plan</w:t>
      </w:r>
    </w:p>
    <w:tbl>
      <w:tblPr>
        <w:tblStyle w:val="TableGrid"/>
        <w:tblW w:type="dxa" w:w="9240"/>
        <w:jc w:val="left"/>
        <w:tblLayout w:type="fixed"/>
        <w:tblLook w:firstColumn="1" w:firstRow="1" w:lastColumn="0" w:lastRow="0" w:noHBand="0" w:noVBand="1" w:val="04A0"/>
        <w:tblInd w:w="120" w:type="dxa"/>
      </w:tblPr>
      <w:tblGrid>
        <w:gridCol w:w="700"/>
        <w:gridCol w:w="1500"/>
        <w:gridCol w:w="2400"/>
        <w:gridCol w:w="2200"/>
        <w:gridCol w:w="2440"/>
      </w:tblGrid>
      <w:tr>
        <w:trPr>
          <w:cantSplit/>
          <w:tblHeader w:val="true"/>
        </w:trPr>
        <w:tc>
          <w:tcPr>
            <w:tcW w:type="dxa" w:w="7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Priority</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Domain / code</w:t>
            </w:r>
          </w:p>
        </w:tc>
        <w:tc>
          <w:tcPr>
            <w:tcW w:type="dxa" w:w="24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Workbook or current source</w:t>
            </w:r>
          </w:p>
        </w:tc>
        <w:tc>
          <w:tcPr>
            <w:tcW w:type="dxa" w:w="2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Specific concept reviewed</w:t>
            </w:r>
          </w:p>
        </w:tc>
        <w:tc>
          <w:tcPr>
            <w:tcW w:type="dxa" w:w="24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Corrected rule in my own words</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1</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2</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3</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4</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5</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w:t>
            </w:r>
          </w:p>
        </w:tc>
      </w:tr>
      <w:tr>
        <w:trPr>
          <w:cantSplit/>
        </w:trPr>
        <w:tc>
          <w:tcPr>
            <w:tcW w:type="dxa" w:w="7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6</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4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c>
          <w:tcPr>
            <w:tcW w:type="dxa" w:w="24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w:t>
            </w:r>
          </w:p>
        </w:tc>
      </w:tr>
    </w:tbl>
    <w:p>
      <w:pPr>
        <w:pStyle w:val="Heading2"/>
      </w:pPr>
      <w:r>
        <w:t>Source-review completion check</w:t>
      </w:r>
    </w:p>
    <w:p>
      <w:pPr>
        <w:keepLines/>
        <w:spacing w:after="60"/>
        <w:ind w:left="288" w:hanging="288"/>
      </w:pPr>
      <w:r>
        <w:t>☐ I reviewed the concept in the routed WB1-WB8 workbook or current authoritative source, not only the keyed explanation.</w:t>
      </w:r>
    </w:p>
    <w:p>
      <w:pPr>
        <w:keepLines/>
        <w:spacing w:after="60"/>
        <w:ind w:left="288" w:hanging="288"/>
      </w:pPr>
      <w:r>
        <w:t>☐ I separated durable clinical reasoning from jurisdiction-variable legal or regulatory duties.</w:t>
      </w:r>
    </w:p>
    <w:p>
      <w:pPr>
        <w:keepLines/>
        <w:spacing w:after="60"/>
        <w:ind w:left="288" w:hanging="288"/>
      </w:pPr>
      <w:r>
        <w:t>☐ I can state what evidence would change the action or sequence.</w:t>
      </w:r>
    </w:p>
    <w:p>
      <w:pPr>
        <w:keepLines/>
        <w:spacing w:after="60"/>
        <w:ind w:left="288" w:hanging="288"/>
      </w:pPr>
      <w:r>
        <w:t>☐ I can explain the corrected rule without repeating Checkpoint 2 answer wording.</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Remaining source question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Consultation or instructor follow-up</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r>
        <w:br w:type="page"/>
      </w:r>
    </w:p>
    <w:p>
      <w:pPr>
        <w:pStyle w:val="Heading1"/>
      </w:pPr>
      <w:r>
        <w:t>Fresh Reapplication Evidence - 1 of 2</w:t>
      </w:r>
    </w:p>
    <w:p>
      <w:r>
        <w:t>Use a new question, case variation, or decision task. Record your response before checking feedback. Repeating or memorizing Checkpoint 2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1</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2</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3</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Fresh Reapplication Evidence - 2 of 2</w:t>
      </w:r>
    </w:p>
    <w:p>
      <w:r>
        <w:t>Use a new question, case variation, or decision task. Record your response before checking feedback. Repeating or memorizing Checkpoint 2 does not satisfy this requirement.</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4</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5</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shd w:fill="10A7A0"/>
            <w:vAlign w:val="center"/>
            <w:tcMar>
              <w:top w:w="95" w:type="dxa"/>
              <w:start w:w="120" w:type="dxa"/>
              <w:bottom w:w="95" w:type="dxa"/>
              <w:end w:w="120" w:type="dxa"/>
            </w:tcMar>
          </w:tcPr>
          <w:p>
            <w:pPr>
              <w:spacing w:before="0" w:after="0" w:line="252" w:lineRule="auto"/>
              <w:jc w:val="left"/>
            </w:pPr>
            <w:r>
              <w:rPr>
                <w:rFonts w:ascii="Calibri" w:hAnsi="Calibri" w:eastAsia="Calibri"/>
                <w:b/>
                <w:color w:val="FFFFFF"/>
                <w:sz w:val="16"/>
              </w:rPr>
              <w:t>Fresh Practice 6</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Target code/domain: 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New task or case source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My response before feedback</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Reasoning sequence used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Result and evidence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Correct / Incorrect / Partial | Confidence: 1  2  3  4</w:t>
            </w:r>
          </w:p>
        </w:tc>
      </w:tr>
      <w:tr>
        <w:trPr>
          <w:cantSplit/>
        </w:trPr>
        <w:tc>
          <w:tcPr>
            <w:tcW w:type="dxa" w:w="1900"/>
            <w:shd w:fill="E7F7F5"/>
            <w:vAlign w:val="center"/>
            <w:tcMar>
              <w:top w:w="95" w:type="dxa"/>
              <w:start w:w="120" w:type="dxa"/>
              <w:bottom w:w="95" w:type="dxa"/>
              <w:end w:w="120" w:type="dxa"/>
            </w:tcMar>
          </w:tcPr>
          <w:p>
            <w:pPr>
              <w:spacing w:before="0" w:after="0" w:line="252" w:lineRule="auto"/>
              <w:jc w:val="left"/>
            </w:pPr>
            <w:r>
              <w:rPr>
                <w:rFonts w:ascii="Calibri" w:hAnsi="Calibri" w:eastAsia="Calibri"/>
                <w:b/>
                <w:color w:val="0B2D5C"/>
                <w:sz w:val="16"/>
              </w:rPr>
              <w:t>What transfers forward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7"/>
              </w:rPr>
              <w:t>____________________________________________________________</w:t>
            </w:r>
          </w:p>
        </w:tc>
      </w:tr>
    </w:tbl>
    <w:p>
      <w:pPr>
        <w:spacing w:after="100"/>
      </w:pPr>
    </w:p>
    <w:p>
      <w:r>
        <w:br w:type="page"/>
      </w:r>
    </w:p>
    <w:p>
      <w:pPr>
        <w:pStyle w:val="Heading1"/>
      </w:pPr>
      <w:r>
        <w:t>Transfer-Rule Evidence Summary</w:t>
      </w:r>
    </w:p>
    <w:tbl>
      <w:tblPr>
        <w:tblStyle w:val="TableGrid"/>
        <w:tblW w:type="dxa" w:w="9240"/>
        <w:jc w:val="left"/>
        <w:tblLayout w:type="fixed"/>
        <w:tblLook w:firstColumn="1" w:firstRow="1" w:lastColumn="0" w:lastRow="0" w:noHBand="0" w:noVBand="1" w:val="04A0"/>
        <w:tblInd w:w="120" w:type="dxa"/>
      </w:tblPr>
      <w:tblGrid>
        <w:gridCol w:w="800"/>
        <w:gridCol w:w="5200"/>
        <w:gridCol w:w="1500"/>
        <w:gridCol w:w="1740"/>
      </w:tblGrid>
      <w:tr>
        <w:trPr>
          <w:cantSplit/>
          <w:tblHeader w:val="true"/>
        </w:trPr>
        <w:tc>
          <w:tcPr>
            <w:tcW w:type="dxa" w:w="8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Code</w:t>
            </w:r>
          </w:p>
        </w:tc>
        <w:tc>
          <w:tcPr>
            <w:tcW w:type="dxa" w:w="52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Transfer rule</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evidence reference</w:t>
            </w:r>
          </w:p>
        </w:tc>
        <w:tc>
          <w:tcPr>
            <w:tcW w:type="dxa" w:w="17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Current status</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TASK</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Name the exact FIRST/NEXT/MOST/BEST decision point before evaluating options.</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STAGE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Stabilize and clarify roles before moving to a later treatment or system task.</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SYSTEM</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Map the reciprocal sequence, context, strengths, and attempted solutions before intervening.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ASSESS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Integrate interview, observation, functioning, context, measures, and collateral data before concluding.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SAFETY</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Assess supported danger or medical urgency directly and choose protection or level of care before routine technique.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SCOPE</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Verify competence, role, jurisdiction, and authority; consult, limit, train, or refer as indicated.</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CONTEXT</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Ask how identity, power, access, culture, structure, and client meaning change the formulation and response.</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PLAN</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Tie action to a shared goal, systemic hypothesis, treatment unit, sequence, and observable outcome.</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EVAL</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Review outcome, alliance, implementation, barriers, and client meaning before continuing, adapting, or ending.</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ETHICS</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Separate law, regulation, ethics, policy, contract, and rights; verify authority and document the reasoning.</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OVER</w:t>
            </w:r>
          </w:p>
        </w:tc>
        <w:tc>
          <w:tcPr>
            <w:tcW w:type="dxa" w:w="52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Reject automatic or maximum-restriction responses unless the facts and governing authority support them.</w:t>
            </w:r>
          </w:p>
        </w:tc>
        <w:tc>
          <w:tcPr>
            <w:tcW w:type="dxa" w:w="15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Stable / Partial / Not yet</w:t>
            </w:r>
          </w:p>
        </w:tc>
      </w:tr>
      <w:tr>
        <w:trPr>
          <w:cantSplit/>
        </w:trPr>
        <w:tc>
          <w:tcPr>
            <w:tcW w:type="dxa" w:w="8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UNDER</w:t>
            </w:r>
          </w:p>
        </w:tc>
        <w:tc>
          <w:tcPr>
            <w:tcW w:type="dxa" w:w="52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Do not delay or minimize when the facts already support direct clarification, assessment, or protection.</w:t>
            </w:r>
          </w:p>
        </w:tc>
        <w:tc>
          <w:tcPr>
            <w:tcW w:type="dxa" w:w="15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r>
          </w:p>
        </w:tc>
        <w:tc>
          <w:tcPr>
            <w:tcW w:type="dxa" w:w="17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Stable / Partial / Not yet</w:t>
            </w:r>
          </w:p>
        </w:tc>
      </w:tr>
    </w:tbl>
    <w:p>
      <w:pPr>
        <w:spacing w:before="80" w:after="140" w:line="259" w:lineRule="auto"/>
        <w:ind w:left="144" w:right="58"/>
        <w:shd w:fill="E7F7F5"/>
        <w:pBdr>
          <w:left w:val="single" w:sz="12" w:space="6" w:color="10A7A0"/>
        </w:pBdr>
      </w:pPr>
      <w:r>
        <w:rPr>
          <w:rFonts w:ascii="Calibri" w:hAnsi="Calibri" w:eastAsia="Calibri"/>
          <w:b/>
          <w:color w:val="0B2D5C"/>
          <w:sz w:val="18"/>
        </w:rPr>
        <w:t xml:space="preserve">EVIDENCE RULE: </w:t>
      </w:r>
      <w:r>
        <w:rPr>
          <w:rFonts w:ascii="Calibri" w:hAnsi="Calibri" w:eastAsia="Calibri"/>
          <w:color w:val="1F2933"/>
          <w:sz w:val="18"/>
        </w:rPr>
        <w:t>A code may be marked Stable only when the learner can explain the rule and apply it correctly to fresh material without seeing the answer first.</w:t>
      </w:r>
    </w:p>
    <w:p>
      <w:pPr>
        <w:sectPr>
          <w:headerReference w:type="default" r:id="rId9"/>
          <w:footerReference w:type="default" r:id="rId10"/>
          <w:headerReference w:type="first" r:id="rId11"/>
          <w:footerReference w:type="first" r:id="rId12"/>
          <w:headerReference w:type="even" r:id="rId17"/>
          <w:footerReference w:type="even" r:id="rId18"/>
          <w:pgSz w:w="12240" w:h="15840"/>
          <w:pgMar w:top="1440" w:right="1440" w:bottom="1440" w:left="1440" w:header="708" w:footer="708" w:gutter="0"/>
          <w:cols w:space="720"/>
          <w:titlePg/>
          <w:docGrid w:linePitch="360"/>
        </w:sectPr>
      </w:pPr>
    </w:p>
    <w:p>
      <w:pPr>
        <w:pStyle w:val="Heading1"/>
        <w:spacing w:before="0" w:after="100"/>
      </w:pPr>
      <w:r>
        <w:t>Item-Level Repair Log - Page 1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2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3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18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4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19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5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28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29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6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7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38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39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8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48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9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49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51</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52</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53</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54</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r>
        <w:br w:type="page"/>
      </w:r>
    </w:p>
    <w:p>
      <w:pPr>
        <w:pStyle w:val="Heading1"/>
        <w:spacing w:before="0" w:after="100"/>
      </w:pPr>
      <w:r>
        <w:t>Item-Level Repair Log - Page 10 of 10</w:t>
      </w:r>
    </w:p>
    <w:p>
      <w:pPr>
        <w:spacing w:after="100"/>
      </w:pPr>
      <w:r>
        <w:t>Complete one row for each incorrect item and each correct item rated confidence 1 or 2. Mark unused rows N/A; all 60 Checkpoint 2 items can be recorded in this log.</w:t>
      </w:r>
    </w:p>
    <w:tbl>
      <w:tblPr>
        <w:tblStyle w:val="TableGrid"/>
        <w:tblW w:type="dxa" w:w="12840"/>
        <w:jc w:val="left"/>
        <w:tblLayout w:type="fixed"/>
        <w:tblLook w:firstColumn="1" w:firstRow="1" w:lastColumn="0" w:lastRow="0" w:noHBand="0" w:noVBand="1" w:val="04A0"/>
        <w:tblInd w:w="120" w:type="dxa"/>
      </w:tblPr>
      <w:tblGrid>
        <w:gridCol w:w="650"/>
        <w:gridCol w:w="1500"/>
        <w:gridCol w:w="2300"/>
        <w:gridCol w:w="2050"/>
        <w:gridCol w:w="3000"/>
        <w:gridCol w:w="3340"/>
      </w:tblGrid>
      <w:tr>
        <w:trPr>
          <w:cantSplit/>
          <w:tblHeader w:val="true"/>
        </w:trPr>
        <w:tc>
          <w:tcPr>
            <w:tcW w:type="dxa" w:w="6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Record</w:t>
            </w:r>
          </w:p>
        </w:tc>
        <w:tc>
          <w:tcPr>
            <w:tcW w:type="dxa" w:w="15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Item / result / confidence</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Qualifier and decision point</w:t>
            </w:r>
          </w:p>
        </w:tc>
        <w:tc>
          <w:tcPr>
            <w:tcW w:type="dxa" w:w="205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Distractor defect</w:t>
            </w:r>
          </w:p>
        </w:tc>
        <w:tc>
          <w:tcPr>
            <w:tcW w:type="dxa" w:w="3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Corrected rule / source</w:t>
            </w:r>
          </w:p>
        </w:tc>
        <w:tc>
          <w:tcPr>
            <w:tcW w:type="dxa" w:w="3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5"/>
              </w:rPr>
              <w:t>Fresh reapplication evidence</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55</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56</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57</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58</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59</w:t>
            </w:r>
          </w:p>
        </w:tc>
        <w:tc>
          <w:tcPr>
            <w:tcW w:type="dxa" w:w="1500"/>
            <w:vAlign w:val="center"/>
            <w:tcMar>
              <w:top w:w="95" w:type="dxa"/>
              <w:start w:w="120" w:type="dxa"/>
              <w:bottom w:w="95" w:type="dxa"/>
              <w:end w:w="120" w:type="dxa"/>
            </w:tcMar>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5"/>
              </w:rPr>
              <w:t>New task: _______</w:t>
              <w:br/>
              <w:t>Result: __________</w:t>
              <w:br/>
              <w:t>Transfer: ________</w:t>
            </w:r>
          </w:p>
        </w:tc>
      </w:tr>
      <w:tr>
        <w:trPr>
          <w:cantSplit/>
        </w:trPr>
        <w:tc>
          <w:tcPr>
            <w:tcW w:type="dxa" w:w="65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60</w:t>
            </w:r>
          </w:p>
        </w:tc>
        <w:tc>
          <w:tcPr>
            <w:tcW w:type="dxa" w:w="1500"/>
            <w:vAlign w:val="center"/>
            <w:tcMar>
              <w:top w:w="95" w:type="dxa"/>
              <w:start w:w="120" w:type="dxa"/>
              <w:bottom w:w="95" w:type="dxa"/>
              <w:end w:w="120" w:type="dxa"/>
            </w:tcMar>
            <w:shd w:fill="F2F4F7"/>
          </w:tcPr>
          <w:p>
            <w:pPr>
              <w:spacing w:before="0" w:after="0" w:line="252" w:lineRule="auto"/>
              <w:jc w:val="center"/>
            </w:pPr>
            <w:r>
              <w:rPr>
                <w:rFonts w:ascii="Calibri" w:hAnsi="Calibri" w:eastAsia="Calibri"/>
                <w:b w:val="0"/>
                <w:color w:val="1F2933"/>
                <w:sz w:val="15"/>
              </w:rPr>
              <w:t>Item: ____</w:t>
              <w:br/>
              <w:t>C / I</w:t>
              <w:br/>
              <w:t>Conf: 1 2 3 4</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Qualifier: ______</w:t>
              <w:br/>
              <w:t>________________</w:t>
              <w:br/>
              <w:t>________________</w:t>
            </w:r>
          </w:p>
        </w:tc>
        <w:tc>
          <w:tcPr>
            <w:tcW w:type="dxa" w:w="205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Code: ______</w:t>
              <w:br/>
              <w:t>________________</w:t>
              <w:br/>
              <w:t>________________</w:t>
            </w:r>
          </w:p>
        </w:tc>
        <w:tc>
          <w:tcPr>
            <w:tcW w:type="dxa" w:w="3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________________</w:t>
              <w:br/>
              <w:t>________________</w:t>
              <w:br/>
              <w:t>Source: _________</w:t>
            </w:r>
          </w:p>
        </w:tc>
        <w:tc>
          <w:tcPr>
            <w:tcW w:type="dxa" w:w="3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5"/>
              </w:rPr>
              <w:t>New task: _______</w:t>
              <w:br/>
              <w:t>Result: __________</w:t>
              <w:br/>
              <w:t>Transfer: ________</w:t>
            </w:r>
          </w:p>
        </w:tc>
      </w:tr>
    </w:tbl>
    <w:p>
      <w:pPr>
        <w:sectPr>
          <w:pgSz w:w="15840" w:h="12240" w:orient="landscape"/>
          <w:pgMar w:top="1080" w:right="1440" w:bottom="1080" w:left="1440" w:header="547" w:footer="547" w:gutter="0"/>
          <w:cols w:space="720"/>
          <w:docGrid w:linePitch="360"/>
        </w:sectPr>
      </w:pPr>
    </w:p>
    <w:p>
      <w:pPr>
        <w:pStyle w:val="Heading1"/>
      </w:pPr>
      <w:r>
        <w:t>Pacing, Fatigue, Anxiety, and Attention Recovery</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Where pacing first drifted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What I will do at the next checkpoint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Time-loss behavior to stop</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Completion strategy for uncertain items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Fatigue cue I noticed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Planned break / reset behavior</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Anxiety or attention cue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Brief recovery sequence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pStyle w:val="Heading2"/>
      </w:pPr>
      <w:r>
        <w:t>Practice record</w:t>
      </w:r>
    </w:p>
    <w:tbl>
      <w:tblPr>
        <w:tblStyle w:val="TableGrid"/>
        <w:tblW w:type="dxa" w:w="9240"/>
        <w:jc w:val="left"/>
        <w:tblLayout w:type="fixed"/>
        <w:tblLook w:firstColumn="1" w:firstRow="1" w:lastColumn="0" w:lastRow="0" w:noHBand="0" w:noVBand="1" w:val="04A0"/>
        <w:tblInd w:w="120" w:type="dxa"/>
      </w:tblPr>
      <w:tblGrid>
        <w:gridCol w:w="1100"/>
        <w:gridCol w:w="2000"/>
        <w:gridCol w:w="2300"/>
        <w:gridCol w:w="1900"/>
        <w:gridCol w:w="1940"/>
      </w:tblGrid>
      <w:tr>
        <w:trPr>
          <w:cantSplit/>
          <w:tblHeader w:val="true"/>
        </w:trPr>
        <w:tc>
          <w:tcPr>
            <w:tcW w:type="dxa" w:w="1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Date</w:t>
            </w:r>
          </w:p>
        </w:tc>
        <w:tc>
          <w:tcPr>
            <w:tcW w:type="dxa" w:w="20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Practice condition</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Recovery strategy used</w:t>
            </w:r>
          </w:p>
        </w:tc>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Return-to-task result</w:t>
            </w:r>
          </w:p>
        </w:tc>
        <w:tc>
          <w:tcPr>
            <w:tcW w:type="dxa" w:w="19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Next adjustment</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w:t>
            </w:r>
          </w:p>
        </w:tc>
      </w:tr>
      <w:tr>
        <w:trPr>
          <w:cantSplit/>
        </w:trPr>
        <w:tc>
          <w:tcPr>
            <w:tcW w:type="dxa" w:w="1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w:t>
            </w:r>
          </w:p>
        </w:tc>
        <w:tc>
          <w:tcPr>
            <w:tcW w:type="dxa" w:w="20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c>
          <w:tcPr>
            <w:tcW w:type="dxa" w:w="19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w:t>
            </w:r>
          </w:p>
        </w:tc>
      </w:tr>
    </w:tbl>
    <w:p>
      <w:pPr>
        <w:spacing w:before="80" w:after="140" w:line="259" w:lineRule="auto"/>
        <w:ind w:left="144" w:right="58"/>
        <w:shd w:fill="EAF1F8"/>
        <w:pBdr>
          <w:left w:val="single" w:sz="12" w:space="6" w:color="10A7A0"/>
        </w:pBdr>
      </w:pPr>
      <w:r>
        <w:rPr>
          <w:rFonts w:ascii="Calibri" w:hAnsi="Calibri" w:eastAsia="Calibri"/>
          <w:b/>
          <w:color w:val="0B2D5C"/>
          <w:sz w:val="18"/>
        </w:rPr>
        <w:t xml:space="preserve">RECOVERY EVIDENCE: </w:t>
      </w:r>
      <w:r>
        <w:rPr>
          <w:rFonts w:ascii="Calibri" w:hAnsi="Calibri" w:eastAsia="Calibri"/>
          <w:color w:val="1F2933"/>
          <w:sz w:val="18"/>
        </w:rPr>
        <w:t>The plan must be practiced at least once in fresh timed work. Merely writing an intended strategy does not demonstrate that attention can be recovered under pressure.</w:t>
      </w:r>
    </w:p>
    <w:p>
      <w:r>
        <w:br w:type="page"/>
      </w:r>
    </w:p>
    <w:p>
      <w:pPr>
        <w:pStyle w:val="Heading1"/>
      </w:pPr>
      <w:r>
        <w:t>Workbook 9 Progression Evidence Checklist</w:t>
      </w:r>
    </w:p>
    <w:p>
      <w:pPr>
        <w:keepLines/>
        <w:spacing w:after="60"/>
        <w:ind w:left="288" w:hanging="288"/>
      </w:pPr>
      <w:r>
        <w:t>☐ The first Checkpoint 2 attempt, timing, unanswered count, confidence data, and conditions were preserved before answer review.</w:t>
      </w:r>
    </w:p>
    <w:p>
      <w:pPr>
        <w:keepLines/>
        <w:spacing w:after="60"/>
        <w:ind w:left="288" w:hanging="288"/>
      </w:pPr>
      <w:r>
        <w:t>☐ The Domain Performance Report is complete, with all six domains and cross-domain patterns considered.</w:t>
      </w:r>
    </w:p>
    <w:p>
      <w:pPr>
        <w:keepLines/>
        <w:spacing w:after="60"/>
        <w:ind w:left="288" w:hanging="288"/>
      </w:pPr>
      <w:r>
        <w:t>☐ Every incorrect item and every confidence 1-2 correct item has a written repair record; added pages are attached if needed.</w:t>
      </w:r>
    </w:p>
    <w:p>
      <w:pPr>
        <w:keepLines/>
        <w:spacing w:after="60"/>
        <w:ind w:left="288" w:hanging="288"/>
      </w:pPr>
      <w:r>
        <w:t>☐ I can state the corrected rule for every major error pattern in my own words.</w:t>
      </w:r>
    </w:p>
    <w:p>
      <w:pPr>
        <w:keepLines/>
        <w:spacing w:after="60"/>
        <w:ind w:left="288" w:hanging="288"/>
      </w:pPr>
      <w:r>
        <w:t>☐ I reviewed weak topics through the routed workbook or current authoritative source without relying only on answer explanations.</w:t>
      </w:r>
    </w:p>
    <w:p>
      <w:pPr>
        <w:keepLines/>
        <w:spacing w:after="60"/>
        <w:ind w:left="288" w:hanging="288"/>
      </w:pPr>
      <w:r>
        <w:t>☐ I completed fresh practice that shows the corrected reasoning can be applied to new material.</w:t>
      </w:r>
    </w:p>
    <w:p>
      <w:pPr>
        <w:keepLines/>
        <w:spacing w:after="60"/>
        <w:ind w:left="288" w:hanging="288"/>
      </w:pPr>
      <w:r>
        <w:t>☐ I can explain why the attractive distractors fail and what evidence would change the answer.</w:t>
      </w:r>
    </w:p>
    <w:p>
      <w:pPr>
        <w:keepLines/>
        <w:spacing w:after="60"/>
        <w:ind w:left="288" w:hanging="288"/>
      </w:pPr>
      <w:r>
        <w:t>☐ I adjusted pacing and fatigue management based on actual first-attempt data.</w:t>
      </w:r>
    </w:p>
    <w:p>
      <w:pPr>
        <w:keepLines/>
        <w:spacing w:after="60"/>
        <w:ind w:left="288" w:hanging="288"/>
      </w:pPr>
      <w:r>
        <w:t>☐ I practiced an anxiety and attention-recovery sequence during fresh timed work.</w:t>
      </w:r>
    </w:p>
    <w:p>
      <w:pPr>
        <w:keepLines/>
        <w:spacing w:after="60"/>
        <w:ind w:left="288" w:hanging="288"/>
      </w:pPr>
      <w:r>
        <w:t>☐ I did not use shared or recalled live-examination content and did not retake Checkpoint 2 to memorize answers.</w:t>
      </w:r>
    </w:p>
    <w:p>
      <w:pPr>
        <w:keepLines/>
        <w:spacing w:after="60"/>
        <w:ind w:left="288" w:hanging="288"/>
      </w:pPr>
      <w:r>
        <w:t>☐ All High and Moderate remediation priorities are either demonstrated as corrected or explicitly routed into a dated continued-remediation plan before Workbook 9 access.</w:t>
      </w:r>
    </w:p>
    <w:p>
      <w:pPr>
        <w:keepLines/>
        <w:spacing w:after="60"/>
        <w:ind w:left="288" w:hanging="288"/>
      </w:pPr>
      <w:r>
        <w:t>☐ I understand that CTA practice performance does not guarantee passage, eligibility, licensure, or an official score outcome.</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Candidate attestation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  Date: 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Evidence pages attached</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Unresolved concern, if any</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SELF-CHECK: </w:t>
      </w:r>
      <w:r>
        <w:rPr>
          <w:rFonts w:ascii="Calibri" w:hAnsi="Calibri" w:eastAsia="Calibri"/>
          <w:color w:val="1F2933"/>
          <w:sz w:val="18"/>
        </w:rPr>
        <w:t>If any required box remains incomplete or the learner cannot demonstrate the correction on fresh work, select Continue Remediation on the controlled decision page and keep Workbook 9 locked.</w:t>
      </w:r>
    </w:p>
    <w:p>
      <w:r>
        <w:br w:type="page"/>
      </w:r>
    </w:p>
    <w:p>
      <w:pPr>
        <w:pStyle w:val="Heading1"/>
      </w:pPr>
      <w:r>
        <w:t>Controlled Progression Decision and Workbook 9 Release Record</w:t>
      </w:r>
    </w:p>
    <w:tbl>
      <w:tblPr>
        <w:tblStyle w:val="TableGrid"/>
        <w:tblW w:type="dxa" w:w="9240"/>
        <w:jc w:val="left"/>
        <w:tblLayout w:type="fixed"/>
        <w:tblLook w:firstColumn="1" w:firstRow="1" w:lastColumn="0" w:lastRow="0" w:noHBand="0" w:noVBand="1" w:val="04A0"/>
        <w:tblInd w:w="120" w:type="dxa"/>
      </w:tblPr>
      <w:tblGrid>
        <w:gridCol w:w="3100"/>
        <w:gridCol w:w="2300"/>
        <w:gridCol w:w="3840"/>
      </w:tblGrid>
      <w:tr>
        <w:trPr>
          <w:cantSplit/>
          <w:tblHeader w:val="true"/>
        </w:trPr>
        <w:tc>
          <w:tcPr>
            <w:tcW w:type="dxa" w:w="31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Gate element</w:t>
            </w:r>
          </w:p>
        </w:tc>
        <w:tc>
          <w:tcPr>
            <w:tcW w:type="dxa" w:w="23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Status</w:t>
            </w:r>
          </w:p>
        </w:tc>
        <w:tc>
          <w:tcPr>
            <w:tcW w:type="dxa" w:w="38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Reviewer evidence / note</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First-attempt integrity - Checkpoint 2</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Checkpoint 2 domain and reasoning profile</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Item-level written repair</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Complete / Incomplete</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Corrected major-pattern rules</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Fresh reapplication</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Weak-topic source review</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Pacing / fatigue adjustment</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Anxiety / attention recovery</w:t>
            </w:r>
          </w:p>
        </w:tc>
        <w:tc>
          <w:tcPr>
            <w:tcW w:type="dxa" w:w="23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Demonstrated / Not yet</w:t>
            </w:r>
          </w:p>
        </w:tc>
        <w:tc>
          <w:tcPr>
            <w:tcW w:type="dxa" w:w="38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6"/>
              </w:rPr>
              <w:t>____________________________</w:t>
            </w:r>
          </w:p>
        </w:tc>
      </w:tr>
      <w:tr>
        <w:trPr>
          <w:cantSplit/>
        </w:trPr>
        <w:tc>
          <w:tcPr>
            <w:tcW w:type="dxa" w:w="31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Outstanding high-risk gap</w:t>
            </w:r>
          </w:p>
        </w:tc>
        <w:tc>
          <w:tcPr>
            <w:tcW w:type="dxa" w:w="23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None / Present</w:t>
            </w:r>
          </w:p>
        </w:tc>
        <w:tc>
          <w:tcPr>
            <w:tcW w:type="dxa" w:w="38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6"/>
              </w:rPr>
              <w:t>____________________________</w:t>
            </w:r>
          </w:p>
        </w:tc>
      </w:tr>
    </w:tbl>
    <w:p>
      <w:pPr>
        <w:pStyle w:val="Heading2"/>
      </w:pPr>
      <w:r>
        <w:t>Authorized decision</w:t>
      </w:r>
    </w:p>
    <w:p>
      <w:pPr>
        <w:keepLines/>
        <w:spacing w:after="60"/>
        <w:ind w:left="288" w:hanging="288"/>
      </w:pPr>
      <w:r>
        <w:t>☐ UNLOCK WORKBOOK 9 - all required evidence is complete and corrected reasoning is demonstrated on fresh material.</w:t>
      </w:r>
    </w:p>
    <w:p>
      <w:pPr>
        <w:keepLines/>
        <w:spacing w:after="60"/>
        <w:ind w:left="288" w:hanging="288"/>
      </w:pPr>
      <w:r>
        <w:t>☐ CONTINUE REMEDIATION - one or more required elements remain incomplete, unstable, or unverified; Workbook 9 stays locked.</w:t>
      </w:r>
    </w:p>
    <w:p>
      <w:pPr>
        <w:keepLines/>
        <w:spacing w:after="60"/>
        <w:ind w:left="288" w:hanging="288"/>
      </w:pPr>
      <w:r>
        <w:t>☐ HOLD FOR REVIEW - a source, safety, scope, access, integrity, accommodation, or testing-condition issue requires additional review; Workbook 9 stays locked.</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Authorized reviewer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Decision date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Required next action / review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____________________________________________________________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LMS Workbook 9 status</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 Unlocked / Hold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Workbook 9 release date, if authorized</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____________________</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Final progression authorization signature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____________________________________________________________</w:t>
            </w:r>
          </w:p>
        </w:tc>
      </w:tr>
    </w:tbl>
    <w:p>
      <w:pPr>
        <w:spacing w:before="80" w:after="140" w:line="259" w:lineRule="auto"/>
        <w:ind w:left="144" w:right="58"/>
        <w:shd w:fill="FFF4D6"/>
        <w:pBdr>
          <w:left w:val="single" w:sz="12" w:space="6" w:color="10A7A0"/>
        </w:pBdr>
      </w:pPr>
      <w:r>
        <w:rPr>
          <w:rFonts w:ascii="Calibri" w:hAnsi="Calibri" w:eastAsia="Calibri"/>
          <w:b/>
          <w:color w:val="9B1C1C"/>
          <w:sz w:val="18"/>
        </w:rPr>
        <w:t xml:space="preserve">CONTROL RULE: </w:t>
      </w:r>
      <w:r>
        <w:rPr>
          <w:rFonts w:ascii="Calibri" w:hAnsi="Calibri" w:eastAsia="Calibri"/>
          <w:color w:val="1F2933"/>
          <w:sz w:val="18"/>
        </w:rPr>
        <w:t>No raw score or percentage alone authorizes Workbook 9. If the decision is Continue Remediation or Hold for Review, preserve all completed work, assign the next evidence task and review date, and keep Workbook 9 inaccessible.</w:t>
      </w:r>
    </w:p>
    <w:p>
      <w:r>
        <w:br w:type="page"/>
      </w:r>
    </w:p>
    <w:p>
      <w:pPr>
        <w:pStyle w:val="Heading1"/>
      </w:pPr>
      <w:r>
        <w:t>Source, Security, and Version Control</w:t>
      </w:r>
    </w:p>
    <w:tbl>
      <w:tblPr>
        <w:tblStyle w:val="TableGrid"/>
        <w:tblW w:type="dxa" w:w="9240"/>
        <w:jc w:val="left"/>
        <w:tblLayout w:type="fixed"/>
        <w:tblLook w:firstColumn="1" w:firstRow="1" w:lastColumn="0" w:lastRow="0" w:noHBand="0" w:noVBand="1" w:val="04A0"/>
        <w:tblInd w:w="120" w:type="dxa"/>
      </w:tblPr>
      <w:tblGrid>
        <w:gridCol w:w="1900"/>
        <w:gridCol w:w="7340"/>
      </w:tblGrid>
      <w:tr>
        <w:trPr>
          <w:cantSplit/>
          <w:tblHeader w:val="true"/>
        </w:trPr>
        <w:tc>
          <w:tcPr>
            <w:tcW w:type="dxa" w:w="190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Field</w:t>
            </w:r>
          </w:p>
        </w:tc>
        <w:tc>
          <w:tcPr>
            <w:tcW w:type="dxa" w:w="7340"/>
            <w:vAlign w:val="center"/>
            <w:tcMar>
              <w:top w:w="95" w:type="dxa"/>
              <w:start w:w="120" w:type="dxa"/>
              <w:bottom w:w="95" w:type="dxa"/>
              <w:end w:w="120" w:type="dxa"/>
            </w:tcMar>
            <w:shd w:fill="0B2D5C"/>
          </w:tcPr>
          <w:p>
            <w:pPr>
              <w:spacing w:before="0" w:after="0" w:line="252" w:lineRule="auto"/>
              <w:jc w:val="center"/>
            </w:pPr>
            <w:r>
              <w:rPr>
                <w:rFonts w:ascii="Calibri" w:hAnsi="Calibri" w:eastAsia="Calibri"/>
                <w:b/>
                <w:color w:val="FFFFFF"/>
                <w:sz w:val="16"/>
              </w:rPr>
              <w:t>Entry</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Program</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CTA LMFT AMFTRB National Exam Preparation Program</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Artifact</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Checkpoint 2 Required Remediation Workbook and Workbook 9 Progression Gate</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Version / effective date</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v1.0 / August 4, 2026</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Distribution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Authorized post-attempt learner use; final decision restricted to authorized staff</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Release condition</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Checkpoint 2 first attempt submitted and preserved</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Workbook 9 condition</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Locked until all evidence is complete and an authorized progression decision is recorded</w:t>
            </w:r>
          </w:p>
        </w:tc>
      </w:tr>
      <w:tr>
        <w:trPr>
          <w:cantSplit/>
        </w:trPr>
        <w:tc>
          <w:tcPr>
            <w:tcW w:type="dxa" w:w="190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Currency review trigger</w:t>
            </w:r>
          </w:p>
        </w:tc>
        <w:tc>
          <w:tcPr>
            <w:tcW w:type="dxa" w:w="7340"/>
            <w:vAlign w:val="center"/>
            <w:tcMar>
              <w:top w:w="95" w:type="dxa"/>
              <w:start w:w="120" w:type="dxa"/>
              <w:bottom w:w="95" w:type="dxa"/>
              <w:end w:w="120" w:type="dxa"/>
            </w:tcMar>
          </w:tcPr>
          <w:p>
            <w:pPr>
              <w:spacing w:before="0" w:after="0" w:line="252" w:lineRule="auto"/>
              <w:jc w:val="left"/>
            </w:pPr>
            <w:r>
              <w:rPr>
                <w:rFonts w:ascii="Calibri" w:hAnsi="Calibri" w:eastAsia="Calibri"/>
                <w:b w:val="0"/>
                <w:color w:val="1F2933"/>
                <w:sz w:val="18"/>
              </w:rPr>
              <w:t>Before each release window and after material official-source changes</w:t>
            </w:r>
          </w:p>
        </w:tc>
      </w:tr>
      <w:tr>
        <w:trPr>
          <w:cantSplit/>
        </w:trPr>
        <w:tc>
          <w:tcPr>
            <w:tcW w:type="dxa" w:w="190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Archive rule</w:t>
            </w:r>
          </w:p>
        </w:tc>
        <w:tc>
          <w:tcPr>
            <w:tcW w:type="dxa" w:w="7340"/>
            <w:vAlign w:val="center"/>
            <w:tcMar>
              <w:top w:w="95" w:type="dxa"/>
              <w:start w:w="120" w:type="dxa"/>
              <w:bottom w:w="95" w:type="dxa"/>
              <w:end w:w="120" w:type="dxa"/>
            </w:tcMar>
            <w:shd w:fill="F2F4F7"/>
          </w:tcPr>
          <w:p>
            <w:pPr>
              <w:spacing w:before="0" w:after="0" w:line="252" w:lineRule="auto"/>
              <w:jc w:val="left"/>
            </w:pPr>
            <w:r>
              <w:rPr>
                <w:rFonts w:ascii="Calibri" w:hAnsi="Calibri" w:eastAsia="Calibri"/>
                <w:b w:val="0"/>
                <w:color w:val="1F2933"/>
                <w:sz w:val="18"/>
              </w:rPr>
              <w:t>Superseded versions marked and retained outside learner-facing folders</w:t>
            </w:r>
          </w:p>
        </w:tc>
      </w:tr>
    </w:tbl>
    <w:p>
      <w:pPr>
        <w:pStyle w:val="Heading2"/>
      </w:pPr>
      <w:r>
        <w:t>Controlled release checks</w:t>
      </w:r>
    </w:p>
    <w:p>
      <w:pPr>
        <w:keepLines/>
        <w:spacing w:after="60"/>
        <w:ind w:left="288" w:hanging="288"/>
      </w:pPr>
      <w:r>
        <w:t>☐ The answer-hidden Checkpoint 2 assessment, controlled rationales, performance report, this workbook, and Workbook 9 remain separate access-controlled artifacts.</w:t>
      </w:r>
    </w:p>
    <w:p>
      <w:pPr>
        <w:keepLines/>
        <w:spacing w:after="60"/>
        <w:ind w:left="288" w:hanging="288"/>
      </w:pPr>
      <w:r>
        <w:t>☐ No protected item-development metadata or live-examination content is included in this workbook.</w:t>
      </w:r>
    </w:p>
    <w:p>
      <w:pPr>
        <w:keepLines/>
        <w:spacing w:after="60"/>
        <w:ind w:left="288" w:hanging="288"/>
      </w:pPr>
      <w:r>
        <w:t>☐ The LMS records Workbook 9 Locked, Workbook 9 Unlocked, or Hold for Review and preserves completed learner evidence.</w:t>
      </w:r>
    </w:p>
    <w:p>
      <w:pPr>
        <w:keepLines/>
        <w:spacing w:after="60"/>
        <w:ind w:left="288" w:hanging="288"/>
      </w:pPr>
      <w:r>
        <w:t>☐ The current official sources and jurisdiction-specific requirements are reviewed before release.</w:t>
      </w:r>
    </w:p>
    <w:p>
      <w:pPr>
        <w:pStyle w:val="Heading2"/>
      </w:pPr>
      <w:r>
        <w:t>Current Source Controls</w:t>
      </w:r>
    </w:p>
    <w:p>
      <w:pPr>
        <w:pStyle w:val="ListBullet"/>
      </w:pPr>
      <w:hyperlink r:id="rId14">
        <w:r>
          <w:rPr>
            <w:color w:val="10A7A0"/>
            <w:u w:val="single"/>
          </w:rPr>
          <w:t>2026 PTC/AMFTRB Handbook for Candidates</w:t>
        </w:r>
      </w:hyperlink>
    </w:p>
    <w:p>
      <w:pPr>
        <w:pStyle w:val="ListBullet"/>
      </w:pPr>
      <w:hyperlink r:id="rId15">
        <w:r>
          <w:rPr>
            <w:color w:val="10A7A0"/>
            <w:u w:val="single"/>
          </w:rPr>
          <w:t>AMFTRB Examination Information</w:t>
        </w:r>
      </w:hyperlink>
    </w:p>
    <w:p>
      <w:pPr>
        <w:pStyle w:val="ListBullet"/>
      </w:pPr>
      <w:hyperlink r:id="rId16">
        <w:r>
          <w:rPr>
            <w:color w:val="10A7A0"/>
            <w:u w:val="single"/>
          </w:rPr>
          <w:t>2026 AAMFT Code of Ethics</w:t>
        </w:r>
      </w:hyperlink>
    </w:p>
    <w:p>
      <w:pPr>
        <w:spacing w:before="80" w:after="140" w:line="259" w:lineRule="auto"/>
        <w:ind w:left="144" w:right="58"/>
        <w:shd w:fill="F2F4F7"/>
        <w:pBdr>
          <w:left w:val="single" w:sz="12" w:space="6" w:color="10A7A0"/>
        </w:pBdr>
      </w:pPr>
      <w:r>
        <w:rPr>
          <w:rFonts w:ascii="Calibri" w:hAnsi="Calibri" w:eastAsia="Calibri"/>
          <w:b/>
          <w:color w:val="0B2D5C"/>
          <w:sz w:val="18"/>
        </w:rPr>
        <w:t xml:space="preserve">NO-GUARANTEE / NO-AFFILIATION NOTICE: </w:t>
      </w:r>
      <w:r>
        <w:rPr>
          <w:rFonts w:ascii="Calibri" w:hAnsi="Calibri" w:eastAsia="Calibri"/>
          <w:color w:val="1F2933"/>
          <w:sz w:val="18"/>
        </w:rPr>
        <w:t>CTA is an independent educational program and is not affiliated with or endorsed by AMFTRB, PTC, Prometric, AAMFT, BBS, or any licensing jurisdiction. This workbook supports structured study and does not determine official examination readiness, eligibility, passage, or licensure.</w:t>
      </w:r>
    </w:p>
    <w:p>
      <w:r>
        <w:rPr>
          <w:rFonts w:ascii="Calibri" w:hAnsi="Calibri" w:eastAsia="Calibri"/>
          <w:b/>
          <w:color w:val="0B2D5C"/>
        </w:rPr>
        <w:t xml:space="preserve">Currency rule: </w:t>
      </w:r>
      <w:r>
        <w:t>Use current official sources and the learner's licensing jurisdiction for live requirements. CTA practice results do not replace official eligibility, law, regulation, ethics, policy, or individualized consultation.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17A"/>
        <w:sz w:val="15"/>
      </w:rPr>
      <w:t xml:space="preserve">CONTROLLED POST-ATTEMPT RESOURCE   |   Page </w:t>
    </w:r>
    <w:r>
      <w:rPr>
        <w:rFonts w:ascii="Calibri" w:hAnsi="Calibri" w:eastAsia="Calibri"/>
        <w:color w:val="66717A"/>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17A"/>
        <w:sz w:val="16"/>
      </w:rPr>
      <w:t>Clinical Training &amp; Supervision Academy | Exam Preparation Program | No CE Credit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0B2D5C"/>
        <w:sz w:val="15"/>
      </w:rPr>
      <w:t>CTA LMFT AMFTRB | CHECKPOINT 2 REMEDIATION AND PROGRESSION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D5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0A7A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0B2D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10A7A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ptcny.com/pdf/AMFTRB.pdf" TargetMode="External"/><Relationship Id="rId15" Type="http://schemas.openxmlformats.org/officeDocument/2006/relationships/hyperlink" Target="https://amftrb.org/exam-info/" TargetMode="External"/><Relationship Id="rId16" Type="http://schemas.openxmlformats.org/officeDocument/2006/relationships/hyperlink" Target="https://www.aamft.org/common/Uploaded%20files/Legal%20Ethics/AAMFT%20Code%20of%20Ethics.pdf" TargetMode="Externa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2 Required Remediation Workbook and Workbook 9 Progression Gate</dc:title>
  <dc:subject>Controlled post-Checkpoint 2 remediation and progression decision for Workbook 9 access.</dc:subject>
  <dc:creator>Clinical Training and Supervision Academy</dc:creator>
  <cp:keywords>CTA, LMFT, AMFTRB, Checkpoint 2, remediation, Workbook 9, progression gate</cp:keywords>
  <dc:description>Controlled post-attempt exam-preparation resource; no CE credit.</dc:description>
  <cp:lastModifiedBy>Clinical Training and Supervision Academy</cp:lastModifiedBy>
  <cp:revision>1</cp:revision>
  <dcterms:created xsi:type="dcterms:W3CDTF">2026-08-03T00:00:00Z</dcterms:created>
  <dcterms:modified xsi:type="dcterms:W3CDTF">2026-08-04T12:00:00Z</dcterms:modified>
  <cp:category/>
</cp:coreProperties>
</file>