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jc w:val="center"/>
      </w:pPr>
      <w:r>
        <w:drawing>
          <wp:inline xmlns:a="http://schemas.openxmlformats.org/drawingml/2006/main" xmlns:pic="http://schemas.openxmlformats.org/drawingml/2006/picture">
            <wp:extent cx="1143000" cy="826213"/>
            <wp:docPr id="1" name="Picture 1" descr="Clinical Training and Supervision Academy emblem showing people beneath a tree and a shield" title="Clinical Training and Supervision Academy logo"/>
            <wp:cNvGraphicFramePr>
              <a:graphicFrameLocks noChangeAspect="1"/>
            </wp:cNvGraphicFramePr>
            <a:graphic>
              <a:graphicData uri="http://schemas.openxmlformats.org/drawingml/2006/picture">
                <pic:pic>
                  <pic:nvPicPr>
                    <pic:cNvPr id="0" name="05-CTA_Stacked_Logo.png"/>
                    <pic:cNvPicPr/>
                  </pic:nvPicPr>
                  <pic:blipFill>
                    <a:blip r:embed="rId11"/>
                    <a:stretch>
                      <a:fillRect/>
                    </a:stretch>
                  </pic:blipFill>
                  <pic:spPr>
                    <a:xfrm>
                      <a:off x="0" y="0"/>
                      <a:ext cx="1143000" cy="826213"/>
                    </a:xfrm>
                    <a:prstGeom prst="rect"/>
                  </pic:spPr>
                </pic:pic>
              </a:graphicData>
            </a:graphic>
          </wp:inline>
        </w:drawing>
      </w:r>
    </w:p>
    <w:p>
      <w:pPr>
        <w:spacing w:after="80"/>
        <w:jc w:val="center"/>
      </w:pPr>
      <w:r>
        <w:rPr>
          <w:rFonts w:ascii="Calibri" w:hAnsi="Calibri"/>
          <w:b/>
          <w:color w:val="087E76"/>
          <w:sz w:val="24"/>
        </w:rPr>
        <w:t>CTA LMFT AMFTRB</w:t>
      </w:r>
    </w:p>
    <w:p>
      <w:pPr>
        <w:spacing w:after="140"/>
        <w:jc w:val="center"/>
      </w:pPr>
      <w:r>
        <w:rPr>
          <w:rFonts w:ascii="Calibri" w:hAnsi="Calibri"/>
          <w:b/>
          <w:color w:val="0B2545"/>
          <w:sz w:val="48"/>
        </w:rPr>
        <w:t>California Transition and Candidate Routing Companion</w:t>
      </w:r>
    </w:p>
    <w:p>
      <w:pPr>
        <w:spacing w:after="360"/>
        <w:jc w:val="center"/>
      </w:pPr>
      <w:r>
        <w:rPr>
          <w:rFonts w:ascii="Calibri" w:hAnsi="Calibri"/>
          <w:color w:val="667085"/>
          <w:sz w:val="26"/>
        </w:rPr>
        <w:t>Update-controlled California status, exam-path routing, and separate Law and Ethics reminder</w:t>
      </w:r>
    </w:p>
    <w:tbl>
      <w:tblPr>
        <w:tblStyle w:val="TableGrid"/>
        <w:tblW w:type="dxa" w:w="9240"/>
        <w:jc w:val="left"/>
        <w:tblLayout w:type="fixed"/>
        <w:tblLook w:firstColumn="1" w:firstRow="1" w:lastColumn="0" w:lastRow="0" w:noHBand="0" w:noVBand="1" w:val="04A0"/>
        <w:tblInd w:w="120" w:type="dxa"/>
      </w:tblPr>
      <w:tblGrid>
        <w:gridCol w:w="1920"/>
        <w:gridCol w:w="7320"/>
      </w:tblGrid>
      <w:tr>
        <w:trPr>
          <w:tblHeader w:val="true"/>
          <w:cantSplit/>
        </w:trPr>
        <w:tc>
          <w:tcPr>
            <w:tcW w:type="dxa" w:w="1920"/>
            <w:tcMar>
              <w:top w:w="80" w:type="dxa"/>
              <w:start w:w="120" w:type="dxa"/>
              <w:bottom w:w="80" w:type="dxa"/>
              <w:end w:w="120" w:type="dxa"/>
            </w:tcMar>
            <w:vAlign w:val="center"/>
            <w:shd w:fill="0B2545"/>
          </w:tcPr>
          <w:p>
            <w:pPr>
              <w:spacing w:before="0" w:after="40" w:line="252" w:lineRule="auto"/>
            </w:pPr>
            <w:r>
              <w:rPr>
                <w:rFonts w:ascii="Calibri" w:hAnsi="Calibri"/>
                <w:b/>
                <w:color w:val="FFFFFF"/>
                <w:sz w:val="19"/>
              </w:rPr>
              <w:t>Control</w:t>
            </w:r>
          </w:p>
        </w:tc>
        <w:tc>
          <w:tcPr>
            <w:tcW w:type="dxa" w:w="7320"/>
            <w:tcMar>
              <w:top w:w="80" w:type="dxa"/>
              <w:start w:w="120" w:type="dxa"/>
              <w:bottom w:w="80" w:type="dxa"/>
              <w:end w:w="120" w:type="dxa"/>
            </w:tcMar>
            <w:vAlign w:val="center"/>
            <w:shd w:fill="0B2545"/>
          </w:tcPr>
          <w:p>
            <w:pPr>
              <w:spacing w:before="0" w:after="40" w:line="252" w:lineRule="auto"/>
            </w:pPr>
            <w:r>
              <w:rPr>
                <w:rFonts w:ascii="Calibri" w:hAnsi="Calibri"/>
                <w:b/>
                <w:color w:val="FFFFFF"/>
                <w:sz w:val="19"/>
              </w:rPr>
              <w:t>Value</w:t>
            </w:r>
          </w:p>
        </w:tc>
      </w:tr>
      <w:tr>
        <w:trPr>
          <w:cantSplit/>
        </w:trPr>
        <w:tc>
          <w:tcPr>
            <w:tcW w:type="dxa" w:w="1920"/>
            <w:tcMar>
              <w:top w:w="80" w:type="dxa"/>
              <w:start w:w="120" w:type="dxa"/>
              <w:bottom w:w="80" w:type="dxa"/>
              <w:end w:w="120" w:type="dxa"/>
            </w:tcMar>
            <w:vAlign w:val="center"/>
          </w:tcPr>
          <w:p>
            <w:pPr>
              <w:spacing w:before="0" w:after="40" w:line="252" w:lineRule="auto"/>
            </w:pPr>
            <w:r>
              <w:rPr>
                <w:rFonts w:ascii="Calibri" w:hAnsi="Calibri"/>
                <w:b w:val="0"/>
                <w:color w:val="1D2939"/>
                <w:sz w:val="19"/>
              </w:rPr>
              <w:t>Program</w:t>
            </w:r>
          </w:p>
        </w:tc>
        <w:tc>
          <w:tcPr>
            <w:tcW w:type="dxa" w:w="7320"/>
            <w:tcMar>
              <w:top w:w="80" w:type="dxa"/>
              <w:start w:w="120" w:type="dxa"/>
              <w:bottom w:w="80" w:type="dxa"/>
              <w:end w:w="120" w:type="dxa"/>
            </w:tcMar>
            <w:vAlign w:val="center"/>
          </w:tcPr>
          <w:p>
            <w:pPr>
              <w:spacing w:before="0" w:after="40" w:line="252" w:lineRule="auto"/>
            </w:pPr>
            <w:r>
              <w:rPr>
                <w:rFonts w:ascii="Calibri" w:hAnsi="Calibri"/>
                <w:b w:val="0"/>
                <w:color w:val="1D2939"/>
                <w:sz w:val="19"/>
              </w:rPr>
              <w:t>CTA LMFT AMFTRB National Exam Preparation Program</w:t>
            </w:r>
          </w:p>
        </w:tc>
      </w:tr>
      <w:tr>
        <w:trPr>
          <w:cantSplit/>
        </w:trPr>
        <w:tc>
          <w:tcPr>
            <w:tcW w:type="dxa" w:w="1920"/>
            <w:tcMar>
              <w:top w:w="80" w:type="dxa"/>
              <w:start w:w="120" w:type="dxa"/>
              <w:bottom w:w="80" w:type="dxa"/>
              <w:end w:w="120" w:type="dxa"/>
            </w:tcMar>
            <w:vAlign w:val="center"/>
          </w:tcPr>
          <w:p>
            <w:pPr>
              <w:spacing w:before="0" w:after="40" w:line="252" w:lineRule="auto"/>
            </w:pPr>
            <w:r>
              <w:rPr>
                <w:rFonts w:ascii="Calibri" w:hAnsi="Calibri"/>
                <w:b w:val="0"/>
                <w:color w:val="1D2939"/>
                <w:sz w:val="19"/>
              </w:rPr>
              <w:t>Classification</w:t>
            </w:r>
          </w:p>
        </w:tc>
        <w:tc>
          <w:tcPr>
            <w:tcW w:type="dxa" w:w="7320"/>
            <w:tcMar>
              <w:top w:w="80" w:type="dxa"/>
              <w:start w:w="120" w:type="dxa"/>
              <w:bottom w:w="80" w:type="dxa"/>
              <w:end w:w="120" w:type="dxa"/>
            </w:tcMar>
            <w:vAlign w:val="center"/>
          </w:tcPr>
          <w:p>
            <w:pPr>
              <w:spacing w:before="0" w:after="40" w:line="252" w:lineRule="auto"/>
            </w:pPr>
            <w:r>
              <w:rPr>
                <w:rFonts w:ascii="Calibri" w:hAnsi="Calibri"/>
                <w:b w:val="0"/>
                <w:color w:val="1D2939"/>
                <w:sz w:val="19"/>
              </w:rPr>
              <w:t>Learner Resource | Exam Preparation Program | No CE Credit</w:t>
            </w:r>
          </w:p>
        </w:tc>
      </w:tr>
      <w:tr>
        <w:trPr>
          <w:cantSplit/>
        </w:trPr>
        <w:tc>
          <w:tcPr>
            <w:tcW w:type="dxa" w:w="1920"/>
            <w:tcMar>
              <w:top w:w="80" w:type="dxa"/>
              <w:start w:w="120" w:type="dxa"/>
              <w:bottom w:w="80" w:type="dxa"/>
              <w:end w:w="120" w:type="dxa"/>
            </w:tcMar>
            <w:vAlign w:val="center"/>
          </w:tcPr>
          <w:p>
            <w:pPr>
              <w:spacing w:before="0" w:after="40" w:line="252" w:lineRule="auto"/>
            </w:pPr>
            <w:r>
              <w:rPr>
                <w:rFonts w:ascii="Calibri" w:hAnsi="Calibri"/>
                <w:b w:val="0"/>
                <w:color w:val="1D2939"/>
                <w:sz w:val="19"/>
              </w:rPr>
              <w:t>Version</w:t>
            </w:r>
          </w:p>
        </w:tc>
        <w:tc>
          <w:tcPr>
            <w:tcW w:type="dxa" w:w="7320"/>
            <w:tcMar>
              <w:top w:w="80" w:type="dxa"/>
              <w:start w:w="120" w:type="dxa"/>
              <w:bottom w:w="80" w:type="dxa"/>
              <w:end w:w="120" w:type="dxa"/>
            </w:tcMar>
            <w:vAlign w:val="center"/>
          </w:tcPr>
          <w:p>
            <w:pPr>
              <w:spacing w:before="0" w:after="40" w:line="252" w:lineRule="auto"/>
            </w:pPr>
            <w:r>
              <w:rPr>
                <w:rFonts w:ascii="Calibri" w:hAnsi="Calibri"/>
                <w:b w:val="0"/>
                <w:color w:val="1D2939"/>
                <w:sz w:val="19"/>
              </w:rPr>
              <w:t>Version 1.0 | August 4, 2026</w:t>
            </w:r>
          </w:p>
        </w:tc>
      </w:tr>
      <w:tr>
        <w:trPr>
          <w:cantSplit/>
        </w:trPr>
        <w:tc>
          <w:tcPr>
            <w:tcW w:type="dxa" w:w="1920"/>
            <w:tcMar>
              <w:top w:w="80" w:type="dxa"/>
              <w:start w:w="120" w:type="dxa"/>
              <w:bottom w:w="80" w:type="dxa"/>
              <w:end w:w="120" w:type="dxa"/>
            </w:tcMar>
            <w:vAlign w:val="center"/>
          </w:tcPr>
          <w:p>
            <w:pPr>
              <w:spacing w:before="0" w:after="40" w:line="252" w:lineRule="auto"/>
            </w:pPr>
            <w:r>
              <w:rPr>
                <w:rFonts w:ascii="Calibri" w:hAnsi="Calibri"/>
                <w:b w:val="0"/>
                <w:color w:val="1D2939"/>
                <w:sz w:val="19"/>
              </w:rPr>
              <w:t>Status</w:t>
            </w:r>
          </w:p>
        </w:tc>
        <w:tc>
          <w:tcPr>
            <w:tcW w:type="dxa" w:w="7320"/>
            <w:tcMar>
              <w:top w:w="80" w:type="dxa"/>
              <w:start w:w="120" w:type="dxa"/>
              <w:bottom w:w="80" w:type="dxa"/>
              <w:end w:w="120" w:type="dxa"/>
            </w:tcMar>
            <w:vAlign w:val="center"/>
          </w:tcPr>
          <w:p>
            <w:pPr>
              <w:spacing w:before="0" w:after="40" w:line="252" w:lineRule="auto"/>
            </w:pPr>
            <w:r>
              <w:rPr>
                <w:rFonts w:ascii="Calibri" w:hAnsi="Calibri"/>
                <w:b w:val="0"/>
                <w:color w:val="1D2939"/>
                <w:sz w:val="19"/>
              </w:rPr>
              <w:t>Controlled production resource; program not yet approved for public release</w:t>
            </w:r>
          </w:p>
        </w:tc>
      </w:tr>
    </w:tbl>
    <w:p>
      <w:pPr>
        <w:spacing w:after="0"/>
      </w:pPr>
    </w:p>
    <w:p>
      <w:pPr>
        <w:spacing w:before="80" w:after="140" w:line="276" w:lineRule="auto"/>
        <w:ind w:left="115" w:right="115"/>
        <w:shd w:fill="E9F7F5"/>
        <w:pBdr>
          <w:top w:val="single" w:sz="8" w:space="5" w:color="087E76"/>
          <w:left w:val="single" w:sz="8" w:space="5" w:color="087E76"/>
          <w:bottom w:val="single" w:sz="8" w:space="5" w:color="087E76"/>
          <w:right w:val="single" w:sz="8" w:space="5" w:color="087E76"/>
        </w:pBdr>
      </w:pPr>
      <w:r>
        <w:rPr>
          <w:rFonts w:ascii="Calibri" w:hAnsi="Calibri"/>
          <w:b/>
          <w:color w:val="087E76"/>
          <w:sz w:val="20"/>
        </w:rPr>
        <w:t xml:space="preserve">EDUCATIONAL USE  </w:t>
      </w:r>
      <w:r>
        <w:rPr>
          <w:rFonts w:ascii="Calibri" w:hAnsi="Calibri"/>
          <w:color w:val="1D2939"/>
          <w:sz w:val="20"/>
        </w:rPr>
        <w:t>This original CTA resource supports exam preparation. It does not determine eligibility, reproduce official examination questions, predict an official scaled score, or guarantee licensure-examination passage.</w:t>
      </w:r>
    </w:p>
    <w:p>
      <w:r>
        <w:br w:type="page"/>
      </w:r>
    </w:p>
    <w:p>
      <w:pPr>
        <w:spacing w:before="80" w:after="140" w:line="276" w:lineRule="auto"/>
        <w:ind w:left="115" w:right="115"/>
        <w:shd w:fill="FCEBEC"/>
        <w:pBdr>
          <w:top w:val="single" w:sz="8" w:space="5" w:color="A52A2A"/>
          <w:left w:val="single" w:sz="8" w:space="5" w:color="A52A2A"/>
          <w:bottom w:val="single" w:sz="8" w:space="5" w:color="A52A2A"/>
          <w:right w:val="single" w:sz="8" w:space="5" w:color="A52A2A"/>
        </w:pBdr>
      </w:pPr>
      <w:r>
        <w:rPr>
          <w:rFonts w:ascii="Calibri" w:hAnsi="Calibri"/>
          <w:b/>
          <w:color w:val="A52A2A"/>
          <w:sz w:val="20"/>
        </w:rPr>
        <w:t xml:space="preserve">STATUS AS OF AUGUST 4, 2026  </w:t>
      </w:r>
      <w:r>
        <w:rPr>
          <w:rFonts w:ascii="Calibri" w:hAnsi="Calibri"/>
          <w:color w:val="1D2939"/>
          <w:sz w:val="20"/>
        </w:rPr>
        <w:t>The California BBS transition remains in rulemaking and implementation development. The latest published BBS update describes July 1, 2027 as the proposed implementation date and says updated regulatory language was scheduled for Board consideration in August 2026. Treat this as pending—not as a final permanent rule.</w:t>
      </w:r>
    </w:p>
    <w:p>
      <w:pPr>
        <w:pStyle w:val="Heading1"/>
      </w:pPr>
      <w:r>
        <w:t>1. Candidate routing</w:t>
      </w:r>
    </w:p>
    <w:tbl>
      <w:tblPr>
        <w:tblStyle w:val="TableGrid"/>
        <w:tblW w:type="dxa" w:w="9240"/>
        <w:jc w:val="left"/>
        <w:tblLayout w:type="fixed"/>
        <w:tblLook w:firstColumn="1" w:firstRow="1" w:lastColumn="0" w:lastRow="0" w:noHBand="0" w:noVBand="1" w:val="04A0"/>
        <w:tblInd w:w="120" w:type="dxa"/>
      </w:tblPr>
      <w:tblGrid>
        <w:gridCol w:w="3000"/>
        <w:gridCol w:w="6240"/>
      </w:tblGrid>
      <w:tr>
        <w:trPr>
          <w:tblHeader w:val="true"/>
          <w:cantSplit/>
        </w:trPr>
        <w:tc>
          <w:tcPr>
            <w:tcW w:type="dxa" w:w="3000"/>
            <w:tcMar>
              <w:top w:w="80" w:type="dxa"/>
              <w:start w:w="120" w:type="dxa"/>
              <w:bottom w:w="80" w:type="dxa"/>
              <w:end w:w="120" w:type="dxa"/>
            </w:tcMar>
            <w:vAlign w:val="center"/>
            <w:shd w:fill="0B2545"/>
          </w:tcPr>
          <w:p>
            <w:pPr>
              <w:spacing w:before="0" w:after="40" w:line="252" w:lineRule="auto"/>
            </w:pPr>
            <w:r>
              <w:rPr>
                <w:rFonts w:ascii="Calibri" w:hAnsi="Calibri"/>
                <w:b/>
                <w:color w:val="FFFFFF"/>
                <w:sz w:val="18"/>
              </w:rPr>
              <w:t>Question</w:t>
            </w:r>
          </w:p>
        </w:tc>
        <w:tc>
          <w:tcPr>
            <w:tcW w:type="dxa" w:w="6240"/>
            <w:tcMar>
              <w:top w:w="80" w:type="dxa"/>
              <w:start w:w="120" w:type="dxa"/>
              <w:bottom w:w="80" w:type="dxa"/>
              <w:end w:w="120" w:type="dxa"/>
            </w:tcMar>
            <w:vAlign w:val="center"/>
            <w:shd w:fill="0B2545"/>
          </w:tcPr>
          <w:p>
            <w:pPr>
              <w:spacing w:before="0" w:after="40" w:line="252" w:lineRule="auto"/>
            </w:pPr>
            <w:r>
              <w:rPr>
                <w:rFonts w:ascii="Calibri" w:hAnsi="Calibri"/>
                <w:b/>
                <w:color w:val="FFFFFF"/>
                <w:sz w:val="18"/>
              </w:rPr>
              <w:t>Candidate action</w:t>
            </w:r>
          </w:p>
        </w:tc>
      </w:tr>
      <w:tr>
        <w:trPr>
          <w:cantSplit/>
        </w:trPr>
        <w:tc>
          <w:tcPr>
            <w:tcW w:type="dxa" w:w="3000"/>
            <w:tcMar>
              <w:top w:w="80" w:type="dxa"/>
              <w:start w:w="120" w:type="dxa"/>
              <w:bottom w:w="80" w:type="dxa"/>
              <w:end w:w="120" w:type="dxa"/>
            </w:tcMar>
            <w:vAlign w:val="center"/>
          </w:tcPr>
          <w:p>
            <w:pPr>
              <w:spacing w:before="0" w:after="40" w:line="252" w:lineRule="auto"/>
            </w:pPr>
            <w:r>
              <w:rPr>
                <w:rFonts w:ascii="Calibri" w:hAnsi="Calibri"/>
                <w:b w:val="0"/>
                <w:color w:val="1D2939"/>
                <w:sz w:val="18"/>
              </w:rPr>
              <w:t>What jurisdiction will license you?</w:t>
            </w:r>
          </w:p>
        </w:tc>
        <w:tc>
          <w:tcPr>
            <w:tcW w:type="dxa" w:w="6240"/>
            <w:tcMar>
              <w:top w:w="80" w:type="dxa"/>
              <w:start w:w="120" w:type="dxa"/>
              <w:bottom w:w="80" w:type="dxa"/>
              <w:end w:w="120" w:type="dxa"/>
            </w:tcMar>
            <w:vAlign w:val="center"/>
          </w:tcPr>
          <w:p>
            <w:pPr>
              <w:spacing w:before="0" w:after="40" w:line="252" w:lineRule="auto"/>
            </w:pPr>
            <w:r>
              <w:rPr>
                <w:rFonts w:ascii="Calibri" w:hAnsi="Calibri"/>
                <w:b w:val="0"/>
                <w:color w:val="1D2939"/>
                <w:sz w:val="18"/>
              </w:rPr>
              <w:t>Record the exact board/agency and verify its current examination requirement.</w:t>
            </w:r>
          </w:p>
        </w:tc>
      </w:tr>
      <w:tr>
        <w:trPr>
          <w:cantSplit/>
        </w:trPr>
        <w:tc>
          <w:tcPr>
            <w:tcW w:type="dxa" w:w="300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8"/>
              </w:rPr>
              <w:t>When do you expect to test?</w:t>
            </w:r>
          </w:p>
        </w:tc>
        <w:tc>
          <w:tcPr>
            <w:tcW w:type="dxa" w:w="624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8"/>
              </w:rPr>
              <w:t>Use the anticipated date to determine whether a transition could affect your pathway; recheck before application and scheduling.</w:t>
            </w:r>
          </w:p>
        </w:tc>
      </w:tr>
      <w:tr>
        <w:trPr>
          <w:cantSplit/>
        </w:trPr>
        <w:tc>
          <w:tcPr>
            <w:tcW w:type="dxa" w:w="3000"/>
            <w:tcMar>
              <w:top w:w="80" w:type="dxa"/>
              <w:start w:w="120" w:type="dxa"/>
              <w:bottom w:w="80" w:type="dxa"/>
              <w:end w:w="120" w:type="dxa"/>
            </w:tcMar>
            <w:vAlign w:val="center"/>
          </w:tcPr>
          <w:p>
            <w:pPr>
              <w:spacing w:before="0" w:after="40" w:line="252" w:lineRule="auto"/>
            </w:pPr>
            <w:r>
              <w:rPr>
                <w:rFonts w:ascii="Calibri" w:hAnsi="Calibri"/>
                <w:b w:val="0"/>
                <w:color w:val="1D2939"/>
                <w:sz w:val="18"/>
              </w:rPr>
              <w:t>Has the California BBS formally changed your required clinical exam?</w:t>
            </w:r>
          </w:p>
        </w:tc>
        <w:tc>
          <w:tcPr>
            <w:tcW w:type="dxa" w:w="6240"/>
            <w:tcMar>
              <w:top w:w="80" w:type="dxa"/>
              <w:start w:w="120" w:type="dxa"/>
              <w:bottom w:w="80" w:type="dxa"/>
              <w:end w:w="120" w:type="dxa"/>
            </w:tcMar>
            <w:vAlign w:val="center"/>
          </w:tcPr>
          <w:p>
            <w:pPr>
              <w:spacing w:before="0" w:after="40" w:line="252" w:lineRule="auto"/>
            </w:pPr>
            <w:r>
              <w:rPr>
                <w:rFonts w:ascii="Calibri" w:hAnsi="Calibri"/>
                <w:b w:val="0"/>
                <w:color w:val="1D2939"/>
                <w:sz w:val="18"/>
              </w:rPr>
              <w:t>Use the BBS's current applicant instructions and formal implementation notice; do not rely on a proposed date alone.</w:t>
            </w:r>
          </w:p>
        </w:tc>
      </w:tr>
      <w:tr>
        <w:trPr>
          <w:cantSplit/>
        </w:trPr>
        <w:tc>
          <w:tcPr>
            <w:tcW w:type="dxa" w:w="300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8"/>
              </w:rPr>
              <w:t>Does California Law and Ethics still apply?</w:t>
            </w:r>
          </w:p>
        </w:tc>
        <w:tc>
          <w:tcPr>
            <w:tcW w:type="dxa" w:w="624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8"/>
              </w:rPr>
              <w:t>Treat the California Law and Ethics examination as separate unless the BBS formally states otherwise.</w:t>
            </w:r>
          </w:p>
        </w:tc>
      </w:tr>
      <w:tr>
        <w:trPr>
          <w:cantSplit/>
        </w:trPr>
        <w:tc>
          <w:tcPr>
            <w:tcW w:type="dxa" w:w="3000"/>
            <w:tcMar>
              <w:top w:w="80" w:type="dxa"/>
              <w:start w:w="120" w:type="dxa"/>
              <w:bottom w:w="80" w:type="dxa"/>
              <w:end w:w="120" w:type="dxa"/>
            </w:tcMar>
            <w:vAlign w:val="center"/>
          </w:tcPr>
          <w:p>
            <w:pPr>
              <w:spacing w:before="0" w:after="40" w:line="252" w:lineRule="auto"/>
            </w:pPr>
            <w:r>
              <w:rPr>
                <w:rFonts w:ascii="Calibri" w:hAnsi="Calibri"/>
                <w:b w:val="0"/>
                <w:color w:val="1D2939"/>
                <w:sz w:val="18"/>
              </w:rPr>
              <w:t>Which CTA product matches?</w:t>
            </w:r>
          </w:p>
        </w:tc>
        <w:tc>
          <w:tcPr>
            <w:tcW w:type="dxa" w:w="6240"/>
            <w:tcMar>
              <w:top w:w="80" w:type="dxa"/>
              <w:start w:w="120" w:type="dxa"/>
              <w:bottom w:w="80" w:type="dxa"/>
              <w:end w:w="120" w:type="dxa"/>
            </w:tcMar>
            <w:vAlign w:val="center"/>
          </w:tcPr>
          <w:p>
            <w:pPr>
              <w:spacing w:before="0" w:after="40" w:line="252" w:lineRule="auto"/>
            </w:pPr>
            <w:r>
              <w:rPr>
                <w:rFonts w:ascii="Calibri" w:hAnsi="Calibri"/>
                <w:b w:val="0"/>
                <w:color w:val="1D2939"/>
                <w:sz w:val="18"/>
              </w:rPr>
              <w:t>Use the AMFTRB program only when the national exam is the correct path. Keep the California Clinical and California Law and Ethics products separate.</w:t>
            </w:r>
          </w:p>
        </w:tc>
      </w:tr>
    </w:tbl>
    <w:p>
      <w:pPr>
        <w:spacing w:after="0"/>
      </w:pPr>
    </w:p>
    <w:p>
      <w:pPr>
        <w:pStyle w:val="Heading1"/>
      </w:pPr>
      <w:r>
        <w:t>2. Current BBS transition record</w:t>
      </w:r>
    </w:p>
    <w:p>
      <w:pPr>
        <w:spacing w:before="0" w:after="120" w:line="300" w:lineRule="auto"/>
      </w:pPr>
      <w:r>
        <w:rPr>
          <w:rFonts w:ascii="Calibri" w:hAnsi="Calibri"/>
          <w:i w:val="0"/>
          <w:color w:val="1D2939"/>
          <w:sz w:val="21"/>
        </w:rPr>
        <w:t>The April 28, 2026 BBS transition update reports that the originally proposed start date was extended to July 1, 2027. The same update states that a linkage study and regulatory amendments affect the project and that updated regulatory language would be brought to the Board at its August 2026 meeting.</w:t>
      </w:r>
    </w:p>
    <w:p>
      <w:pPr>
        <w:spacing w:before="0" w:after="120" w:line="300" w:lineRule="auto"/>
      </w:pPr>
      <w:r>
        <w:rPr>
          <w:rFonts w:ascii="Calibri" w:hAnsi="Calibri"/>
          <w:i w:val="0"/>
          <w:color w:val="1D2939"/>
          <w:sz w:val="21"/>
        </w:rPr>
        <w:t>Because the August 2026 Board process and later rulemaking could change the date, eligibility pathway, or operational instructions, CTA should review the BBS record after the meeting, at every scheduled source review, and before any California-specific public claim.</w:t>
      </w:r>
    </w:p>
    <w:p>
      <w:pPr>
        <w:pStyle w:val="Heading1"/>
      </w:pPr>
      <w:r>
        <w:t>3. California Law and Ethics remains separate</w:t>
      </w:r>
    </w:p>
    <w:p>
      <w:pPr>
        <w:spacing w:before="0" w:after="120" w:line="300" w:lineRule="auto"/>
      </w:pPr>
      <w:r>
        <w:rPr>
          <w:rFonts w:ascii="Calibri" w:hAnsi="Calibri"/>
          <w:i w:val="0"/>
          <w:color w:val="1D2939"/>
          <w:sz w:val="21"/>
        </w:rPr>
        <w:t>The national AMFTRB program teaches durable national ethics and professional reasoning. It does not substitute for California-specific statutes, regulations, BBS rules, or the California Law and Ethics examination. California candidates should use the appropriate separate California Law and Ethics preparation pathway and verify current BBS requirements.</w:t>
      </w:r>
    </w:p>
    <w:p>
      <w:pPr>
        <w:pStyle w:val="Heading1"/>
      </w:pPr>
      <w:r>
        <w:t>4. Learner verification record</w:t>
      </w:r>
    </w:p>
    <w:tbl>
      <w:tblPr>
        <w:tblStyle w:val="TableGrid"/>
        <w:tblW w:type="dxa" w:w="9240"/>
        <w:jc w:val="left"/>
        <w:tblLayout w:type="fixed"/>
        <w:tblLook w:firstColumn="1" w:firstRow="1" w:lastColumn="0" w:lastRow="0" w:noHBand="0" w:noVBand="1" w:val="04A0"/>
        <w:tblInd w:w="120" w:type="dxa"/>
      </w:tblPr>
      <w:tblGrid>
        <w:gridCol w:w="2900"/>
        <w:gridCol w:w="6340"/>
      </w:tblGrid>
      <w:tr>
        <w:trPr>
          <w:tblHeader w:val="true"/>
          <w:cantSplit/>
        </w:trPr>
        <w:tc>
          <w:tcPr>
            <w:tcW w:type="dxa" w:w="2900"/>
            <w:tcMar>
              <w:top w:w="80" w:type="dxa"/>
              <w:start w:w="120" w:type="dxa"/>
              <w:bottom w:w="80" w:type="dxa"/>
              <w:end w:w="120" w:type="dxa"/>
            </w:tcMar>
            <w:vAlign w:val="center"/>
            <w:shd w:fill="0B2545"/>
          </w:tcPr>
          <w:p>
            <w:pPr>
              <w:spacing w:before="0" w:after="40" w:line="252" w:lineRule="auto"/>
            </w:pPr>
            <w:r>
              <w:rPr>
                <w:rFonts w:ascii="Calibri" w:hAnsi="Calibri"/>
                <w:b/>
                <w:color w:val="FFFFFF"/>
                <w:sz w:val="18"/>
              </w:rPr>
              <w:t>Field</w:t>
            </w:r>
          </w:p>
        </w:tc>
        <w:tc>
          <w:tcPr>
            <w:tcW w:type="dxa" w:w="6340"/>
            <w:tcMar>
              <w:top w:w="80" w:type="dxa"/>
              <w:start w:w="120" w:type="dxa"/>
              <w:bottom w:w="80" w:type="dxa"/>
              <w:end w:w="120" w:type="dxa"/>
            </w:tcMar>
            <w:vAlign w:val="center"/>
            <w:shd w:fill="0B2545"/>
          </w:tcPr>
          <w:p>
            <w:pPr>
              <w:spacing w:before="0" w:after="40" w:line="252" w:lineRule="auto"/>
            </w:pPr>
            <w:r>
              <w:rPr>
                <w:rFonts w:ascii="Calibri" w:hAnsi="Calibri"/>
                <w:b/>
                <w:color w:val="FFFFFF"/>
                <w:sz w:val="18"/>
              </w:rPr>
              <w:t>Entry</w:t>
            </w:r>
          </w:p>
        </w:tc>
      </w:tr>
      <w:tr>
        <w:trPr>
          <w:cantSplit/>
        </w:trPr>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D2939"/>
                <w:sz w:val="18"/>
              </w:rPr>
              <w:t>BBS page or notice checked</w:t>
            </w:r>
          </w:p>
        </w:tc>
        <w:tc>
          <w:tcPr>
            <w:tcW w:type="dxa" w:w="6340"/>
            <w:tcMar>
              <w:top w:w="80" w:type="dxa"/>
              <w:start w:w="120" w:type="dxa"/>
              <w:bottom w:w="80" w:type="dxa"/>
              <w:end w:w="120" w:type="dxa"/>
            </w:tcMar>
            <w:vAlign w:val="center"/>
          </w:tcPr>
          <w:p>
            <w:pPr>
              <w:spacing w:before="0" w:after="40" w:line="252" w:lineRule="auto"/>
            </w:pPr>
            <w:r>
              <w:rPr>
                <w:rFonts w:ascii="Calibri" w:hAnsi="Calibri"/>
                <w:b w:val="0"/>
                <w:color w:val="1D2939"/>
                <w:sz w:val="18"/>
              </w:rPr>
              <w:t>____________________________________________</w:t>
            </w:r>
          </w:p>
        </w:tc>
      </w:tr>
      <w:tr>
        <w:trPr>
          <w:cantSplit/>
        </w:trPr>
        <w:tc>
          <w:tcPr>
            <w:tcW w:type="dxa" w:w="290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8"/>
              </w:rPr>
              <w:t>Date checked</w:t>
            </w:r>
          </w:p>
        </w:tc>
        <w:tc>
          <w:tcPr>
            <w:tcW w:type="dxa" w:w="634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8"/>
              </w:rPr>
              <w:t>________________</w:t>
            </w:r>
          </w:p>
        </w:tc>
      </w:tr>
      <w:tr>
        <w:trPr>
          <w:cantSplit/>
        </w:trPr>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D2939"/>
                <w:sz w:val="18"/>
              </w:rPr>
              <w:t>Current required clinical examination</w:t>
            </w:r>
          </w:p>
        </w:tc>
        <w:tc>
          <w:tcPr>
            <w:tcW w:type="dxa" w:w="6340"/>
            <w:tcMar>
              <w:top w:w="80" w:type="dxa"/>
              <w:start w:w="120" w:type="dxa"/>
              <w:bottom w:w="80" w:type="dxa"/>
              <w:end w:w="120" w:type="dxa"/>
            </w:tcMar>
            <w:vAlign w:val="center"/>
          </w:tcPr>
          <w:p>
            <w:pPr>
              <w:spacing w:before="0" w:after="40" w:line="252" w:lineRule="auto"/>
            </w:pPr>
            <w:r>
              <w:rPr>
                <w:rFonts w:ascii="Calibri" w:hAnsi="Calibri"/>
                <w:b w:val="0"/>
                <w:color w:val="1D2939"/>
                <w:sz w:val="18"/>
              </w:rPr>
              <w:t>____________________________________________</w:t>
            </w:r>
          </w:p>
        </w:tc>
      </w:tr>
      <w:tr>
        <w:trPr>
          <w:cantSplit/>
        </w:trPr>
        <w:tc>
          <w:tcPr>
            <w:tcW w:type="dxa" w:w="290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8"/>
              </w:rPr>
              <w:t>Current Law and Ethics requirement</w:t>
            </w:r>
          </w:p>
        </w:tc>
        <w:tc>
          <w:tcPr>
            <w:tcW w:type="dxa" w:w="634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8"/>
              </w:rPr>
              <w:t>____________________________________________</w:t>
            </w:r>
          </w:p>
        </w:tc>
      </w:tr>
      <w:tr>
        <w:trPr>
          <w:cantSplit/>
        </w:trPr>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D2939"/>
                <w:sz w:val="18"/>
              </w:rPr>
              <w:t>Application / scheduling instruction</w:t>
            </w:r>
          </w:p>
        </w:tc>
        <w:tc>
          <w:tcPr>
            <w:tcW w:type="dxa" w:w="6340"/>
            <w:tcMar>
              <w:top w:w="80" w:type="dxa"/>
              <w:start w:w="120" w:type="dxa"/>
              <w:bottom w:w="80" w:type="dxa"/>
              <w:end w:w="120" w:type="dxa"/>
            </w:tcMar>
            <w:vAlign w:val="center"/>
          </w:tcPr>
          <w:p>
            <w:pPr>
              <w:spacing w:before="0" w:after="40" w:line="252" w:lineRule="auto"/>
            </w:pPr>
            <w:r>
              <w:rPr>
                <w:rFonts w:ascii="Calibri" w:hAnsi="Calibri"/>
                <w:b w:val="0"/>
                <w:color w:val="1D2939"/>
                <w:sz w:val="18"/>
              </w:rPr>
              <w:t>____________________________________________</w:t>
            </w:r>
          </w:p>
        </w:tc>
      </w:tr>
      <w:tr>
        <w:trPr>
          <w:cantSplit/>
        </w:trPr>
        <w:tc>
          <w:tcPr>
            <w:tcW w:type="dxa" w:w="290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8"/>
              </w:rPr>
              <w:t>Source saved or bookmarked</w:t>
            </w:r>
          </w:p>
        </w:tc>
        <w:tc>
          <w:tcPr>
            <w:tcW w:type="dxa" w:w="6340"/>
            <w:tcMar>
              <w:top w:w="80" w:type="dxa"/>
              <w:start w:w="120" w:type="dxa"/>
              <w:bottom w:w="80" w:type="dxa"/>
              <w:end w:w="120" w:type="dxa"/>
            </w:tcMar>
            <w:vAlign w:val="center"/>
            <w:shd w:fill="F9FAFB"/>
          </w:tcPr>
          <w:p>
            <w:pPr>
              <w:spacing w:before="0" w:after="40" w:line="252" w:lineRule="auto"/>
            </w:pPr>
            <w:r>
              <w:rPr>
                <w:rFonts w:ascii="Calibri" w:hAnsi="Calibri"/>
                <w:b w:val="0"/>
                <w:color w:val="1D2939"/>
                <w:sz w:val="18"/>
              </w:rPr>
              <w:t>☐ Yes  ☐ No</w:t>
            </w:r>
          </w:p>
        </w:tc>
      </w:tr>
      <w:tr>
        <w:trPr>
          <w:cantSplit/>
        </w:trPr>
        <w:tc>
          <w:tcPr>
            <w:tcW w:type="dxa" w:w="2900"/>
            <w:tcMar>
              <w:top w:w="80" w:type="dxa"/>
              <w:start w:w="120" w:type="dxa"/>
              <w:bottom w:w="80" w:type="dxa"/>
              <w:end w:w="120" w:type="dxa"/>
            </w:tcMar>
            <w:vAlign w:val="center"/>
          </w:tcPr>
          <w:p>
            <w:pPr>
              <w:spacing w:before="0" w:after="40" w:line="252" w:lineRule="auto"/>
            </w:pPr>
            <w:r>
              <w:rPr>
                <w:rFonts w:ascii="Calibri" w:hAnsi="Calibri"/>
                <w:b w:val="0"/>
                <w:color w:val="1D2939"/>
                <w:sz w:val="18"/>
              </w:rPr>
              <w:t>CTA pathway selected</w:t>
            </w:r>
          </w:p>
        </w:tc>
        <w:tc>
          <w:tcPr>
            <w:tcW w:type="dxa" w:w="6340"/>
            <w:tcMar>
              <w:top w:w="80" w:type="dxa"/>
              <w:start w:w="120" w:type="dxa"/>
              <w:bottom w:w="80" w:type="dxa"/>
              <w:end w:w="120" w:type="dxa"/>
            </w:tcMar>
            <w:vAlign w:val="center"/>
          </w:tcPr>
          <w:p>
            <w:pPr>
              <w:spacing w:before="0" w:after="40" w:line="252" w:lineRule="auto"/>
            </w:pPr>
            <w:r>
              <w:rPr>
                <w:rFonts w:ascii="Calibri" w:hAnsi="Calibri"/>
                <w:b w:val="0"/>
                <w:color w:val="1D2939"/>
                <w:sz w:val="18"/>
              </w:rPr>
              <w:t>☐ AMFTRB National  ☐ California Clinical  ☐ California Law and Ethics  ☐ Needs support</w:t>
            </w:r>
          </w:p>
        </w:tc>
      </w:tr>
    </w:tbl>
    <w:p>
      <w:pPr>
        <w:spacing w:after="0"/>
      </w:pPr>
    </w:p>
    <w:p>
      <w:pPr>
        <w:pStyle w:val="Heading1"/>
      </w:pPr>
      <w:r>
        <w:t>5. Official sources</w:t>
      </w:r>
    </w:p>
    <w:p>
      <w:pPr>
        <w:spacing w:after="100"/>
      </w:pPr>
      <w:hyperlink r:id="rId12">
        <w:r>
          <w:rPr>
            <w:color w:val="087E76"/>
            <w:u w:val="single"/>
          </w:rPr>
          <w:t>California BBS AMFTRB Transition Update, April 28, 2026</w:t>
        </w:r>
      </w:hyperlink>
    </w:p>
    <w:p>
      <w:pPr>
        <w:spacing w:after="100"/>
      </w:pPr>
      <w:hyperlink r:id="rId13">
        <w:r>
          <w:rPr>
            <w:color w:val="087E76"/>
            <w:u w:val="single"/>
          </w:rPr>
          <w:t>PTC/AMFTRB 2026 Handbook for Candidates</w:t>
        </w:r>
      </w:hyperlink>
    </w:p>
    <w:p>
      <w:pPr>
        <w:spacing w:after="100"/>
      </w:pPr>
      <w:hyperlink r:id="rId14">
        <w:r>
          <w:rPr>
            <w:color w:val="087E76"/>
            <w:u w:val="single"/>
          </w:rPr>
          <w:t>AMFTRB Examination Reference</w:t>
        </w:r>
      </w:hyperlink>
    </w:p>
    <w:p>
      <w:pPr>
        <w:spacing w:before="80" w:after="140" w:line="276" w:lineRule="auto"/>
        <w:ind w:left="115" w:right="115"/>
        <w:shd w:fill="FFF6DC"/>
        <w:pBdr>
          <w:top w:val="single" w:sz="8" w:space="5" w:color="8A5B00"/>
          <w:left w:val="single" w:sz="8" w:space="5" w:color="8A5B00"/>
          <w:bottom w:val="single" w:sz="8" w:space="5" w:color="8A5B00"/>
          <w:right w:val="single" w:sz="8" w:space="5" w:color="8A5B00"/>
        </w:pBdr>
      </w:pPr>
      <w:r>
        <w:rPr>
          <w:rFonts w:ascii="Calibri" w:hAnsi="Calibri"/>
          <w:b/>
          <w:color w:val="8A5B00"/>
          <w:sz w:val="20"/>
        </w:rPr>
        <w:t xml:space="preserve">UPDATE TRIGGER  </w:t>
      </w:r>
      <w:r>
        <w:rPr>
          <w:rFonts w:ascii="Calibri" w:hAnsi="Calibri"/>
          <w:color w:val="1D2939"/>
          <w:sz w:val="20"/>
        </w:rPr>
        <w:t>Review immediately after a California BBS meeting or formal notice addressing the AMFTRB transition, and at least quarterly while implementation remains pending.</w:t>
      </w:r>
    </w:p>
    <w:sectPr w:rsidR="00FC693F" w:rsidRPr="0006063C" w:rsidSect="00034616">
      <w:headerReference w:type="default" r:id="rId9"/>
      <w:footerReference w:type="default" r:id="rId10"/>
      <w:pgSz w:w="12240" w:h="15840"/>
      <w:pgMar w:top="1152" w:right="1440" w:bottom="1152"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6"/>
      </w:rPr>
      <w:t xml:space="preserve">Exam Preparation | No CE Credit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Calibri" w:hAnsi="Calibri"/>
        <w:b/>
        <w:color w:val="667085"/>
        <w:sz w:val="16"/>
      </w:rPr>
      <w:t>CTA LMFT AMFTRB | CALIFORNIA COMPANION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B254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87E7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bbs.ca.gov/pdf/agen_notice/2026/20260507_item25.pdf" TargetMode="External"/><Relationship Id="rId13" Type="http://schemas.openxmlformats.org/officeDocument/2006/relationships/hyperlink" Target="https://ptcny.com/pdf/AMFTRB.pdf" TargetMode="External"/><Relationship Id="rId14" Type="http://schemas.openxmlformats.org/officeDocument/2006/relationships/hyperlink" Target="https://amftrb.org/exam-inf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National Exam Preparation Program - California Transition and Candidate Routing Companion</dc:title>
  <dc:subject>Update-controlled California status, exam-path routing, and separate Law and Ethics reminder</dc:subject>
  <dc:creator>Clinical Training and Supervision Academy</dc:creator>
  <cp:keywords>CTA, LMFT, AMFTRB, exam preparation, no CE credit</cp:keywords>
  <dc:description>Controlled program resource.</dc:description>
  <cp:lastModifiedBy>Clinical Training and Supervision Academy</cp:lastModifiedBy>
  <cp:revision>1</cp:revision>
  <dcterms:created xsi:type="dcterms:W3CDTF">2013-12-23T23:15:00Z</dcterms:created>
  <dcterms:modified xsi:type="dcterms:W3CDTF">2026-08-04T12:00:00Z</dcterms:modified>
  <cp:category/>
</cp:coreProperties>
</file>