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1143000" cy="826213"/>
            <wp:docPr id="1" name="Picture 1" descr="Clinical Training and Supervision Academy emblem showing people beneath a tree and a shield" title="Clinical Training and Supervision Academy logo"/>
            <wp:cNvGraphicFramePr>
              <a:graphicFrameLocks noChangeAspect="1"/>
            </wp:cNvGraphicFramePr>
            <a:graphic>
              <a:graphicData uri="http://schemas.openxmlformats.org/drawingml/2006/picture">
                <pic:pic>
                  <pic:nvPicPr>
                    <pic:cNvPr id="0" name="05-CTA_Stacked_Logo.png"/>
                    <pic:cNvPicPr/>
                  </pic:nvPicPr>
                  <pic:blipFill>
                    <a:blip r:embed="rId11"/>
                    <a:stretch>
                      <a:fillRect/>
                    </a:stretch>
                  </pic:blipFill>
                  <pic:spPr>
                    <a:xfrm>
                      <a:off x="0" y="0"/>
                      <a:ext cx="1143000" cy="826213"/>
                    </a:xfrm>
                    <a:prstGeom prst="rect"/>
                  </pic:spPr>
                </pic:pic>
              </a:graphicData>
            </a:graphic>
          </wp:inline>
        </w:drawing>
      </w:r>
    </w:p>
    <w:p>
      <w:pPr>
        <w:spacing w:after="80"/>
        <w:jc w:val="center"/>
      </w:pPr>
      <w:r>
        <w:rPr>
          <w:rFonts w:ascii="Calibri" w:hAnsi="Calibri"/>
          <w:b/>
          <w:color w:val="087E76"/>
          <w:sz w:val="24"/>
        </w:rPr>
        <w:t>CTA LMFT AMFTRB</w:t>
      </w:r>
    </w:p>
    <w:p>
      <w:pPr>
        <w:spacing w:after="140"/>
        <w:jc w:val="center"/>
      </w:pPr>
      <w:r>
        <w:rPr>
          <w:rFonts w:ascii="Calibri" w:hAnsi="Calibri"/>
          <w:b/>
          <w:color w:val="0B2545"/>
          <w:sz w:val="48"/>
        </w:rPr>
        <w:t>Workbook 1-12 Quick-Reference Collection</w:t>
      </w:r>
    </w:p>
    <w:p>
      <w:pPr>
        <w:spacing w:after="360"/>
        <w:jc w:val="center"/>
      </w:pPr>
      <w:r>
        <w:rPr>
          <w:rFonts w:ascii="Calibri" w:hAnsi="Calibri"/>
          <w:color w:val="667085"/>
          <w:sz w:val="26"/>
        </w:rPr>
        <w:t>Twelve synchronized review sheets for rapid retrieval, transfer practice, and final-week study</w:t>
      </w:r>
    </w:p>
    <w:tbl>
      <w:tblPr>
        <w:tblStyle w:val="TableGrid"/>
        <w:tblW w:type="dxa" w:w="9240"/>
        <w:jc w:val="left"/>
        <w:tblLayout w:type="fixed"/>
        <w:tblLook w:firstColumn="1" w:firstRow="1" w:lastColumn="0" w:lastRow="0" w:noHBand="0" w:noVBand="1" w:val="04A0"/>
        <w:tblInd w:w="120" w:type="dxa"/>
      </w:tblPr>
      <w:tblGrid>
        <w:gridCol w:w="1920"/>
        <w:gridCol w:w="7320"/>
      </w:tblGrid>
      <w:tr>
        <w:trPr>
          <w:tblHeader w:val="true"/>
          <w:cantSplit/>
        </w:trPr>
        <w:tc>
          <w:tcPr>
            <w:tcW w:type="dxa" w:w="1920"/>
            <w:tcMar>
              <w:top w:w="80" w:type="dxa"/>
              <w:start w:w="120" w:type="dxa"/>
              <w:bottom w:w="80" w:type="dxa"/>
              <w:end w:w="120" w:type="dxa"/>
            </w:tcMar>
            <w:vAlign w:val="center"/>
            <w:shd w:fill="0B2545"/>
          </w:tcPr>
          <w:p>
            <w:pPr>
              <w:spacing w:before="0" w:after="40" w:line="252" w:lineRule="auto"/>
            </w:pPr>
            <w:r>
              <w:rPr>
                <w:rFonts w:ascii="Calibri" w:hAnsi="Calibri"/>
                <w:b/>
                <w:color w:val="FFFFFF"/>
                <w:sz w:val="19"/>
              </w:rPr>
              <w:t>Control</w:t>
            </w:r>
          </w:p>
        </w:tc>
        <w:tc>
          <w:tcPr>
            <w:tcW w:type="dxa" w:w="7320"/>
            <w:tcMar>
              <w:top w:w="80" w:type="dxa"/>
              <w:start w:w="120" w:type="dxa"/>
              <w:bottom w:w="80" w:type="dxa"/>
              <w:end w:w="120" w:type="dxa"/>
            </w:tcMar>
            <w:vAlign w:val="center"/>
            <w:shd w:fill="0B2545"/>
          </w:tcPr>
          <w:p>
            <w:pPr>
              <w:spacing w:before="0" w:after="40" w:line="252" w:lineRule="auto"/>
            </w:pPr>
            <w:r>
              <w:rPr>
                <w:rFonts w:ascii="Calibri" w:hAnsi="Calibri"/>
                <w:b/>
                <w:color w:val="FFFFFF"/>
                <w:sz w:val="19"/>
              </w:rPr>
              <w:t>Value</w:t>
            </w:r>
          </w:p>
        </w:tc>
      </w:tr>
      <w:tr>
        <w:trPr>
          <w:cantSplit/>
        </w:trPr>
        <w:tc>
          <w:tcPr>
            <w:tcW w:type="dxa" w:w="1920"/>
            <w:tcMar>
              <w:top w:w="80" w:type="dxa"/>
              <w:start w:w="120" w:type="dxa"/>
              <w:bottom w:w="80" w:type="dxa"/>
              <w:end w:w="120" w:type="dxa"/>
            </w:tcMar>
            <w:vAlign w:val="center"/>
          </w:tcPr>
          <w:p>
            <w:pPr>
              <w:spacing w:before="0" w:after="40" w:line="252" w:lineRule="auto"/>
            </w:pPr>
            <w:r>
              <w:rPr>
                <w:rFonts w:ascii="Calibri" w:hAnsi="Calibri"/>
                <w:b w:val="0"/>
                <w:color w:val="1D2939"/>
                <w:sz w:val="19"/>
              </w:rPr>
              <w:t>Program</w:t>
            </w:r>
          </w:p>
        </w:tc>
        <w:tc>
          <w:tcPr>
            <w:tcW w:type="dxa" w:w="7320"/>
            <w:tcMar>
              <w:top w:w="80" w:type="dxa"/>
              <w:start w:w="120" w:type="dxa"/>
              <w:bottom w:w="80" w:type="dxa"/>
              <w:end w:w="120" w:type="dxa"/>
            </w:tcMar>
            <w:vAlign w:val="center"/>
          </w:tcPr>
          <w:p>
            <w:pPr>
              <w:spacing w:before="0" w:after="40" w:line="252" w:lineRule="auto"/>
            </w:pPr>
            <w:r>
              <w:rPr>
                <w:rFonts w:ascii="Calibri" w:hAnsi="Calibri"/>
                <w:b w:val="0"/>
                <w:color w:val="1D2939"/>
                <w:sz w:val="19"/>
              </w:rPr>
              <w:t>CTA LMFT AMFTRB National Exam Preparation Program</w:t>
            </w:r>
          </w:p>
        </w:tc>
      </w:tr>
      <w:tr>
        <w:trPr>
          <w:cantSplit/>
        </w:trPr>
        <w:tc>
          <w:tcPr>
            <w:tcW w:type="dxa" w:w="1920"/>
            <w:tcMar>
              <w:top w:w="80" w:type="dxa"/>
              <w:start w:w="120" w:type="dxa"/>
              <w:bottom w:w="80" w:type="dxa"/>
              <w:end w:w="120" w:type="dxa"/>
            </w:tcMar>
            <w:vAlign w:val="center"/>
          </w:tcPr>
          <w:p>
            <w:pPr>
              <w:spacing w:before="0" w:after="40" w:line="252" w:lineRule="auto"/>
            </w:pPr>
            <w:r>
              <w:rPr>
                <w:rFonts w:ascii="Calibri" w:hAnsi="Calibri"/>
                <w:b w:val="0"/>
                <w:color w:val="1D2939"/>
                <w:sz w:val="19"/>
              </w:rPr>
              <w:t>Classification</w:t>
            </w:r>
          </w:p>
        </w:tc>
        <w:tc>
          <w:tcPr>
            <w:tcW w:type="dxa" w:w="7320"/>
            <w:tcMar>
              <w:top w:w="80" w:type="dxa"/>
              <w:start w:w="120" w:type="dxa"/>
              <w:bottom w:w="80" w:type="dxa"/>
              <w:end w:w="120" w:type="dxa"/>
            </w:tcMar>
            <w:vAlign w:val="center"/>
          </w:tcPr>
          <w:p>
            <w:pPr>
              <w:spacing w:before="0" w:after="40" w:line="252" w:lineRule="auto"/>
            </w:pPr>
            <w:r>
              <w:rPr>
                <w:rFonts w:ascii="Calibri" w:hAnsi="Calibri"/>
                <w:b w:val="0"/>
                <w:color w:val="1D2939"/>
                <w:sz w:val="19"/>
              </w:rPr>
              <w:t>Learner Resource | Exam Preparation Program | No CE Credit</w:t>
            </w:r>
          </w:p>
        </w:tc>
      </w:tr>
      <w:tr>
        <w:trPr>
          <w:cantSplit/>
        </w:trPr>
        <w:tc>
          <w:tcPr>
            <w:tcW w:type="dxa" w:w="1920"/>
            <w:tcMar>
              <w:top w:w="80" w:type="dxa"/>
              <w:start w:w="120" w:type="dxa"/>
              <w:bottom w:w="80" w:type="dxa"/>
              <w:end w:w="120" w:type="dxa"/>
            </w:tcMar>
            <w:vAlign w:val="center"/>
          </w:tcPr>
          <w:p>
            <w:pPr>
              <w:spacing w:before="0" w:after="40" w:line="252" w:lineRule="auto"/>
            </w:pPr>
            <w:r>
              <w:rPr>
                <w:rFonts w:ascii="Calibri" w:hAnsi="Calibri"/>
                <w:b w:val="0"/>
                <w:color w:val="1D2939"/>
                <w:sz w:val="19"/>
              </w:rPr>
              <w:t>Version</w:t>
            </w:r>
          </w:p>
        </w:tc>
        <w:tc>
          <w:tcPr>
            <w:tcW w:type="dxa" w:w="7320"/>
            <w:tcMar>
              <w:top w:w="80" w:type="dxa"/>
              <w:start w:w="120" w:type="dxa"/>
              <w:bottom w:w="80" w:type="dxa"/>
              <w:end w:w="120" w:type="dxa"/>
            </w:tcMar>
            <w:vAlign w:val="center"/>
          </w:tcPr>
          <w:p>
            <w:pPr>
              <w:spacing w:before="0" w:after="40" w:line="252" w:lineRule="auto"/>
            </w:pPr>
            <w:r>
              <w:rPr>
                <w:rFonts w:ascii="Calibri" w:hAnsi="Calibri"/>
                <w:b w:val="0"/>
                <w:color w:val="1D2939"/>
                <w:sz w:val="19"/>
              </w:rPr>
              <w:t>Version 1.0 | August 4, 2026</w:t>
            </w:r>
          </w:p>
        </w:tc>
      </w:tr>
      <w:tr>
        <w:trPr>
          <w:cantSplit/>
        </w:trPr>
        <w:tc>
          <w:tcPr>
            <w:tcW w:type="dxa" w:w="1920"/>
            <w:tcMar>
              <w:top w:w="80" w:type="dxa"/>
              <w:start w:w="120" w:type="dxa"/>
              <w:bottom w:w="80" w:type="dxa"/>
              <w:end w:w="120" w:type="dxa"/>
            </w:tcMar>
            <w:vAlign w:val="center"/>
          </w:tcPr>
          <w:p>
            <w:pPr>
              <w:spacing w:before="0" w:after="40" w:line="252" w:lineRule="auto"/>
            </w:pPr>
            <w:r>
              <w:rPr>
                <w:rFonts w:ascii="Calibri" w:hAnsi="Calibri"/>
                <w:b w:val="0"/>
                <w:color w:val="1D2939"/>
                <w:sz w:val="19"/>
              </w:rPr>
              <w:t>Status</w:t>
            </w:r>
          </w:p>
        </w:tc>
        <w:tc>
          <w:tcPr>
            <w:tcW w:type="dxa" w:w="7320"/>
            <w:tcMar>
              <w:top w:w="80" w:type="dxa"/>
              <w:start w:w="120" w:type="dxa"/>
              <w:bottom w:w="80" w:type="dxa"/>
              <w:end w:w="120" w:type="dxa"/>
            </w:tcMar>
            <w:vAlign w:val="center"/>
          </w:tcPr>
          <w:p>
            <w:pPr>
              <w:spacing w:before="0" w:after="40" w:line="252" w:lineRule="auto"/>
            </w:pPr>
            <w:r>
              <w:rPr>
                <w:rFonts w:ascii="Calibri" w:hAnsi="Calibri"/>
                <w:b w:val="0"/>
                <w:color w:val="1D2939"/>
                <w:sz w:val="19"/>
              </w:rPr>
              <w:t>Controlled production resource; program not yet approved for public release</w:t>
            </w:r>
          </w:p>
        </w:tc>
      </w:tr>
    </w:tbl>
    <w:p>
      <w:pPr>
        <w:spacing w:after="0"/>
      </w:pP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EDUCATIONAL USE  </w:t>
      </w:r>
      <w:r>
        <w:rPr>
          <w:rFonts w:ascii="Calibri" w:hAnsi="Calibri"/>
          <w:color w:val="1D2939"/>
          <w:sz w:val="20"/>
        </w:rPr>
        <w:t>This original CTA resource supports exam preparation. It does not determine eligibility, reproduce official examination questions, predict an official scaled score, or guarantee licensure-examination passage.</w:t>
      </w:r>
    </w:p>
    <w:p>
      <w:r>
        <w:br w:type="page"/>
      </w:r>
    </w:p>
    <w:p>
      <w:pPr>
        <w:spacing w:before="0" w:after="120" w:line="300" w:lineRule="auto"/>
      </w:pPr>
      <w:r>
        <w:rPr>
          <w:rFonts w:ascii="Calibri" w:hAnsi="Calibri"/>
          <w:i w:val="0"/>
          <w:color w:val="1D2939"/>
          <w:sz w:val="21"/>
        </w:rPr>
        <w:t>Use these sheets after completing the matching workbook. They summarize the approved content map; they do not replace the workbook, current authoritative sources, or required remediation.</w:t>
      </w:r>
    </w:p>
    <w:p>
      <w:pPr>
        <w:pStyle w:val="Heading1"/>
      </w:pPr>
      <w:r>
        <w:t>Workbook 1: Exam Strategy, Systemic Reasoning, and One-Best-Answer Decisions</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Workbook 1 as a national exam-strategy and systemic-reasoning foundation. It should not become a miniature version of all 12 workbooks. Detailed assessment, diagnosis, treatment models, crisis procedures, and professional-practice rules belong…</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1 - Practice of Systemic Therapy</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All six domains through strategy examples and integrated application</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Know the Examination You Are Taking</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Current mechanics; six-domain map; all-items-count rule; 80-second average; four pacing checkpoints; raw-score…</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Read the Exact Task Before the Story</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Final-question-first strategy; qualifier words; role; stage of care; what has already occurred; client system;…</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Think Systemically Without Losing the Individual</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Systemic foundations; circularity; reciprocal sequences; function; homeostasis; multiple contexts;…</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Sequence the Earliest Best-Supported Action</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Safety and medical urgency; legal and ethical controls; role/scope; informed participation; assessment before…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Control Distractors, Time, and Uncertainty</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Timing errors; role errors; unsupported assumptions; absolutes; over-response; under-response; theory-name…</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Integrate, Score, and Repair Reasoning</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Mixed cross-domain cases; confidence coding; error categories; low-confidence correct answers; one-sentence…</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Exam Facts and Pacing Sheet</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Current mechanics; six-domain map; all-items-count rule; 80-second average; four pacing checkpoints;…</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Question Deconstruction Grid</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Final-question-first strategy; qualifier words; role; stage of care; what has already occurred; client…</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SYSTEM Map and Linear-to-Systemic Lab</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Systemic foundations; circularity; reciprocal sequences; function; homeostasis; multiple contexts;…</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Priority Ladder and Missing-Information Check</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Safety and medical urgency; legal and ethical controls; role/scope; informed participation; assessment…</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2: Therapeutic Alliance, Systemic Practice, and Self of the Therapist</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Workbook 2 around alliance as an active systemic process—not simple rapport. Teach learners to join with the whole client system, notice power and participation, monitor their own influence, respond to feedback, repair relational strain, and seek…</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1 - Practice of Systemic Therapy</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6 - Maintaining Ethical, Legal, and Professional Standards; integrated reinforcement of Domains 3 and 4</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Systemic Stance and the Therapeutic Relationship</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Systemic philosophy; circularity; reciprocal influence; treatment unit; relational ethics; non-blaming…</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Joining, Safety, Inclusion, and Client-System Participation</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Alliance as shared process; psychological safety; role clarity; consent and expectations; balanced…</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Integrating Individual and Systemic Practice</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When individual work fits; maintaining systemic hypotheses; confidentiality and treatment-unit implications;…</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Culture, Power, Social Justice, and Relational Trust</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Cultural humility; social location; power differentials; language and disability access; minority stress;…</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Self of the Therapist, Competence, Boundaries, and Consultation</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Values; bias; reactivity; countertransference; trauma activation; overidentification; rescuing; rigidity;…</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Feedback, Rupture Repair, Alliance Evaluation, and Documentation</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Alliance monitoring; direct feedback; rupture markers; therapist accountability; repair; treatment revision;…</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CIRCLE Formulation Grid</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Systemic philosophy; circularity; reciprocal influence; treatment unit; relational ethics; non-blaming…</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ALLIANCE Participation Map</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Alliance as shared process; psychological safety; role clarity; consent and expectations; balanced…</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LEVELS Integration Matrix</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When individual work fits; maintaining systemic hypotheses; confidentiality and treatment-unit…</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POWER and CONTEXT Grid</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Cultural humility; social location; power differentials; language and disability access; minority…</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3: Intake, Assessment, Mental Status, Relational Patterns, and Context</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Workbook 3 around assessment as a disciplined, collaborative, and revisable process. Teach learners to gather enough information to protect safety, understand the client system, compare sources and settings, identify context and strengths, and decide…</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2 - Assessing, Hypothesizing, and Diagnosing</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1, 5, and 6, with later diagnostic and specialty depth reserved for Workbooks 4, 6, and 9</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The Intake Frame: Client, Treatment Unit, Purpose, and Participation</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Referral question; who is the client; who is present/affected; consent as clinical process; roles; information…</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Interviewing, Observation, Mental Status, and Change from Baseline</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Observation versus inference; timeline; baseline; cross-setting functioning; MSE domains; cognition;…</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Relational Patterns, Genograms, Family Life Cycle, and Development</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Communication sequences; boundaries; roles; rules; alliances; coalitions; hierarchy; homeostasis;…</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Culture, Context, Environment, Strengths, and Access</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Cultural humility; identity; migration; spirituality; power/oppression; economic and occupational stress;…</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Integrated Screening: Safety, Health, Substances, Trauma, Sexuality,…</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Risk screening; medical/medication indicators; substances/process use; trauma/childhood experiences; sexual…</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Provisional Systemic Hypotheses, Treatment-Unit Selection, and…</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Evidence integration; multiple hypotheses; missing data; fit of individual/couple/family/group/teletherapy…</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INTAKE Sequence</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Referral question; who is the client; who is present/affected; consent as clinical process; roles;…</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BASELINE Scan</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Observation versus inference; timeline; baseline; cross-setting functioning; MSE domains; cognition;…</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MAPS Relational Map</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Communication sequences; boundaries; roles; rules; alliances; coalitions; hierarchy; homeostasis;…</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LENSES Context Grid</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Cultural humility; identity; migration; spirituality; power/oppression; economic and occupational…</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4: Diagnosis, Differential Diagnosis, Instruments, and Systemic Case Formulation</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Workbook 4 around diagnostic reasoning without premature closure. Teach learners to distinguish symptoms from syndromes, screening from diagnosis, and diagnosis from the larger systemic formulation. Every conclusion should show what supports it, what…</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2 - Assessing, Hypothesizing, and Diagnosing</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3, 5, and 6 through treatment-design implications, urgent medical/crisis routing, competence, consultation, and documentation</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Diagnosis as a Working Systemic Formulation</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Symptoms, syndromes, diagnosis, relational/contextual conditions, systemic hypotheses, client system,…</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Pattern, Timeline, Threshold, and Functional Impact</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Onset, duration, course, baseline, episode versus trait, severity, impairment, remission, cross-setting data,…</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Differential Diagnosis and Exclusion Logic</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Competing explanations; medical, neurological, medication, substance, sleep, trauma, developmental, cultural,…</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Standardized Instruments, Measurement, and Diagnostic Confidence</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Purpose and fit; screening versus diagnosis; reliability, validity, norms, cut scores, accessibility, bias,…</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High-Yield Diagnostic Families and Complex Presentations</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Mood/bipolar, anxiety/OCD, trauma/dissociation, psychosis, substances, neurodevelopment, personality, eating,…</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Integrated Systemic Case Formulation, Collaboration, and Referral</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One-sentence formulation, reciprocal effects, context, strengths, treatment unit, missing data, referral…</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DIAGNOSE</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Symptoms, syndromes, diagnosis, relational/contextual conditions, systemic hypotheses, client system,…</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PTI Grid</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Onset, duration, course, baseline, episode versus trait, severity, impairment, remission, cross-setting…</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DIFF Grid</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Competing explanations; medical, neurological, medication, substance, sleep, trauma, developmental,…</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MEASURE</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Purpose and fit; screening versus diagnosis; reliability, validity, norms, cut scores, accessibility,…</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5: Treatment Design, Goals, Contracts, Measurement, and Systemic Planning</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Workbook 5 around planning before technique. A strong plan states who is being treated, what pattern or need is being targeted, why the chosen structure and interventions fit, how progress will be measured, what safety and coordination responsibilities…</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3 - Designing and Conducting Treatment</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6 and 4, with integrated reinforcement of Domains 1, 2, and 5</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From Formulation to Treatment Priorities</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Planning purpose; client system and treatment unit; assessment-to-plan sequence; strengths and risks; prior…</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Therapeutic Contracts, Roles, and the Treatment Frame</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Client(s), therapist role, third-party and collateral roles, participation, expectations, session structure,…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Goals, Objectives, Measures, and Completion Criteria</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Short- and long-term goals; observable objectives; relational and functional indicators; baseline and time…</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Treatment Unit, Modality, Level of Care, and Sequence</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Who participates; individual/couple/family/group/collateral/system involvement; in-person/teletherapy/hybrid…</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Intervention Rationale, Evidence, Context, and Autonomy</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Theory and evidence; shared contextual understanding; client preferences and autonomy; culture, spirituality,…</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Integrated Planning, Coordination, Documentation, and Review</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Safety-plan responsibilities; prescriber and specialty coordination; referral and collateral systems;…</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DESIGN</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Planning purpose; client system and treatment unit; assessment-to-plan sequence; strengths and risks;…</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CONTRACT</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Client(s), therapist role, third-party and collateral roles, participation, expectations, session…</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TARGET</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Short- and long-term goals; observable objectives; relational and functional indicators; baseline and…</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SEQUENCE</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Who participates; individual/couple/family/group/collateral/system involvement;…</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6: Crisis, Suicide, Violence, Abuse, Trauma, and Emergency Response</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Workbook 6 around acuity before diagnosis and protection before processing. A strong crisis answer identifies the immediate threat, asks direct questions, checks impairment and context, chooses the least restrictive response that can still maintain…</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5 - Managing Crisis Situations</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2, 3, and 6</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Crisis Recognition, Impairment, and Immediate Priorities</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Crisis versus severe distress; acuity; MSE change; medical, substance, psychosis, delirium, and disability…</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Suicide, Self-Injury, Safety Planning, and Level of Intervention</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Direct inquiry; ideation, intent, planning, preparation, means, prior behavior, NSSI, dynamic risk, protective…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Violence, Coercion, Threats, and Therapist Safety</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Violence toward the client; coercive control; stalking; threats toward others; harm toward the therapist;…</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Abuse, Neglect, Exploitation, and Reporting Frameworks</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Endangerment across the lifespan; child, elder, dependent/vulnerable adult and sexual abuse concerns;…</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Trauma Stabilization, Acute Impairment, and Least Restrictive Care</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Trauma history in current crisis; grounding; orientation; practical support; grief and major transitions;…</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Community Crisis, Emergency Modalities, Coordination, and Follow-Through</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Natural disasters, mass violence, public-health crises, community trauma, teletherapy and hybrid emergencies,…</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ACUITY</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Crisis versus severe distress; acuity; MSE change; medical, substance, psychosis, delirium, and…</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DIRECT</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Direct inquiry; ideation, intent, planning, preparation, means, prior behavior, NSSI, dynamic risk,…</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SHIELD</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Violence toward the client; coercive control; stalking; threats toward others; harm toward the…</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REPORT</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Endangerment across the lifespan; child, elder, dependent/vulnerable adult and sexual abuse concerns;…</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7: Couple, Family, Attachment, Structural, Strategic, and Intergenerational Interventions</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reliable reasoning in couple, family, attachment, structural, strategic, and intergenerational interventions.</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3: Designing and Conducting Treatment</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1, 4, 5, and 6</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Treatment Unit, Systemic Hypothesis, and Intervention Selection</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Client versus treatment unit; linear versus circular descriptions; relational sequences; mechanism of change;…</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Alliance, Voluntariness, Power, and Conjoint Safety</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Multi-person alliance; balanced accountability; secrets and privacy policies; culture and power; coercion…</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Attachment-Informed Couple and Family Interventions</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Negative cycles; protest and withdrawal; primary/secondary emotion; accessibility, responsiveness, engagement;…</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Structural and Strategic Interventions</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Subsystems, boundaries, hierarchy, coalitions, enactments, joining, reframing, attempted solutions,…</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Intergenerational and Caregiver/Parenting Work</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Genograms; triangles; differentiation; multigenerational transmission; legacies; cutoffs; caregiving and…</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Integration, Response Evaluation, and Plan Revision</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Model coherence; sequencing across methods; feedback and outcome data; alliance repair; nonresponse;…</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FIT</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Choose modality and intervention before technique.</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JOIN</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Alliance and conjoint-treatment readiness.</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SECURE</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Attachment-informed intervention sequencing.</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SHIFT</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Structural and strategic methods.</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8: Narrative, Solution-Focused, Experiential, Behavioral, Cognitive, and Mindfulness Interventions</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reliable reasoning in narrative, solution-focused, experiential, behavioral, cognitive, and mindfulness interventions.</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3: Designing and Conducting Treatment</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1, 2, 4, and 6</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Intervention Coherence, Treatment Unit, and Model Fit</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Systemic formulation; mechanism of change; treatment unit; common factors versus model-specific methods;…</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Narrative Intervention and Re-Authoring</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Collaborative stance; language and power; externalizing; mapping effects and influence; unique outcomes;…</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Solution-Focused and Motivational Interviewing Approaches</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Preferred future; exceptions; coping; scaling; small steps; strengths; autonomy; ambivalence; change/sustain…</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Experiential and Emotion-Focused Process Work</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Present process; therapist use of self; regulation; emotion/meaning; experiential enactment; congruence;…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Behavioral and Cognitive Interventions in Relational Systems</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Functional analysis; reciprocal reinforcement; skills; communication/problem solving; behavioral experiments;…</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Mindfulness, Acceptance, Integration, and Response Evaluation</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Present-moment awareness; defusion/acceptance; values-linked action; choice; contraindications; model…</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MATCH</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Select and integrate interventions coherently.</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STORY</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Narrative formulation and intervention.</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SPARK</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Solution-focused and motivational methods.</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FEEL</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Experiential process and pacing.</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9: Complex Presentations, Substance Use, Recovery, Sexuality, Health, Development, Grief, and Integrated Care</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reliable reasoning in complex presentations, substance use, recovery, sexuality, health, development, grief, and integrated care.</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2 and 3: Assessment/Formulation and Treatment</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1, 4, 5, and 6</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Complex Presentation Integration, Scope, and Treatment Unit</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Multidimensional formulation; urgent versus nonurgent needs; diagnostic overshadowing; client/treatment unit;…</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Substance Use, Co-Occurring Conditions, and Recovery Systems</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Use pattern and function; intoxication/withdrawal/overdose; co-occurring conditions; readiness; recovery…</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Sexuality, Sexual Health, Reproductive Context, and Relational Care</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Inclusive inquiry; anatomy/behavior/identity distinctions; desire and function; consent/coercion; trauma;…</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Health, Disability, Medication, and Integrated Care</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Chronic illness; pain; sleep; disability; neurocognitive/functional change; medication effects and adherence;…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Developmental Transitions, Aging, Caregiving, Grief, and Loss</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Family life cycle; adolescence/emerging adulthood; parenting; reproductive/perinatal transitions; aging;…</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Trauma Complexity, Level of Care, Coordination, and Family-System…</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Complex trauma and dissociation; interacting conditions; stabilization; referral and handoff;…</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MOSAIC</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Build a non-reductive complex-presentation formulation.</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RECOVER</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Reason through substance use, recovery, and level of care.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OPENS</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Conduct inclusive sexuality and sexual-health inquiry.</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BRIDGE</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Coordinate health-related and interdisciplinary care.</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10: Progress Evaluation, Research Literacy, Plan Revision, Termination, and Continuity</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reliable reasoning in progress evaluation, research literacy, plan revision, termination, and continuity.</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4: Evaluating Ongoing Process and Terminating Treatment</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2, 3, 5, and 6</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Defining Progress, Outcomes, Alliance, and the Measurement Plan</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Client-system goals; baseline; observable indicators; symptoms, function, relationships, quality of life,…</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Research Literacy and Evidence Appraisal for Systemic Practice</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Decision questions; quantitative/qualitative designs; reviews; sampling; comparison; validity; bias; effect…</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Practice-Based Data, Meaningful Change, and Documentation</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Repeated measurement; trend; expected variation; clinically meaningful versus statistical change; missingness;…</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Nonresponse, Deterioration, Rupture, and Plan Revision</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Outcome worsening; dropout risk; alliance rupture; implementation and access barriers; safety and diagnosis…</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Step-Up, Step-Down, Referral, Transfer, and Continuity</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Acuity and treatment fit; competence; intensity and modality changes; alternatives; informed permission;…</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Termination, Gains Maintenance, Relapse Prevention, and Follow-Up</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Termination criteria; planned, client-initiated, administrative, and premature endings; review of gains and…</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TRACK</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Build and use a collaborative progress-monitoring plan.</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LENS</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Appraise evidence without overgeneralizing it.</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SIGNAL</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Interpret practice-based data responsibly.</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REPAIR</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Respond to nonresponse, deterioration, or rupture.</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11: Diversity, Social Justice, Community Systems, Groups, Referral, Collaboration, and Supervision</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reliable reasoning in diversity, social justice, community systems, groups, referral, collaboration, and supervision.</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1: Practice of Systemic Therapy</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2, 3, 4, 5, and 6</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Cultural Humility, Identity, Intersectionality, Power, and Oppression</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Self-location; worldview; intersectionality; privilege and oppression; discrimination; spirituality;…</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Language, Disability, Access, and Social Determinants</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Communication preferences; qualified language assistance; health literacy; sensory/cognitive/mobility access;…</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Community Systems, Institutions, Advocacy, and Resource Coordination</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Ecological mapping; family/community strengths; schools, health, housing, justice, faith, benefits, and…</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Group Screening, Composition, Consent, Process, and Safety</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Purpose; selection and exclusion; voluntariness; alternatives; composition; access; confidentiality limits;…</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Consultation, Specialty Referral, Interdisciplinary Collaboration, and…</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Need and urgency; client choice; consultant versus treating role; competence; shared goals; team roles;…</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Supervision, Delegation, Feedback, Gatekeeping, and Accountability</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Authority and jurisdiction; supervisor/supervisee roles; power; competence; client welfare; case assignment;…</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HUMBLE</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Practice cultural humility without stereotyping or false neutrality.</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ACCESS</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Make services understandable, usable, and participatory.</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ECOLOGY</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Map community systems and choose proportionate action.</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GROUP</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Screen and lead groups responsively.</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p>
      <w:r>
        <w:br w:type="page"/>
      </w:r>
    </w:p>
    <w:p>
      <w:pPr>
        <w:pStyle w:val="Heading1"/>
      </w:pPr>
      <w:r>
        <w:t>Workbook 12: Ethics, Law, Business Practice, Documentation, Technology, Teletherapy, and AI</w:t>
      </w: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CORE PURPOSE  </w:t>
      </w:r>
      <w:r>
        <w:rPr>
          <w:rFonts w:ascii="Calibri" w:hAnsi="Calibri"/>
          <w:color w:val="1D2939"/>
          <w:sz w:val="20"/>
        </w:rPr>
        <w:t>Build reliable reasoning in ethics, law, business practice, documentation, technology, teletherapy, and ai.</w:t>
      </w:r>
    </w:p>
    <w:tbl>
      <w:tblPr>
        <w:tblStyle w:val="TableGrid"/>
        <w:tblW w:type="dxa" w:w="9240"/>
        <w:jc w:val="left"/>
        <w:tblLayout w:type="fixed"/>
        <w:tblLook w:firstColumn="1" w:firstRow="1" w:lastColumn="0" w:lastRow="0" w:noHBand="0" w:noVBand="1" w:val="04A0"/>
        <w:tblInd w:w="120" w:type="dxa"/>
      </w:tblPr>
      <w:tblGrid>
        <w:gridCol w:w="3500"/>
        <w:gridCol w:w="5740"/>
      </w:tblGrid>
      <w:tr>
        <w:trPr>
          <w:tblHeader w:val="true"/>
          <w:cantSplit/>
        </w:trPr>
        <w:tc>
          <w:tcPr>
            <w:tcW w:type="dxa" w:w="350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Primary alignment</w:t>
            </w:r>
          </w:p>
        </w:tc>
        <w:tc>
          <w:tcPr>
            <w:tcW w:type="dxa" w:w="5740"/>
            <w:tcMar>
              <w:top w:w="80" w:type="dxa"/>
              <w:start w:w="120" w:type="dxa"/>
              <w:bottom w:w="80" w:type="dxa"/>
              <w:end w:w="120" w:type="dxa"/>
            </w:tcMar>
            <w:vAlign w:val="center"/>
            <w:shd w:fill="0B2545"/>
          </w:tcPr>
          <w:p>
            <w:pPr>
              <w:spacing w:before="0" w:after="40" w:line="252" w:lineRule="auto"/>
            </w:pPr>
            <w:r>
              <w:rPr>
                <w:rFonts w:ascii="Calibri" w:hAnsi="Calibri"/>
                <w:b/>
                <w:color w:val="FFFFFF"/>
                <w:sz w:val="17"/>
              </w:rPr>
              <w:t>Secondary integration</w:t>
            </w:r>
          </w:p>
        </w:tc>
      </w:tr>
      <w:tr>
        <w:trPr>
          <w:cantSplit/>
        </w:trPr>
        <w:tc>
          <w:tcPr>
            <w:tcW w:type="dxa" w:w="350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 6: Maintaining Ethical, Legal, and Professional Standards</w:t>
            </w:r>
          </w:p>
        </w:tc>
        <w:tc>
          <w:tcPr>
            <w:tcW w:type="dxa" w:w="5740"/>
            <w:tcMar>
              <w:top w:w="80" w:type="dxa"/>
              <w:start w:w="120" w:type="dxa"/>
              <w:bottom w:w="80" w:type="dxa"/>
              <w:end w:w="120" w:type="dxa"/>
            </w:tcMar>
            <w:vAlign w:val="center"/>
          </w:tcPr>
          <w:p>
            <w:pPr>
              <w:spacing w:before="0" w:after="40" w:line="252" w:lineRule="auto"/>
            </w:pPr>
            <w:r>
              <w:rPr>
                <w:rFonts w:ascii="Calibri" w:hAnsi="Calibri"/>
                <w:b w:val="0"/>
                <w:color w:val="1D2939"/>
                <w:sz w:val="17"/>
              </w:rPr>
              <w:t>Domains 1, 2, 3, 4, and 5</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520"/>
        <w:gridCol w:w="2670"/>
        <w:gridCol w:w="6050"/>
      </w:tblGrid>
      <w:tr>
        <w:trPr>
          <w:tblHeader w:val="true"/>
          <w:cantSplit/>
        </w:trPr>
        <w:tc>
          <w:tcPr>
            <w:tcW w:type="dxa" w:w="52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Ch.</w:t>
            </w:r>
          </w:p>
        </w:tc>
        <w:tc>
          <w:tcPr>
            <w:tcW w:type="dxa" w:w="267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Focus</w:t>
            </w:r>
          </w:p>
        </w:tc>
        <w:tc>
          <w:tcPr>
            <w:tcW w:type="dxa" w:w="60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Retrieval cue</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1</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Ethical Decision-Making, Jurisdiction, Role, Competence, and Boundaries</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Sources of authority; law versus ethics; client and treatment unit; role; competence; consultation; conflicts;…</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2</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Informed Consent, Confidentiality, Privilege, and Information Decisions</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Capacity and authority; understandable consent; third parties; couple/family/group policies; written…</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3</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Documentation, Records, Access, Disclosure, Retention, and Practice…</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Accurate and adequate notes; corrections; psychotherapy notes; client and systemic access; third-party…</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4</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Financial Integrity, Billing, Business Practice, Advertising, and…</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Fees; financial disclosures; payer accuracy; coding; collections; bartering; referrals; conflicts; truthful…</w:t>
            </w:r>
          </w:p>
        </w:tc>
      </w:tr>
      <w:tr>
        <w:trPr>
          <w:cantSplit/>
        </w:trPr>
        <w:tc>
          <w:tcPr>
            <w:tcW w:type="dxa" w:w="520"/>
            <w:tcMar>
              <w:top w:w="80" w:type="dxa"/>
              <w:start w:w="120" w:type="dxa"/>
              <w:bottom w:w="80" w:type="dxa"/>
              <w:end w:w="120" w:type="dxa"/>
            </w:tcMar>
            <w:vAlign w:val="center"/>
          </w:tcPr>
          <w:p>
            <w:pPr>
              <w:spacing w:before="0" w:after="40" w:line="252" w:lineRule="auto"/>
            </w:pPr>
            <w:r>
              <w:rPr>
                <w:rFonts w:ascii="Calibri" w:hAnsi="Calibri"/>
                <w:b w:val="0"/>
                <w:color w:val="1D2939"/>
                <w:sz w:val="15"/>
              </w:rPr>
              <w:t>5</w:t>
            </w:r>
          </w:p>
        </w:tc>
        <w:tc>
          <w:tcPr>
            <w:tcW w:type="dxa" w:w="2670"/>
            <w:tcMar>
              <w:top w:w="80" w:type="dxa"/>
              <w:start w:w="120" w:type="dxa"/>
              <w:bottom w:w="80" w:type="dxa"/>
              <w:end w:w="120" w:type="dxa"/>
            </w:tcMar>
            <w:vAlign w:val="center"/>
          </w:tcPr>
          <w:p>
            <w:pPr>
              <w:spacing w:before="0" w:after="40" w:line="252" w:lineRule="auto"/>
            </w:pPr>
            <w:r>
              <w:rPr>
                <w:rFonts w:ascii="Calibri" w:hAnsi="Calibri"/>
                <w:b w:val="0"/>
                <w:color w:val="1D2939"/>
                <w:sz w:val="15"/>
              </w:rPr>
              <w:t>Technology, Teletherapy, Electronic Records, Digital Privacy, and…</w:t>
            </w:r>
          </w:p>
        </w:tc>
        <w:tc>
          <w:tcPr>
            <w:tcW w:type="dxa" w:w="6050"/>
            <w:tcMar>
              <w:top w:w="80" w:type="dxa"/>
              <w:start w:w="120" w:type="dxa"/>
              <w:bottom w:w="80" w:type="dxa"/>
              <w:end w:w="120" w:type="dxa"/>
            </w:tcMar>
            <w:vAlign w:val="center"/>
          </w:tcPr>
          <w:p>
            <w:pPr>
              <w:spacing w:before="0" w:after="40" w:line="252" w:lineRule="auto"/>
            </w:pPr>
            <w:r>
              <w:rPr>
                <w:rFonts w:ascii="Calibri" w:hAnsi="Calibri"/>
                <w:b w:val="0"/>
                <w:color w:val="1D2939"/>
                <w:sz w:val="15"/>
              </w:rPr>
              <w:t>Client location and jurisdiction; authority; modality fit; identity; privacy; access; informed consent;…</w:t>
            </w:r>
          </w:p>
        </w:tc>
      </w:tr>
      <w:tr>
        <w:trPr>
          <w:cantSplit/>
        </w:trPr>
        <w:tc>
          <w:tcPr>
            <w:tcW w:type="dxa" w:w="52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6</w:t>
            </w:r>
          </w:p>
        </w:tc>
        <w:tc>
          <w:tcPr>
            <w:tcW w:type="dxa" w:w="267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Artificial Intelligence, Recording, Transcription, Data Governance,…</w:t>
            </w:r>
          </w:p>
        </w:tc>
        <w:tc>
          <w:tcPr>
            <w:tcW w:type="dxa" w:w="60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Defined use; competence; recording and third-party observation; notice/consent; vendor/data flow; minimum…</w:t>
            </w:r>
          </w:p>
        </w:tc>
      </w:tr>
    </w:tbl>
    <w:p>
      <w:pPr>
        <w:spacing w:after="0"/>
      </w:pPr>
    </w:p>
    <w:tbl>
      <w:tblPr>
        <w:tblStyle w:val="TableGrid"/>
        <w:tblW w:type="dxa" w:w="9240"/>
        <w:jc w:val="left"/>
        <w:tblLayout w:type="fixed"/>
        <w:tblLook w:firstColumn="1" w:firstRow="1" w:lastColumn="0" w:lastRow="0" w:noHBand="0" w:noVBand="1" w:val="04A0"/>
        <w:tblInd w:w="120" w:type="dxa"/>
      </w:tblPr>
      <w:tblGrid>
        <w:gridCol w:w="2350"/>
        <w:gridCol w:w="6890"/>
      </w:tblGrid>
      <w:tr>
        <w:trPr>
          <w:tblHeader w:val="true"/>
          <w:cantSplit/>
        </w:trPr>
        <w:tc>
          <w:tcPr>
            <w:tcW w:type="dxa" w:w="235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CTA tool</w:t>
            </w:r>
          </w:p>
        </w:tc>
        <w:tc>
          <w:tcPr>
            <w:tcW w:type="dxa" w:w="6890"/>
            <w:tcMar>
              <w:top w:w="80" w:type="dxa"/>
              <w:start w:w="120" w:type="dxa"/>
              <w:bottom w:w="80" w:type="dxa"/>
              <w:end w:w="120" w:type="dxa"/>
            </w:tcMar>
            <w:vAlign w:val="center"/>
            <w:shd w:fill="0B2545"/>
          </w:tcPr>
          <w:p>
            <w:pPr>
              <w:spacing w:before="0" w:after="40" w:line="252" w:lineRule="auto"/>
            </w:pPr>
            <w:r>
              <w:rPr>
                <w:rFonts w:ascii="Calibri" w:hAnsi="Calibri"/>
                <w:b/>
                <w:color w:val="FFFFFF"/>
                <w:sz w:val="15"/>
              </w:rPr>
              <w:t>Primary use</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COMPASS</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Make defensible ethical and jurisdictional decisions.</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CONSENT</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Manage consent and systemic information rights.</w:t>
            </w:r>
          </w:p>
        </w:tc>
      </w:tr>
      <w:tr>
        <w:trPr>
          <w:cantSplit/>
        </w:trPr>
        <w:tc>
          <w:tcPr>
            <w:tcW w:type="dxa" w:w="2350"/>
            <w:tcMar>
              <w:top w:w="80" w:type="dxa"/>
              <w:start w:w="120" w:type="dxa"/>
              <w:bottom w:w="80" w:type="dxa"/>
              <w:end w:w="120" w:type="dxa"/>
            </w:tcMar>
            <w:vAlign w:val="center"/>
          </w:tcPr>
          <w:p>
            <w:pPr>
              <w:spacing w:before="0" w:after="40" w:line="252" w:lineRule="auto"/>
            </w:pPr>
            <w:r>
              <w:rPr>
                <w:rFonts w:ascii="Calibri" w:hAnsi="Calibri"/>
                <w:b w:val="0"/>
                <w:color w:val="1D2939"/>
                <w:sz w:val="15"/>
              </w:rPr>
              <w:t>RECORD</w:t>
            </w:r>
          </w:p>
        </w:tc>
        <w:tc>
          <w:tcPr>
            <w:tcW w:type="dxa" w:w="6890"/>
            <w:tcMar>
              <w:top w:w="80" w:type="dxa"/>
              <w:start w:w="120" w:type="dxa"/>
              <w:bottom w:w="80" w:type="dxa"/>
              <w:end w:w="120" w:type="dxa"/>
            </w:tcMar>
            <w:vAlign w:val="center"/>
          </w:tcPr>
          <w:p>
            <w:pPr>
              <w:spacing w:before="0" w:after="40" w:line="252" w:lineRule="auto"/>
            </w:pPr>
            <w:r>
              <w:rPr>
                <w:rFonts w:ascii="Calibri" w:hAnsi="Calibri"/>
                <w:b w:val="0"/>
                <w:color w:val="1D2939"/>
                <w:sz w:val="15"/>
              </w:rPr>
              <w:t>Create and manage accurate, protected records.</w:t>
            </w:r>
          </w:p>
        </w:tc>
      </w:tr>
      <w:tr>
        <w:trPr>
          <w:cantSplit/>
        </w:trPr>
        <w:tc>
          <w:tcPr>
            <w:tcW w:type="dxa" w:w="235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TRUST</w:t>
            </w:r>
          </w:p>
        </w:tc>
        <w:tc>
          <w:tcPr>
            <w:tcW w:type="dxa" w:w="689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5"/>
              </w:rPr>
              <w:t>Protect integrity in business and public practice.</w:t>
            </w:r>
          </w:p>
        </w:tc>
      </w:tr>
    </w:tbl>
    <w:p>
      <w:pPr>
        <w:spacing w:after="0"/>
      </w:pPr>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ONE-BEST-ANSWER CHECK  </w:t>
      </w:r>
      <w:r>
        <w:rPr>
          <w:rFonts w:ascii="Calibri" w:hAnsi="Calibri"/>
          <w:color w:val="1D2939"/>
          <w:sz w:val="20"/>
        </w:rPr>
        <w:t>Identify the decision qualifier and present stage; screen safety and medical urgency; confirm client, treatment unit, role, competence, jurisdiction, and consent; integrate systemic pattern and context; then choose the earliest proportionate action supported by the facts.</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Exam Preparation | No CE Credit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667085"/>
        <w:sz w:val="16"/>
      </w:rPr>
      <w:t>CTA LMFT AMFTRB | QUICK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87E7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National Exam Preparation Program - Workbook 1-12 Quick-Reference Collection</dc:title>
  <dc:subject>Twelve synchronized review sheets for rapid retrieval, transfer practice, and final-week study</dc:subject>
  <dc:creator>Clinical Training and Supervision Academy</dc:creator>
  <cp:keywords>CTA, LMFT, AMFTRB, exam preparation, no CE credit</cp:keywords>
  <dc:description>Controlled program resource.</dc:description>
  <cp:lastModifiedBy>Clinical Training and Supervision Academy</cp:lastModifiedBy>
  <cp:revision>1</cp:revision>
  <dcterms:created xsi:type="dcterms:W3CDTF">2013-12-23T23:15:00Z</dcterms:created>
  <dcterms:modified xsi:type="dcterms:W3CDTF">2026-08-04T12:00:00Z</dcterms:modified>
  <cp:category/>
</cp:coreProperties>
</file>