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drawing>
          <wp:inline xmlns:a="http://schemas.openxmlformats.org/drawingml/2006/main" xmlns:pic="http://schemas.openxmlformats.org/drawingml/2006/picture">
            <wp:extent cx="3977639" cy="2735942"/>
            <wp:docPr id="1" name="Picture 1" descr="Clinical Training and Supervision Academy horizontal logo"/>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977639" cy="2735942"/>
                    </a:xfrm>
                    <a:prstGeom prst="rect"/>
                  </pic:spPr>
                </pic:pic>
              </a:graphicData>
            </a:graphic>
          </wp:inline>
        </w:drawing>
      </w:r>
    </w:p>
    <w:p>
      <w:pPr>
        <w:spacing w:after="0"/>
        <w:jc w:val="center"/>
      </w:pPr>
      <w:r>
        <w:rPr>
          <w:rFonts w:ascii="Liberation Sans" w:hAnsi="Liberation Sans"/>
          <w:b/>
          <w:color w:val="12385B"/>
          <w:sz w:val="24"/>
        </w:rPr>
        <w:t>CTA LMFT AMFTRB</w:t>
      </w:r>
    </w:p>
    <w:p>
      <w:pPr>
        <w:spacing w:after="240"/>
        <w:jc w:val="center"/>
      </w:pPr>
      <w:r>
        <w:rPr>
          <w:rFonts w:ascii="Liberation Sans" w:hAnsi="Liberation Sans"/>
          <w:b/>
          <w:color w:val="13A6A6"/>
          <w:sz w:val="19"/>
        </w:rPr>
        <w:t>NATIONAL EXAM PREPARATION PROGRAM</w:t>
      </w:r>
    </w:p>
    <w:p>
      <w:pPr>
        <w:spacing w:after="60"/>
        <w:jc w:val="center"/>
      </w:pPr>
      <w:r>
        <w:rPr>
          <w:rFonts w:ascii="Liberation Sans" w:hAnsi="Liberation Sans"/>
          <w:b/>
          <w:color w:val="5A6872"/>
          <w:sz w:val="22"/>
        </w:rPr>
        <w:t>Student Workbook</w:t>
      </w:r>
    </w:p>
    <w:p>
      <w:pPr>
        <w:spacing w:after="80"/>
        <w:jc w:val="center"/>
      </w:pPr>
      <w:r>
        <w:rPr>
          <w:rFonts w:ascii="Liberation Sans" w:hAnsi="Liberation Sans"/>
          <w:b/>
          <w:color w:val="12385B"/>
          <w:sz w:val="28"/>
        </w:rPr>
        <w:t>CTA LMFT AMFTRB Workbook 10</w:t>
      </w:r>
    </w:p>
    <w:p>
      <w:pPr>
        <w:pStyle w:val="Title"/>
        <w:jc w:val="center"/>
      </w:pPr>
      <w:r>
        <w:rPr>
          <w:rFonts w:ascii="Liberation Sans" w:hAnsi="Liberation Sans"/>
          <w:b/>
          <w:color w:val="12385B"/>
          <w:sz w:val="40"/>
        </w:rPr>
        <w:t>Progress Evaluation, Research Literacy, Plan Revision, Termination, and Continuity</w:t>
      </w:r>
    </w:p>
    <w:p>
      <w:pPr>
        <w:pStyle w:val="Subtitle"/>
        <w:jc w:val="center"/>
      </w:pPr>
      <w:r>
        <w:rPr>
          <w:rFonts w:ascii="Liberation Sans" w:hAnsi="Liberation Sans"/>
          <w:color w:val="13A6A6"/>
          <w:sz w:val="21"/>
        </w:rPr>
        <w:t>Define progress collaboratively, interpret evidence and repeated data responsibly, repair nonresponse, revise care, and end or transfer without losing continuity.</w:t>
      </w:r>
    </w:p>
    <w:p>
      <w:pPr>
        <w:spacing w:after="40"/>
        <w:jc w:val="center"/>
      </w:pPr>
      <w:r>
        <w:rPr>
          <w:rFonts w:ascii="Liberation Sans" w:hAnsi="Liberation Sans"/>
          <w:i w:val="0"/>
          <w:color w:val="1E2D38"/>
          <w:sz w:val="18"/>
        </w:rPr>
        <w:t>Version 1.0 - August 2026</w:t>
      </w:r>
    </w:p>
    <w:p>
      <w:pPr>
        <w:spacing w:after="40"/>
        <w:jc w:val="center"/>
      </w:pPr>
      <w:r>
        <w:rPr>
          <w:rFonts w:ascii="Liberation Sans" w:hAnsi="Liberation Sans"/>
          <w:i w:val="0"/>
          <w:color w:val="1E2D38"/>
          <w:sz w:val="18"/>
        </w:rPr>
        <w:t>Clinical Training &amp; Supervision Academy</w:t>
      </w:r>
    </w:p>
    <w:p>
      <w:pPr>
        <w:spacing w:after="120"/>
        <w:jc w:val="center"/>
      </w:pPr>
      <w:r>
        <w:rPr>
          <w:rFonts w:ascii="Liberation Sans" w:hAnsi="Liberation Sans"/>
          <w:i w:val="0"/>
          <w:color w:val="1E2D38"/>
          <w:sz w:val="18"/>
        </w:rPr>
        <w:t>Editable Word workbook | Self-paced study | Exam preparation | No CE Credit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INDEPENDENT RESOURCE  </w:t>
            </w:r>
            <w:r>
              <w:rPr>
                <w:rFonts w:ascii="Liberation Sans" w:hAnsi="Liberation Sans"/>
                <w:color w:val="1E2D38"/>
                <w:sz w:val="18"/>
              </w:rPr>
              <w:t>CTA is not affiliated with or endorsed by AMFTRB, PTC, Prometric, AAMFT, APA, SAMHSA, or any licensing board. This original educational program supports readiness but does not guarantee examination passage or determine eligibility.</w:t>
            </w:r>
          </w:p>
        </w:tc>
      </w:tr>
    </w:tbl>
    <w:p>
      <w:pPr>
        <w:spacing w:after="20"/>
      </w:pPr>
    </w:p>
    <w:p>
      <w:r>
        <w:br w:type="page"/>
      </w:r>
    </w:p>
    <w:p>
      <w:pPr>
        <w:pStyle w:val="Heading1"/>
        <w:pageBreakBefore w:val="0"/>
      </w:pPr>
      <w:r>
        <w:t>How to Use This Workbook</w:t>
      </w:r>
    </w:p>
    <w:p>
      <w:pPr>
        <w:spacing w:after="90"/>
      </w:pPr>
      <w:r>
        <w:rPr>
          <w:rFonts w:ascii="Liberation Sans" w:hAnsi="Liberation Sans"/>
          <w:i w:val="0"/>
          <w:color w:val="1E2D38"/>
          <w:sz w:val="18"/>
        </w:rPr>
        <w:t>Workbook 10 teaches the decision point after treatment has begun: Is care helping, harming, stalling, mismatched, or ready to end? Start with collaboratively defined goals and baselines, gather proportionate information from the relevant client system, interpret change with humility, and choose the next action from safety, response, alliance, context, evidence, competence, and continuity—not from therapist preference alone.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LEARN -&gt; ORGANIZE -&gt; APPLY -&gt; ANALYZE -&gt; REPAIR  </w:t>
            </w:r>
            <w:r>
              <w:rPr>
                <w:rFonts w:ascii="Liberation Sans" w:hAnsi="Liberation Sans"/>
                <w:color w:val="1E2D38"/>
                <w:sz w:val="18"/>
              </w:rPr>
              <w:t>Study the six chapters in order. Use TRACK, LENS, SIGNAL, REPAIR, STEPS, and CLOSE to organize decisions. Complete all eight case labs and the reusable record. Answer all ten formative questions before reading the rationales, then remediate every miss or low-confidence response. The tools organize judgment; they do not replace direct assessment, current law and ethics, measure-specific training, consultation, supervision, or individualized care.</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SAFETY AND CONTINUITY OVERRIDE  </w:t>
            </w:r>
            <w:r>
              <w:rPr>
                <w:rFonts w:ascii="Liberation Sans" w:hAnsi="Liberation Sans"/>
                <w:color w:val="1E2D38"/>
                <w:sz w:val="18"/>
              </w:rPr>
              <w:t>New danger, deterioration, acute medical or psychiatric instability, abuse, coercion, neglect, or inability to participate requires direct reassessment, stabilization, and an appropriate level-of-care response before routine outcome interpretation or termination. Administrative, financial, therapist, or setting changes do not erase reasonable continuity responsibilities.</w:t>
            </w:r>
          </w:p>
        </w:tc>
      </w:tr>
    </w:tbl>
    <w:p>
      <w:pPr>
        <w:spacing w:after="20"/>
      </w:pPr>
    </w:p>
    <w:p>
      <w:pPr>
        <w:pStyle w:val="Heading1"/>
        <w:pageBreakBefore w:val="0"/>
      </w:pPr>
      <w:r>
        <w:t>Workbook Learning Objectives</w:t>
      </w:r>
    </w:p>
    <w:p>
      <w:pPr>
        <w:pStyle w:val="ListBullet"/>
        <w:keepLines/>
        <w:spacing w:after="70"/>
      </w:pPr>
      <w:r>
        <w:rPr>
          <w:rFonts w:ascii="Liberation Sans" w:hAnsi="Liberation Sans"/>
          <w:color w:val="1E2D38"/>
          <w:sz w:val="18"/>
        </w:rPr>
        <w:t>Define client-system goals, baseline indicators, expected direction of change, review intervals, and decision thresholds collaboratively and in culturally responsive terms.</w:t>
      </w:r>
    </w:p>
    <w:p>
      <w:pPr>
        <w:pStyle w:val="ListBullet"/>
        <w:keepLines/>
        <w:spacing w:after="70"/>
      </w:pPr>
      <w:r>
        <w:rPr>
          <w:rFonts w:ascii="Liberation Sans" w:hAnsi="Liberation Sans"/>
          <w:color w:val="1E2D38"/>
          <w:sz w:val="18"/>
        </w:rPr>
        <w:t>Select feasible outcome, alliance, functioning, safety, and qualitative feedback methods that fit the treatment unit, purpose, setting, language, burden, and access needs.</w:t>
      </w:r>
    </w:p>
    <w:p>
      <w:pPr>
        <w:pStyle w:val="ListBullet"/>
        <w:keepLines/>
        <w:spacing w:after="70"/>
      </w:pPr>
      <w:r>
        <w:rPr>
          <w:rFonts w:ascii="Liberation Sans" w:hAnsi="Liberation Sans"/>
          <w:color w:val="1E2D38"/>
          <w:sz w:val="18"/>
        </w:rPr>
        <w:t>Interpret repeated information using trend, meaningful change, uncertainty, missingness, measurement limits, context, unintended effects, and client-system meaning.</w:t>
      </w:r>
    </w:p>
    <w:p>
      <w:pPr>
        <w:pStyle w:val="ListBullet"/>
        <w:keepLines/>
        <w:spacing w:after="70"/>
      </w:pPr>
      <w:r>
        <w:rPr>
          <w:rFonts w:ascii="Liberation Sans" w:hAnsi="Liberation Sans"/>
          <w:color w:val="1E2D38"/>
          <w:sz w:val="18"/>
        </w:rPr>
        <w:t>Appraise quantitative, qualitative, review, and practice-based evidence for validity, bias, effect, harms, cultural relevance, feasibility, and applicability.</w:t>
      </w:r>
    </w:p>
    <w:p>
      <w:pPr>
        <w:pStyle w:val="ListBullet"/>
        <w:keepLines/>
        <w:spacing w:after="70"/>
      </w:pPr>
      <w:r>
        <w:rPr>
          <w:rFonts w:ascii="Liberation Sans" w:hAnsi="Liberation Sans"/>
          <w:color w:val="1E2D38"/>
          <w:sz w:val="18"/>
        </w:rPr>
        <w:t>Recognize nonresponse, deterioration, rupture, dropout risk, access barriers, and implementation problems; reassess safety, diagnosis, hypotheses, goals, and treatment fit before revising care.</w:t>
      </w:r>
    </w:p>
    <w:p>
      <w:pPr>
        <w:pStyle w:val="ListBullet"/>
        <w:keepLines/>
        <w:spacing w:after="70"/>
      </w:pPr>
      <w:r>
        <w:rPr>
          <w:rFonts w:ascii="Liberation Sans" w:hAnsi="Liberation Sans"/>
          <w:color w:val="1E2D38"/>
          <w:sz w:val="18"/>
        </w:rPr>
        <w:t>Collaboratively continue, adapt, sequence, intensify, reduce, consult, refer, transfer, or end treatment based on response, acuity, preferences, evidence, competence, and resources.</w:t>
      </w:r>
    </w:p>
    <w:p>
      <w:pPr>
        <w:pStyle w:val="ListBullet"/>
        <w:keepLines/>
        <w:spacing w:after="70"/>
      </w:pPr>
      <w:r>
        <w:rPr>
          <w:rFonts w:ascii="Liberation Sans" w:hAnsi="Liberation Sans"/>
          <w:color w:val="1E2D38"/>
          <w:sz w:val="18"/>
        </w:rPr>
        <w:t>Conduct step-up, step-down, referral, and transfer decisions with informed participation, role clarity, limited information flow, interim responsibility, and confirmation of continuity.</w:t>
      </w:r>
    </w:p>
    <w:p>
      <w:pPr>
        <w:pStyle w:val="ListBullet"/>
        <w:keepLines/>
        <w:spacing w:after="70"/>
      </w:pPr>
      <w:r>
        <w:rPr>
          <w:rFonts w:ascii="Liberation Sans" w:hAnsi="Liberation Sans"/>
          <w:color w:val="1E2D38"/>
          <w:sz w:val="18"/>
        </w:rPr>
        <w:t>Complete termination with agreed criteria, review of gains and remaining needs, maintenance supports, early-warning signs, follow-up or re-entry options, and responsible documentation.</w:t>
      </w:r>
    </w:p>
    <w:p>
      <w:pPr>
        <w:pStyle w:val="Heading1"/>
        <w:pageBreakBefore w:val="0"/>
      </w:pPr>
      <w:r>
        <w:t>Workbook Roadmap</w:t>
      </w:r>
    </w:p>
    <w:tbl>
      <w:tblPr>
        <w:tblW w:type="dxa" w:w="10560"/>
        <w:jc w:val="left"/>
        <w:tblLayout w:type="fixed"/>
        <w:tblLook w:firstColumn="1" w:firstRow="1" w:lastColumn="0" w:lastRow="0" w:noHBand="0" w:noVBand="1" w:val="04A0"/>
        <w:tblInd w:w="0" w:type="dxa"/>
      </w:tblPr>
      <w:tblGrid>
        <w:gridCol w:w="900"/>
        <w:gridCol w:w="7100"/>
        <w:gridCol w:w="25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Chapter</w:t>
            </w:r>
          </w:p>
        </w:tc>
        <w:tc>
          <w:tcPr>
            <w:tcW w:type="dxa" w:w="7100"/>
            <w:shd w:fill="12385B"/>
            <w:tcMar>
              <w:top w:w="95" w:type="dxa"/>
              <w:start w:w="120" w:type="dxa"/>
              <w:bottom w:w="95" w:type="dxa"/>
              <w:end w:w="120" w:type="dxa"/>
            </w:tcMar>
            <w:vAlign w:val="center"/>
          </w:tcPr>
          <w:p>
            <w:pPr>
              <w:spacing w:after="0"/>
            </w:pPr>
            <w:r/>
            <w:r>
              <w:rPr>
                <w:rFonts w:ascii="Liberation Sans" w:hAnsi="Liberation Sans"/>
                <w:b/>
                <w:color w:val="FFFFFF"/>
                <w:sz w:val="17"/>
              </w:rPr>
              <w:t>Focus</w:t>
            </w:r>
          </w:p>
        </w:tc>
        <w:tc>
          <w:tcPr>
            <w:tcW w:type="dxa" w:w="2560"/>
            <w:shd w:fill="12385B"/>
            <w:tcMar>
              <w:top w:w="95" w:type="dxa"/>
              <w:start w:w="120" w:type="dxa"/>
              <w:bottom w:w="95" w:type="dxa"/>
              <w:end w:w="120" w:type="dxa"/>
            </w:tcMar>
            <w:vAlign w:val="center"/>
          </w:tcPr>
          <w:p>
            <w:pPr>
              <w:spacing w:after="0"/>
            </w:pPr>
            <w:r/>
            <w:r>
              <w:rPr>
                <w:rFonts w:ascii="Liberation Sans" w:hAnsi="Liberation Sans"/>
                <w:b/>
                <w:color w:val="FFFFFF"/>
                <w:sz w:val="17"/>
              </w:rPr>
              <w:t>Primary Tool</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1</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Progress, outcomes, alliance, and the monitoring plan</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TRACK</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2</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Research literacy and evidence appraisal</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LENS</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3</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Practice-based data, meaningful change, and documentation</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SIGNAL</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4</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Nonresponse, deterioration, rupture, and plan revision</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REPAIR</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5</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Step-up/down, referral, transfer, and continuity</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STEPS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6</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Termination, maintenance, relapse planning, and follow-up</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CLOSE</w:t>
            </w:r>
          </w:p>
        </w:tc>
      </w:tr>
    </w:tbl>
    <w:p>
      <w:pPr>
        <w:spacing w:after="20"/>
      </w:pPr>
    </w:p>
    <w:p>
      <w:pPr>
        <w:pStyle w:val="Heading1"/>
        <w:pageBreakBefore w:val="0"/>
      </w:pPr>
      <w:r>
        <w:t>High-Yield Evaluation Distinctions</w:t>
      </w:r>
    </w:p>
    <w:tbl>
      <w:tblPr>
        <w:tblW w:type="dxa" w:w="10560"/>
        <w:jc w:val="left"/>
        <w:tblLayout w:type="fixed"/>
        <w:tblLook w:firstColumn="1" w:firstRow="1" w:lastColumn="0" w:lastRow="0" w:noHBand="0" w:noVBand="1" w:val="04A0"/>
        <w:tblInd w:w="0" w:type="dxa"/>
      </w:tblPr>
      <w:tblGrid>
        <w:gridCol w:w="2800"/>
        <w:gridCol w:w="7760"/>
      </w:tblGrid>
      <w:tr>
        <w:trPr>
          <w:tblHeader w:val="true"/>
          <w:cantSplit/>
        </w:trPr>
        <w:tc>
          <w:tcPr>
            <w:tcW w:type="dxa" w:w="2800"/>
            <w:shd w:fill="12385B"/>
            <w:tcMar>
              <w:top w:w="95" w:type="dxa"/>
              <w:start w:w="120" w:type="dxa"/>
              <w:bottom w:w="95" w:type="dxa"/>
              <w:end w:w="120" w:type="dxa"/>
            </w:tcMar>
            <w:vAlign w:val="center"/>
          </w:tcPr>
          <w:p>
            <w:pPr>
              <w:spacing w:after="0"/>
            </w:pPr>
            <w:r/>
            <w:r>
              <w:rPr>
                <w:rFonts w:ascii="Liberation Sans" w:hAnsi="Liberation Sans"/>
                <w:b/>
                <w:color w:val="FFFFFF"/>
                <w:sz w:val="17"/>
              </w:rPr>
              <w:t>Distinction</w:t>
            </w:r>
          </w:p>
        </w:tc>
        <w:tc>
          <w:tcPr>
            <w:tcW w:type="dxa" w:w="776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rule</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Goal vs. indicator</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A goal names the desired change; an indicator shows whether and how that change is occurring.</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Score vs. clinical decision</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score contributes information. Integrate it with safety, function, alliance, behavior, context, and client meaning.</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Statistical vs. clinical significance</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A calculated difference is not automatically noticeable, valuable, durable, or functionally meaningful to the client system.</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Evidence hierarchy vs. applicability</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rigorous study may still fit poorly when the sample, setting, burden, culture, resources, or decision question differ.</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Nonresponse vs. client failure</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Reassess formulation, alliance, access, implementation, competence, modality, sequence, and level of care before assigning blame.</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Referral vs. transfer</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referral recommends another resource; a transfer changes clinical responsibility and requires explicit continuity planning.</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Planned ending vs. abandonment</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A responsible ending uses clear criteria, communication, risk review, records, options, and reasonable continuity.</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Maintenance vs. indefinite treatment</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Consolidate client-owned skills and supports, specify warning signs and response steps, and define follow-up or re-entry options.</w:t>
            </w:r>
          </w:p>
        </w:tc>
      </w:tr>
    </w:tbl>
    <w:p>
      <w:pPr>
        <w:spacing w:after="20"/>
      </w:pPr>
    </w:p>
    <w:p>
      <w:pPr>
        <w:pageBreakBefore/>
        <w:spacing w:after="80"/>
      </w:pPr>
      <w:r>
        <w:rPr>
          <w:rFonts w:ascii="Liberation Sans" w:hAnsi="Liberation Sans"/>
          <w:b/>
          <w:color w:val="13A6A6"/>
          <w:sz w:val="28"/>
        </w:rPr>
        <w:t>CHAPTER 1</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Defining Progress, Outcomes, Alliance, and the Measurement Plan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Progress becomes interpretable only when the client system and therapist agree on the target, baseline, indicators, review interval, and decision the information will support.</w:t>
            </w:r>
          </w:p>
        </w:tc>
      </w:tr>
    </w:tbl>
    <w:p>
      <w:pPr>
        <w:spacing w:after="20"/>
      </w:pPr>
    </w:p>
    <w:p>
      <w:pPr>
        <w:pStyle w:val="Heading2"/>
        <w:pageBreakBefore w:val="0"/>
      </w:pPr>
      <w:r>
        <w:t>The TRACK Monitoring Sequence</w:t>
      </w:r>
    </w:p>
    <w:tbl>
      <w:tblPr>
        <w:tblW w:type="dxa" w:w="10560"/>
        <w:jc w:val="left"/>
        <w:tblLayout w:type="fixed"/>
        <w:tblLook w:firstColumn="1" w:firstRow="1" w:lastColumn="0" w:lastRow="0" w:noHBand="0" w:noVBand="1" w:val="04A0"/>
        <w:tblInd w:w="0" w:type="dxa"/>
      </w:tblPr>
      <w:tblGrid>
        <w:gridCol w:w="2400"/>
        <w:gridCol w:w="8160"/>
      </w:tblGrid>
      <w:tr>
        <w:trPr>
          <w:tblHeader w:val="true"/>
          <w:cantSplit/>
        </w:trPr>
        <w:tc>
          <w:tcPr>
            <w:tcW w:type="dxa" w:w="24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81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400"/>
            <w:tcMar>
              <w:top w:w="90" w:type="dxa"/>
              <w:start w:w="120" w:type="dxa"/>
              <w:bottom w:w="90" w:type="dxa"/>
              <w:end w:w="120" w:type="dxa"/>
            </w:tcMar>
            <w:vAlign w:val="center"/>
          </w:tcPr>
          <w:p>
            <w:pPr>
              <w:spacing w:after="0" w:line="252" w:lineRule="auto"/>
            </w:pPr>
            <w:r/>
            <w:r>
              <w:rPr>
                <w:rFonts w:ascii="Liberation Sans" w:hAnsi="Liberation Sans"/>
                <w:color w:val="1E2D38"/>
                <w:sz w:val="17"/>
              </w:rPr>
              <w:t>T - Target agreed goals and indicators</w:t>
            </w:r>
          </w:p>
        </w:tc>
        <w:tc>
          <w:tcPr>
            <w:tcW w:type="dxa" w:w="8160"/>
            <w:tcMar>
              <w:top w:w="90" w:type="dxa"/>
              <w:start w:w="120" w:type="dxa"/>
              <w:bottom w:w="90" w:type="dxa"/>
              <w:end w:w="120" w:type="dxa"/>
            </w:tcMar>
            <w:vAlign w:val="center"/>
          </w:tcPr>
          <w:p>
            <w:pPr>
              <w:spacing w:after="0" w:line="252" w:lineRule="auto"/>
            </w:pPr>
            <w:r/>
            <w:r>
              <w:rPr>
                <w:rFonts w:ascii="Liberation Sans" w:hAnsi="Liberation Sans"/>
                <w:color w:val="1E2D38"/>
                <w:sz w:val="17"/>
              </w:rPr>
              <w:t>Name the identified client or treatment unit, preferred outcome, observable indicators, expected direction, and whose perspective matters.</w:t>
            </w:r>
          </w:p>
        </w:tc>
      </w:tr>
      <w:tr>
        <w:trPr>
          <w:cantSplit/>
        </w:trPr>
        <w:tc>
          <w:tcPr>
            <w:tcW w:type="dxa" w:w="24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 - Record baseline, method, and review point</w:t>
            </w:r>
          </w:p>
        </w:tc>
        <w:tc>
          <w:tcPr>
            <w:tcW w:type="dxa" w:w="8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Document starting conditions, information sources, collection method, burden, frequency, and the date or threshold for review.</w:t>
            </w:r>
          </w:p>
        </w:tc>
      </w:tr>
      <w:tr>
        <w:trPr>
          <w:cantSplit/>
        </w:trPr>
        <w:tc>
          <w:tcPr>
            <w:tcW w:type="dxa" w:w="2400"/>
            <w:tcMar>
              <w:top w:w="90" w:type="dxa"/>
              <w:start w:w="120" w:type="dxa"/>
              <w:bottom w:w="90" w:type="dxa"/>
              <w:end w:w="120" w:type="dxa"/>
            </w:tcMar>
            <w:vAlign w:val="center"/>
          </w:tcPr>
          <w:p>
            <w:pPr>
              <w:spacing w:after="0" w:line="252" w:lineRule="auto"/>
            </w:pPr>
            <w:r/>
            <w:r>
              <w:rPr>
                <w:rFonts w:ascii="Liberation Sans" w:hAnsi="Liberation Sans"/>
                <w:color w:val="1E2D38"/>
                <w:sz w:val="17"/>
              </w:rPr>
              <w:t>A - Attend alliance, safety, function, culture, access, and meaning</w:t>
            </w:r>
          </w:p>
        </w:tc>
        <w:tc>
          <w:tcPr>
            <w:tcW w:type="dxa" w:w="8160"/>
            <w:tcMar>
              <w:top w:w="90" w:type="dxa"/>
              <w:start w:w="120" w:type="dxa"/>
              <w:bottom w:w="90" w:type="dxa"/>
              <w:end w:w="120" w:type="dxa"/>
            </w:tcMar>
            <w:vAlign w:val="center"/>
          </w:tcPr>
          <w:p>
            <w:pPr>
              <w:spacing w:after="0" w:line="252" w:lineRule="auto"/>
            </w:pPr>
            <w:r/>
            <w:r>
              <w:rPr>
                <w:rFonts w:ascii="Liberation Sans" w:hAnsi="Liberation Sans"/>
                <w:color w:val="1E2D38"/>
                <w:sz w:val="17"/>
              </w:rPr>
              <w:t>Track more than symptoms; include participation, relationships, daily functioning, quality of life, risk, barriers, and client interpretation.</w:t>
            </w:r>
          </w:p>
        </w:tc>
      </w:tr>
      <w:tr>
        <w:trPr>
          <w:cantSplit/>
        </w:trPr>
        <w:tc>
          <w:tcPr>
            <w:tcW w:type="dxa" w:w="24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 - Compare repeated information with goals and hypotheses</w:t>
            </w:r>
          </w:p>
        </w:tc>
        <w:tc>
          <w:tcPr>
            <w:tcW w:type="dxa" w:w="81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Examine pattern, change, contradiction, missingness, adverse effects, and whether the working formulation still explains the response.</w:t>
            </w:r>
          </w:p>
        </w:tc>
      </w:tr>
      <w:tr>
        <w:trPr>
          <w:cantSplit/>
        </w:trPr>
        <w:tc>
          <w:tcPr>
            <w:tcW w:type="dxa" w:w="2400"/>
            <w:tcMar>
              <w:top w:w="90" w:type="dxa"/>
              <w:start w:w="120" w:type="dxa"/>
              <w:bottom w:w="90" w:type="dxa"/>
              <w:end w:w="120" w:type="dxa"/>
            </w:tcMar>
            <w:vAlign w:val="center"/>
          </w:tcPr>
          <w:p>
            <w:pPr>
              <w:spacing w:after="0" w:line="252" w:lineRule="auto"/>
            </w:pPr>
            <w:r/>
            <w:r>
              <w:rPr>
                <w:rFonts w:ascii="Liberation Sans" w:hAnsi="Liberation Sans"/>
                <w:color w:val="1E2D38"/>
                <w:sz w:val="17"/>
              </w:rPr>
              <w:t>K - Keep, modify, step, refer, transfer, or close</w:t>
            </w:r>
          </w:p>
        </w:tc>
        <w:tc>
          <w:tcPr>
            <w:tcW w:type="dxa" w:w="8160"/>
            <w:tcMar>
              <w:top w:w="90" w:type="dxa"/>
              <w:start w:w="120" w:type="dxa"/>
              <w:bottom w:w="90" w:type="dxa"/>
              <w:end w:w="120" w:type="dxa"/>
            </w:tcMar>
            <w:vAlign w:val="center"/>
          </w:tcPr>
          <w:p>
            <w:pPr>
              <w:spacing w:after="0" w:line="252" w:lineRule="auto"/>
            </w:pPr>
            <w:r/>
            <w:r>
              <w:rPr>
                <w:rFonts w:ascii="Liberation Sans" w:hAnsi="Liberation Sans"/>
                <w:color w:val="1E2D38"/>
                <w:sz w:val="17"/>
              </w:rPr>
              <w:t>Choose the next action collaboratively, state the rationale, assign responsibility, and set the next review point.</w:t>
            </w:r>
          </w:p>
        </w:tc>
      </w:tr>
    </w:tbl>
    <w:p>
      <w:pPr>
        <w:spacing w:after="20"/>
      </w:pPr>
    </w:p>
    <w:p>
      <w:pPr>
        <w:pStyle w:val="Heading2"/>
        <w:pageBreakBefore w:val="0"/>
      </w:pPr>
      <w:r>
        <w:t>Build a Fit-for-Purpose Monitoring Plan</w:t>
      </w:r>
    </w:p>
    <w:tbl>
      <w:tblPr>
        <w:tblW w:type="dxa" w:w="10560"/>
        <w:jc w:val="left"/>
        <w:tblLayout w:type="fixed"/>
        <w:tblLook w:firstColumn="1" w:firstRow="1" w:lastColumn="0" w:lastRow="0" w:noHBand="0" w:noVBand="1" w:val="04A0"/>
        <w:tblInd w:w="0" w:type="dxa"/>
      </w:tblPr>
      <w:tblGrid>
        <w:gridCol w:w="3000"/>
        <w:gridCol w:w="7560"/>
      </w:tblGrid>
      <w:tr>
        <w:trPr>
          <w:tblHeader w:val="true"/>
          <w:cantSplit/>
        </w:trPr>
        <w:tc>
          <w:tcPr>
            <w:tcW w:type="dxa" w:w="3000"/>
            <w:shd w:fill="12385B"/>
            <w:tcMar>
              <w:top w:w="95" w:type="dxa"/>
              <w:start w:w="120" w:type="dxa"/>
              <w:bottom w:w="95" w:type="dxa"/>
              <w:end w:w="120" w:type="dxa"/>
            </w:tcMar>
            <w:vAlign w:val="center"/>
          </w:tcPr>
          <w:p>
            <w:pPr>
              <w:spacing w:after="0"/>
            </w:pPr>
            <w:r/>
            <w:r>
              <w:rPr>
                <w:rFonts w:ascii="Liberation Sans" w:hAnsi="Liberation Sans"/>
                <w:b/>
                <w:color w:val="FFFFFF"/>
                <w:sz w:val="17"/>
              </w:rPr>
              <w:t>Planning question</w:t>
            </w:r>
          </w:p>
        </w:tc>
        <w:tc>
          <w:tcPr>
            <w:tcW w:type="dxa" w:w="7560"/>
            <w:shd w:fill="12385B"/>
            <w:tcMar>
              <w:top w:w="95" w:type="dxa"/>
              <w:start w:w="120" w:type="dxa"/>
              <w:bottom w:w="95" w:type="dxa"/>
              <w:end w:w="120" w:type="dxa"/>
            </w:tcMar>
            <w:vAlign w:val="center"/>
          </w:tcPr>
          <w:p>
            <w:pPr>
              <w:spacing w:after="0"/>
            </w:pPr>
            <w:r/>
            <w:r>
              <w:rPr>
                <w:rFonts w:ascii="Liberation Sans" w:hAnsi="Liberation Sans"/>
                <w:b/>
                <w:color w:val="FFFFFF"/>
                <w:sz w:val="17"/>
              </w:rPr>
              <w:t>High-yield answer</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Who is the client and treatment unit?</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Identify whose goals, safety, functioning, relationships, and experience are being evaluated; do not treat one participant as the whole system.</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What is the baseline?</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Describe the starting frequency, intensity, duration, impact, sequence, resources, and context before claiming improvement or decline.</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information is proportionate?</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the least burdensome reliable combination of repeated measures, behavioral indicators, qualitative feedback, and collateral data needed for the decision.</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Is the method usable?</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Check language, literacy, disability access, developmental fit, cultural meaning, privacy, burden, technology, cost, and scoring competence.</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When will the plan be reviewed?</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Set a time or clinical threshold and identify what would support continuation, adaptation, escalation, referral, transfer, or ending.</w:t>
            </w:r>
          </w:p>
        </w:tc>
      </w:tr>
    </w:tbl>
    <w:p>
      <w:pPr>
        <w:spacing w:after="20"/>
      </w:pPr>
    </w:p>
    <w:p>
      <w:pPr>
        <w:pStyle w:val="Heading2"/>
        <w:pageBreakBefore w:val="0"/>
      </w:pPr>
      <w:r>
        <w:t>Multiple Perspectives Are Data, Not Noise</w:t>
      </w:r>
    </w:p>
    <w:p>
      <w:pPr>
        <w:pStyle w:val="ListBullet"/>
        <w:keepLines/>
        <w:spacing w:after="70"/>
      </w:pPr>
      <w:r>
        <w:rPr>
          <w:rFonts w:ascii="Liberation Sans" w:hAnsi="Liberation Sans"/>
          <w:color w:val="1E2D38"/>
          <w:sz w:val="18"/>
        </w:rPr>
        <w:t>Invite each participant to describe desired change and the meaning of progress; do not silently privilege the therapist or most vocal family member.</w:t>
      </w:r>
    </w:p>
    <w:p>
      <w:pPr>
        <w:pStyle w:val="ListBullet"/>
        <w:keepLines/>
        <w:spacing w:after="70"/>
      </w:pPr>
      <w:r>
        <w:rPr>
          <w:rFonts w:ascii="Liberation Sans" w:hAnsi="Liberation Sans"/>
          <w:color w:val="1E2D38"/>
          <w:sz w:val="18"/>
        </w:rPr>
        <w:t>Separate symptom relief from relationship function, school or work performance, caregiving burden, safety, quality of life, and treatment participation.</w:t>
      </w:r>
    </w:p>
    <w:p>
      <w:pPr>
        <w:pStyle w:val="ListBullet"/>
        <w:keepLines/>
        <w:spacing w:after="70"/>
      </w:pPr>
      <w:r>
        <w:rPr>
          <w:rFonts w:ascii="Liberation Sans" w:hAnsi="Liberation Sans"/>
          <w:color w:val="1E2D38"/>
          <w:sz w:val="18"/>
        </w:rPr>
        <w:t>Treat alliance differences as clinically meaningful. A strong alliance with one participant does not prove that the treatment unit is engaged.</w:t>
      </w:r>
    </w:p>
    <w:p>
      <w:pPr>
        <w:pStyle w:val="ListBullet"/>
        <w:keepLines/>
        <w:spacing w:after="70"/>
      </w:pPr>
      <w:r>
        <w:rPr>
          <w:rFonts w:ascii="Liberation Sans" w:hAnsi="Liberation Sans"/>
          <w:color w:val="1E2D38"/>
          <w:sz w:val="18"/>
        </w:rPr>
        <w:t>Do not force contradictory reports into a single average. Ask what each source observes, when the pattern changes, and what power or access factors shape reporting.</w:t>
      </w:r>
    </w:p>
    <w:p>
      <w:pPr>
        <w:pStyle w:val="ListBullet"/>
        <w:keepLines/>
        <w:spacing w:after="70"/>
      </w:pPr>
      <w:r>
        <w:rPr>
          <w:rFonts w:ascii="Liberation Sans" w:hAnsi="Liberation Sans"/>
          <w:color w:val="1E2D38"/>
          <w:sz w:val="18"/>
        </w:rPr>
        <w:t>Document what was gathered, what remains uncertain, how the client system interpreted it, and the decision that followed.</w:t>
      </w:r>
    </w:p>
    <w:p>
      <w:pPr>
        <w:pStyle w:val="Heading2"/>
      </w:pPr>
      <w:r>
        <w:t>Case Lab 1: Symptoms Better, System Worse</w:t>
      </w:r>
    </w:p>
    <w:p>
      <w:pPr>
        <w:spacing w:after="90"/>
      </w:pPr>
      <w:r>
        <w:rPr>
          <w:rFonts w:ascii="Liberation Sans" w:hAnsi="Liberation Sans"/>
          <w:i w:val="0"/>
          <w:color w:val="1E2D38"/>
          <w:sz w:val="18"/>
        </w:rPr>
        <w:t>A 15-year-old reports fewer panic episodes after eight sessions. School attendance has declined, the caregiver is missing work to supervise mornings, and family conflict has intensified. The therapist is preparing to document “good overall progress” from the symptom score alone.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progress be evaluated before deciding whether to continue the same plan?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TRACK. Return to the identified client and treatment unit, compare symptoms with school functioning, caregiver strain, conflict, safety, alliance, and the family’s goals. Clarify baseline and missing information, explore why domains are moving differently, and revise the plan or hypothesis rather than converting one improving score into a global success judgment.</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Identified client/treatment unit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Agreed goals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Baseline indicators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Symptom trend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Function trend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Relationship/caregiver trend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 and alliance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Client-system meaning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Working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 decision and review point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2"/>
        <w:pageBreakBefore/>
      </w:pPr>
      <w:r>
        <w:t>Case Lab 2: One Partner Is Ready to Drop Out</w:t>
      </w:r>
    </w:p>
    <w:p>
      <w:pPr>
        <w:spacing w:after="90"/>
      </w:pPr>
      <w:r>
        <w:rPr>
          <w:rFonts w:ascii="Liberation Sans" w:hAnsi="Liberation Sans"/>
          <w:i w:val="0"/>
          <w:color w:val="1E2D38"/>
          <w:sz w:val="18"/>
        </w:rPr>
        <w:t>After six couple sessions, Jordan rates the sessions as helpful. Kai reports feeling blamed, says goals still reflect Jordan’s priorities, and is considering ending treatment. The therapist views Kai’s low alliance rating as defensiveness and plans to add communication homework.</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happen before adding another technique?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Treat the discordant alliance feedback as decision-relevant information. Invite Kai’s account, assess power, safety, goals, therapist contribution, cultural and access factors, and the fit of conjoint treatment. Repair collaboratively and redefine indicators before deciding whether to continue, modify, change format, consult, refer, or end.</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Each partner’s goals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Alliance by participant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Power/safety findings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contribution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Access/cultural factors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Dropout signal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Treatment-unit fit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Repair conversation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Revised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 review indicator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2</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Research Literacy and Evidence Appraisal for Systemic Practice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Research informs a clinical decision only after the question, design, sample, effects, harms, limitations, client-system fit, and feasibility are examined together.</w:t>
            </w:r>
          </w:p>
        </w:tc>
      </w:tr>
    </w:tbl>
    <w:p>
      <w:pPr>
        <w:spacing w:after="20"/>
      </w:pPr>
    </w:p>
    <w:p>
      <w:pPr>
        <w:pStyle w:val="Heading2"/>
        <w:pageBreakBefore w:val="0"/>
      </w:pPr>
      <w:r>
        <w:t>The LENS Evidence-Appraisal Sequence</w:t>
      </w:r>
    </w:p>
    <w:tbl>
      <w:tblPr>
        <w:tblW w:type="dxa" w:w="10560"/>
        <w:jc w:val="left"/>
        <w:tblLayout w:type="fixed"/>
        <w:tblLook w:firstColumn="1" w:firstRow="1" w:lastColumn="0" w:lastRow="0" w:noHBand="0" w:noVBand="1" w:val="04A0"/>
        <w:tblInd w:w="0" w:type="dxa"/>
      </w:tblPr>
      <w:tblGrid>
        <w:gridCol w:w="2700"/>
        <w:gridCol w:w="7860"/>
      </w:tblGrid>
      <w:tr>
        <w:trPr>
          <w:tblHeader w:val="true"/>
          <w:cantSplit/>
        </w:trPr>
        <w:tc>
          <w:tcPr>
            <w:tcW w:type="dxa" w:w="27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8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L - Locate the clinical decision question</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Specify the client system, problem or mechanism, intervention or exposure, comparison, outcomes, timeframe, and decision the evidence must inform.</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Examine design, source, sample, comparison, and measures</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Determine whether the design can answer the question and whether recruitment, retention, comparison conditions, and measurement support the inference.</w:t>
            </w:r>
          </w:p>
        </w:tc>
      </w:tr>
      <w:tr>
        <w:trPr>
          <w:cantSplit/>
        </w:trPr>
        <w:tc>
          <w:tcPr>
            <w:tcW w:type="dxa" w:w="2700"/>
            <w:tcMar>
              <w:top w:w="90" w:type="dxa"/>
              <w:start w:w="120" w:type="dxa"/>
              <w:bottom w:w="90" w:type="dxa"/>
              <w:end w:w="120" w:type="dxa"/>
            </w:tcMar>
            <w:vAlign w:val="center"/>
          </w:tcPr>
          <w:p>
            <w:pPr>
              <w:spacing w:after="0" w:line="252" w:lineRule="auto"/>
            </w:pPr>
            <w:r/>
            <w:r>
              <w:rPr>
                <w:rFonts w:ascii="Liberation Sans" w:hAnsi="Liberation Sans"/>
                <w:color w:val="1E2D38"/>
                <w:sz w:val="17"/>
              </w:rPr>
              <w:t>N - Note effect, harm, bias, limits, cultural fit, and missing voices</w:t>
            </w:r>
          </w:p>
        </w:tc>
        <w:tc>
          <w:tcPr>
            <w:tcW w:type="dxa" w:w="7860"/>
            <w:tcMar>
              <w:top w:w="90" w:type="dxa"/>
              <w:start w:w="120" w:type="dxa"/>
              <w:bottom w:w="90" w:type="dxa"/>
              <w:end w:w="120" w:type="dxa"/>
            </w:tcMar>
            <w:vAlign w:val="center"/>
          </w:tcPr>
          <w:p>
            <w:pPr>
              <w:spacing w:after="0" w:line="252" w:lineRule="auto"/>
            </w:pPr>
            <w:r/>
            <w:r>
              <w:rPr>
                <w:rFonts w:ascii="Liberation Sans" w:hAnsi="Liberation Sans"/>
                <w:color w:val="1E2D38"/>
                <w:sz w:val="17"/>
              </w:rPr>
              <w:t>Look beyond statistical significance to magnitude, uncertainty, adverse effects, selective reporting, representation, and who was excluded.</w:t>
            </w:r>
          </w:p>
        </w:tc>
      </w:tr>
      <w:tr>
        <w:trPr>
          <w:cantSplit/>
        </w:trPr>
        <w:tc>
          <w:tcPr>
            <w:tcW w:type="dxa" w:w="2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 - Synthesize with expertise, preferences, feasibility, and context</w:t>
            </w:r>
          </w:p>
        </w:tc>
        <w:tc>
          <w:tcPr>
            <w:tcW w:type="dxa" w:w="78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Integrate the best available research with clinical expertise and client characteristics, culture, values, access, burden, setting, and resources.</w:t>
            </w:r>
          </w:p>
        </w:tc>
      </w:tr>
    </w:tbl>
    <w:p>
      <w:pPr>
        <w:spacing w:after="20"/>
      </w:pPr>
    </w:p>
    <w:p>
      <w:pPr>
        <w:pStyle w:val="Heading2"/>
        <w:pageBreakBefore w:val="0"/>
      </w:pPr>
      <w:r>
        <w:t>Match the Design to the Question</w:t>
      </w:r>
    </w:p>
    <w:tbl>
      <w:tblPr>
        <w:tblW w:type="dxa" w:w="10560"/>
        <w:jc w:val="left"/>
        <w:tblLayout w:type="fixed"/>
        <w:tblLook w:firstColumn="1" w:firstRow="1" w:lastColumn="0" w:lastRow="0" w:noHBand="0" w:noVBand="1" w:val="04A0"/>
        <w:tblInd w:w="0" w:type="dxa"/>
      </w:tblPr>
      <w:tblGrid>
        <w:gridCol w:w="2200"/>
        <w:gridCol w:w="4300"/>
        <w:gridCol w:w="4060"/>
      </w:tblGrid>
      <w:tr>
        <w:trPr>
          <w:tblHeader w:val="true"/>
          <w:cantSplit/>
        </w:trPr>
        <w:tc>
          <w:tcPr>
            <w:tcW w:type="dxa" w:w="2200"/>
            <w:shd w:fill="12385B"/>
            <w:tcMar>
              <w:top w:w="95" w:type="dxa"/>
              <w:start w:w="120" w:type="dxa"/>
              <w:bottom w:w="95" w:type="dxa"/>
              <w:end w:w="120" w:type="dxa"/>
            </w:tcMar>
            <w:vAlign w:val="center"/>
          </w:tcPr>
          <w:p>
            <w:pPr>
              <w:spacing w:after="0"/>
            </w:pPr>
            <w:r/>
            <w:r>
              <w:rPr>
                <w:rFonts w:ascii="Liberation Sans" w:hAnsi="Liberation Sans"/>
                <w:b/>
                <w:color w:val="FFFFFF"/>
                <w:sz w:val="17"/>
              </w:rPr>
              <w:t>Evidence form</w:t>
            </w:r>
          </w:p>
        </w:tc>
        <w:tc>
          <w:tcPr>
            <w:tcW w:type="dxa" w:w="4300"/>
            <w:shd w:fill="12385B"/>
            <w:tcMar>
              <w:top w:w="95" w:type="dxa"/>
              <w:start w:w="120" w:type="dxa"/>
              <w:bottom w:w="95" w:type="dxa"/>
              <w:end w:w="120" w:type="dxa"/>
            </w:tcMar>
            <w:vAlign w:val="center"/>
          </w:tcPr>
          <w:p>
            <w:pPr>
              <w:spacing w:after="0"/>
            </w:pPr>
            <w:r/>
            <w:r>
              <w:rPr>
                <w:rFonts w:ascii="Liberation Sans" w:hAnsi="Liberation Sans"/>
                <w:b/>
                <w:color w:val="FFFFFF"/>
                <w:sz w:val="17"/>
              </w:rPr>
              <w:t>Useful for</w:t>
            </w:r>
          </w:p>
        </w:tc>
        <w:tc>
          <w:tcPr>
            <w:tcW w:type="dxa" w:w="4060"/>
            <w:shd w:fill="12385B"/>
            <w:tcMar>
              <w:top w:w="95" w:type="dxa"/>
              <w:start w:w="120" w:type="dxa"/>
              <w:bottom w:w="95" w:type="dxa"/>
              <w:end w:w="120" w:type="dxa"/>
            </w:tcMar>
            <w:vAlign w:val="center"/>
          </w:tcPr>
          <w:p>
            <w:pPr>
              <w:spacing w:after="0"/>
            </w:pPr>
            <w:r/>
            <w:r>
              <w:rPr>
                <w:rFonts w:ascii="Liberation Sans" w:hAnsi="Liberation Sans"/>
                <w:b/>
                <w:color w:val="FFFFFF"/>
                <w:sz w:val="17"/>
              </w:rPr>
              <w:t>Do not overclaim</w:t>
            </w:r>
          </w:p>
        </w:tc>
      </w:tr>
      <w:tr>
        <w:trPr>
          <w:cantSplit/>
        </w:trPr>
        <w:tc>
          <w:tcPr>
            <w:tcW w:type="dxa" w:w="2200"/>
            <w:tcMar>
              <w:top w:w="90" w:type="dxa"/>
              <w:start w:w="120" w:type="dxa"/>
              <w:bottom w:w="90" w:type="dxa"/>
              <w:end w:w="120" w:type="dxa"/>
            </w:tcMar>
            <w:vAlign w:val="center"/>
          </w:tcPr>
          <w:p>
            <w:pPr>
              <w:spacing w:after="0" w:line="252" w:lineRule="auto"/>
            </w:pPr>
            <w:r/>
            <w:r>
              <w:rPr>
                <w:rFonts w:ascii="Liberation Sans" w:hAnsi="Liberation Sans"/>
                <w:color w:val="1E2D38"/>
                <w:sz w:val="16"/>
              </w:rPr>
              <w:t>Randomized comparison</w:t>
            </w:r>
          </w:p>
        </w:tc>
        <w:tc>
          <w:tcPr>
            <w:tcW w:type="dxa" w:w="4300"/>
            <w:tcMar>
              <w:top w:w="90" w:type="dxa"/>
              <w:start w:w="120" w:type="dxa"/>
              <w:bottom w:w="90" w:type="dxa"/>
              <w:end w:w="120" w:type="dxa"/>
            </w:tcMar>
            <w:vAlign w:val="center"/>
          </w:tcPr>
          <w:p>
            <w:pPr>
              <w:spacing w:after="0" w:line="252" w:lineRule="auto"/>
            </w:pPr>
            <w:r/>
            <w:r>
              <w:rPr>
                <w:rFonts w:ascii="Liberation Sans" w:hAnsi="Liberation Sans"/>
                <w:color w:val="1E2D38"/>
                <w:sz w:val="16"/>
              </w:rPr>
              <w:t>Estimating average causal effects under defined conditions when implementation and follow-up are adequate.</w:t>
            </w:r>
          </w:p>
        </w:tc>
        <w:tc>
          <w:tcPr>
            <w:tcW w:type="dxa" w:w="4060"/>
            <w:tcMar>
              <w:top w:w="90" w:type="dxa"/>
              <w:start w:w="120" w:type="dxa"/>
              <w:bottom w:w="90" w:type="dxa"/>
              <w:end w:w="120" w:type="dxa"/>
            </w:tcMar>
            <w:vAlign w:val="center"/>
          </w:tcPr>
          <w:p>
            <w:pPr>
              <w:spacing w:after="0" w:line="252" w:lineRule="auto"/>
            </w:pPr>
            <w:r/>
            <w:r>
              <w:rPr>
                <w:rFonts w:ascii="Liberation Sans" w:hAnsi="Liberation Sans"/>
                <w:color w:val="1E2D38"/>
                <w:sz w:val="16"/>
              </w:rPr>
              <w:t>It does not guarantee fit for every client system, setting, outcome, or adaptation.</w:t>
            </w:r>
          </w:p>
        </w:tc>
      </w:tr>
      <w:tr>
        <w:trPr>
          <w:cantSplit/>
        </w:trPr>
        <w:tc>
          <w:tcPr>
            <w:tcW w:type="dxa" w:w="22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Observational study</w:t>
            </w:r>
          </w:p>
        </w:tc>
        <w:tc>
          <w:tcPr>
            <w:tcW w:type="dxa" w:w="4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Describing associations, patterns, risks, service use, or outcomes when randomization is impractical or unethical.</w:t>
            </w:r>
          </w:p>
        </w:tc>
        <w:tc>
          <w:tcPr>
            <w:tcW w:type="dxa" w:w="4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Association alone does not establish causation; confounding and selection may shape results.</w:t>
            </w:r>
          </w:p>
        </w:tc>
      </w:tr>
      <w:tr>
        <w:trPr>
          <w:cantSplit/>
        </w:trPr>
        <w:tc>
          <w:tcPr>
            <w:tcW w:type="dxa" w:w="2200"/>
            <w:tcMar>
              <w:top w:w="90" w:type="dxa"/>
              <w:start w:w="120" w:type="dxa"/>
              <w:bottom w:w="90" w:type="dxa"/>
              <w:end w:w="120" w:type="dxa"/>
            </w:tcMar>
            <w:vAlign w:val="center"/>
          </w:tcPr>
          <w:p>
            <w:pPr>
              <w:spacing w:after="0" w:line="252" w:lineRule="auto"/>
            </w:pPr>
            <w:r/>
            <w:r>
              <w:rPr>
                <w:rFonts w:ascii="Liberation Sans" w:hAnsi="Liberation Sans"/>
                <w:color w:val="1E2D38"/>
                <w:sz w:val="16"/>
              </w:rPr>
              <w:t>Qualitative study</w:t>
            </w:r>
          </w:p>
        </w:tc>
        <w:tc>
          <w:tcPr>
            <w:tcW w:type="dxa" w:w="4300"/>
            <w:tcMar>
              <w:top w:w="90" w:type="dxa"/>
              <w:start w:w="120" w:type="dxa"/>
              <w:bottom w:w="90" w:type="dxa"/>
              <w:end w:w="120" w:type="dxa"/>
            </w:tcMar>
            <w:vAlign w:val="center"/>
          </w:tcPr>
          <w:p>
            <w:pPr>
              <w:spacing w:after="0" w:line="252" w:lineRule="auto"/>
            </w:pPr>
            <w:r/>
            <w:r>
              <w:rPr>
                <w:rFonts w:ascii="Liberation Sans" w:hAnsi="Liberation Sans"/>
                <w:color w:val="1E2D38"/>
                <w:sz w:val="16"/>
              </w:rPr>
              <w:t>Understanding experience, meaning, process, acceptability, context, and perspectives that fixed measures may miss.</w:t>
            </w:r>
          </w:p>
        </w:tc>
        <w:tc>
          <w:tcPr>
            <w:tcW w:type="dxa" w:w="4060"/>
            <w:tcMar>
              <w:top w:w="90" w:type="dxa"/>
              <w:start w:w="120" w:type="dxa"/>
              <w:bottom w:w="90" w:type="dxa"/>
              <w:end w:w="120" w:type="dxa"/>
            </w:tcMar>
            <w:vAlign w:val="center"/>
          </w:tcPr>
          <w:p>
            <w:pPr>
              <w:spacing w:after="0" w:line="252" w:lineRule="auto"/>
            </w:pPr>
            <w:r/>
            <w:r>
              <w:rPr>
                <w:rFonts w:ascii="Liberation Sans" w:hAnsi="Liberation Sans"/>
                <w:color w:val="1E2D38"/>
                <w:sz w:val="16"/>
              </w:rPr>
              <w:t>Depth in a selected sample does not establish prevalence or average comparative effect.</w:t>
            </w:r>
          </w:p>
        </w:tc>
      </w:tr>
      <w:tr>
        <w:trPr>
          <w:cantSplit/>
        </w:trPr>
        <w:tc>
          <w:tcPr>
            <w:tcW w:type="dxa" w:w="22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Systematic review/meta-analysis</w:t>
            </w:r>
          </w:p>
        </w:tc>
        <w:tc>
          <w:tcPr>
            <w:tcW w:type="dxa" w:w="4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Synthesizing a defined body of studies and examining consistency, heterogeneity, and uncertainty.</w:t>
            </w:r>
          </w:p>
        </w:tc>
        <w:tc>
          <w:tcPr>
            <w:tcW w:type="dxa" w:w="4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The synthesis cannot erase bias, poor measurement, missing studies, or mismatch in the underlying evidence.</w:t>
            </w:r>
          </w:p>
        </w:tc>
      </w:tr>
      <w:tr>
        <w:trPr>
          <w:cantSplit/>
        </w:trPr>
        <w:tc>
          <w:tcPr>
            <w:tcW w:type="dxa" w:w="2200"/>
            <w:tcMar>
              <w:top w:w="90" w:type="dxa"/>
              <w:start w:w="120" w:type="dxa"/>
              <w:bottom w:w="90" w:type="dxa"/>
              <w:end w:w="120" w:type="dxa"/>
            </w:tcMar>
            <w:vAlign w:val="center"/>
          </w:tcPr>
          <w:p>
            <w:pPr>
              <w:spacing w:after="0" w:line="252" w:lineRule="auto"/>
            </w:pPr>
            <w:r/>
            <w:r>
              <w:rPr>
                <w:rFonts w:ascii="Liberation Sans" w:hAnsi="Liberation Sans"/>
                <w:color w:val="1E2D38"/>
                <w:sz w:val="16"/>
              </w:rPr>
              <w:t>Practice-based evidence</w:t>
            </w:r>
          </w:p>
        </w:tc>
        <w:tc>
          <w:tcPr>
            <w:tcW w:type="dxa" w:w="4300"/>
            <w:tcMar>
              <w:top w:w="90" w:type="dxa"/>
              <w:start w:w="120" w:type="dxa"/>
              <w:bottom w:w="90" w:type="dxa"/>
              <w:end w:w="120" w:type="dxa"/>
            </w:tcMar>
            <w:vAlign w:val="center"/>
          </w:tcPr>
          <w:p>
            <w:pPr>
              <w:spacing w:after="0" w:line="252" w:lineRule="auto"/>
            </w:pPr>
            <w:r/>
            <w:r>
              <w:rPr>
                <w:rFonts w:ascii="Liberation Sans" w:hAnsi="Liberation Sans"/>
                <w:color w:val="1E2D38"/>
                <w:sz w:val="16"/>
              </w:rPr>
              <w:t>Learning from repeated real-world outcomes, alliance, implementation, and context in the therapist’s own setting.</w:t>
            </w:r>
          </w:p>
        </w:tc>
        <w:tc>
          <w:tcPr>
            <w:tcW w:type="dxa" w:w="4060"/>
            <w:tcMar>
              <w:top w:w="90" w:type="dxa"/>
              <w:start w:w="120" w:type="dxa"/>
              <w:bottom w:w="90" w:type="dxa"/>
              <w:end w:w="120" w:type="dxa"/>
            </w:tcMar>
            <w:vAlign w:val="center"/>
          </w:tcPr>
          <w:p>
            <w:pPr>
              <w:spacing w:after="0" w:line="252" w:lineRule="auto"/>
            </w:pPr>
            <w:r/>
            <w:r>
              <w:rPr>
                <w:rFonts w:ascii="Liberation Sans" w:hAnsi="Liberation Sans"/>
                <w:color w:val="1E2D38"/>
                <w:sz w:val="16"/>
              </w:rPr>
              <w:t>Local patterns require careful measurement and cannot automatically establish general causal claims.</w:t>
            </w:r>
          </w:p>
        </w:tc>
      </w:tr>
    </w:tbl>
    <w:p>
      <w:pPr>
        <w:spacing w:after="20"/>
      </w:pPr>
    </w:p>
    <w:p>
      <w:pPr>
        <w:pStyle w:val="Heading2"/>
        <w:pageBreakBefore w:val="0"/>
      </w:pPr>
      <w:r>
        <w:t>Applicability Questions Before Adoption</w:t>
      </w:r>
    </w:p>
    <w:p>
      <w:pPr>
        <w:pStyle w:val="ListBullet"/>
        <w:keepLines/>
        <w:spacing w:after="70"/>
      </w:pPr>
      <w:r>
        <w:rPr>
          <w:rFonts w:ascii="Liberation Sans" w:hAnsi="Liberation Sans"/>
          <w:color w:val="1E2D38"/>
          <w:sz w:val="18"/>
        </w:rPr>
        <w:t>Does the sample resemble the client system in clinically relevant ways, and which voices or circumstances are absent?</w:t>
      </w:r>
    </w:p>
    <w:p>
      <w:pPr>
        <w:pStyle w:val="ListBullet"/>
        <w:keepLines/>
        <w:spacing w:after="70"/>
      </w:pPr>
      <w:r>
        <w:rPr>
          <w:rFonts w:ascii="Liberation Sans" w:hAnsi="Liberation Sans"/>
          <w:color w:val="1E2D38"/>
          <w:sz w:val="18"/>
        </w:rPr>
        <w:t>Were the setting, therapist preparation, treatment dose, comparison, and outcome priorities similar enough to support transfer?</w:t>
      </w:r>
    </w:p>
    <w:p>
      <w:pPr>
        <w:pStyle w:val="ListBullet"/>
        <w:keepLines/>
        <w:spacing w:after="70"/>
      </w:pPr>
      <w:r>
        <w:rPr>
          <w:rFonts w:ascii="Liberation Sans" w:hAnsi="Liberation Sans"/>
          <w:color w:val="1E2D38"/>
          <w:sz w:val="18"/>
        </w:rPr>
        <w:t>Are the benefits large and meaningful enough to justify burden, opportunity cost, possible harms, and resource demands?</w:t>
      </w:r>
    </w:p>
    <w:p>
      <w:pPr>
        <w:pStyle w:val="ListBullet"/>
        <w:keepLines/>
        <w:spacing w:after="70"/>
      </w:pPr>
      <w:r>
        <w:rPr>
          <w:rFonts w:ascii="Liberation Sans" w:hAnsi="Liberation Sans"/>
          <w:color w:val="1E2D38"/>
          <w:sz w:val="18"/>
        </w:rPr>
        <w:t>Can the intervention be adapted for culture, language, disability, family structure, access, and preference without losing its intended mechanism?</w:t>
      </w:r>
    </w:p>
    <w:p>
      <w:pPr>
        <w:pStyle w:val="ListBullet"/>
        <w:keepLines/>
        <w:spacing w:after="70"/>
      </w:pPr>
      <w:r>
        <w:rPr>
          <w:rFonts w:ascii="Liberation Sans" w:hAnsi="Liberation Sans"/>
          <w:color w:val="1E2D38"/>
          <w:sz w:val="18"/>
        </w:rPr>
        <w:t>What monitoring and stopping rules will show whether the chosen application is helping this client system?</w:t>
      </w:r>
    </w:p>
    <w:p>
      <w:pPr>
        <w:pStyle w:val="Heading2"/>
      </w:pPr>
      <w:r>
        <w:t>Case Lab 3: Strong Study, Uncertain Fit</w:t>
      </w:r>
    </w:p>
    <w:p>
      <w:pPr>
        <w:spacing w:after="90"/>
      </w:pPr>
      <w:r>
        <w:rPr>
          <w:rFonts w:ascii="Liberation Sans" w:hAnsi="Liberation Sans"/>
          <w:i w:val="0"/>
          <w:color w:val="1E2D38"/>
          <w:sz w:val="18"/>
        </w:rPr>
        <w:t>A well-designed trial supports a structured intervention for adult couples treated weekly in an academic clinic. The therapist is considering it for a multilingual rural family with adolescents, limited transportation, intermittent internet, and goals focused on caregiving coordination. The original study did not report outcomes for similar families or delivery conditions.</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use the study without either dismissing or overgeneralizing it?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LENS. Clarify the actual decision question, examine the study’s sample, setting, comparison, measures, effect and harms, and identify the transfer gaps. Integrate the evidence with the family’s goals, preferences, culture, language, access, therapist competence, and available alternatives. If adapted, define the mechanism to preserve and monitor response and burden explicitly.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Clinical decision question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Design strengths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Sample/setting fit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relevance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Effect and uncertainty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Harms/burden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Missing voices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Adaptation boundary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 preference/feasibility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Monitoring and stopping rule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3</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Practice-Based Data, Meaningful Change, and Documentation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Repeated data must be interpreted as a pattern with uncertainty, not as a verdict. Trend, function, client meaning, missing information, and measure limitations control the inference.</w:t>
            </w:r>
          </w:p>
        </w:tc>
      </w:tr>
    </w:tbl>
    <w:p>
      <w:pPr>
        <w:spacing w:after="20"/>
      </w:pPr>
    </w:p>
    <w:p>
      <w:pPr>
        <w:pStyle w:val="Heading2"/>
        <w:pageBreakBefore w:val="0"/>
      </w:pPr>
      <w:r>
        <w:t>The SIGNAL Interpretation Sequence</w:t>
      </w:r>
    </w:p>
    <w:tbl>
      <w:tblPr>
        <w:tblW w:type="dxa" w:w="10560"/>
        <w:jc w:val="left"/>
        <w:tblLayout w:type="fixed"/>
        <w:tblLook w:firstColumn="1" w:firstRow="1" w:lastColumn="0" w:lastRow="0" w:noHBand="0" w:noVBand="1" w:val="04A0"/>
        <w:tblInd w:w="0" w:type="dxa"/>
      </w:tblPr>
      <w:tblGrid>
        <w:gridCol w:w="2600"/>
        <w:gridCol w:w="7960"/>
      </w:tblGrid>
      <w:tr>
        <w:trPr>
          <w:tblHeader w:val="true"/>
          <w:cantSplit/>
        </w:trPr>
        <w:tc>
          <w:tcPr>
            <w:tcW w:type="dxa" w:w="26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9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Specify indicator, expected direction, and timeframe</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State what is being tracked, for whom, how change should look, and when interpretation is warranted.</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 - Integrate repeated and multi-informant information</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Combine scores with behavior, function, alliance, safety, qualitative feedback, and relevant collateral perspectives.</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G - Gauge trend, meaningful change, harm, and uncertainty</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Consider direction, magnitude, consistency, clinical value, adverse effects, and plausible alternative explanations.</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N - Notice missingness, context, and measurement limits</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who or what is absent, why data are missing, whether floor/ceiling or access problems exist, and how context changed.</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7"/>
              </w:rPr>
              <w:t>A - Anchor interpretation to goals and function</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7"/>
              </w:rPr>
              <w:t>Return to client-defined priorities and observable life or relationship effects rather than treating the instrument as the goal.</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 - Log the rationale and next check</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Document the information used, client participation, uncertainty, decision, responsibilities, and next review point.</w:t>
            </w:r>
          </w:p>
        </w:tc>
      </w:tr>
    </w:tbl>
    <w:p>
      <w:pPr>
        <w:spacing w:after="20"/>
      </w:pPr>
    </w:p>
    <w:p>
      <w:pPr>
        <w:pStyle w:val="Heading2"/>
        <w:pageBreakBefore w:val="0"/>
      </w:pPr>
      <w:r>
        <w:t>Meaningful Change: Four Questions</w:t>
      </w:r>
    </w:p>
    <w:tbl>
      <w:tblPr>
        <w:tblW w:type="dxa" w:w="10560"/>
        <w:jc w:val="left"/>
        <w:tblLayout w:type="fixed"/>
        <w:tblLook w:firstColumn="1" w:firstRow="1" w:lastColumn="0" w:lastRow="0" w:noHBand="0" w:noVBand="1" w:val="04A0"/>
        <w:tblInd w:w="0" w:type="dxa"/>
      </w:tblPr>
      <w:tblGrid>
        <w:gridCol w:w="3000"/>
        <w:gridCol w:w="7560"/>
      </w:tblGrid>
      <w:tr>
        <w:trPr>
          <w:tblHeader w:val="true"/>
          <w:cantSplit/>
        </w:trPr>
        <w:tc>
          <w:tcPr>
            <w:tcW w:type="dxa" w:w="300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w:t>
            </w:r>
          </w:p>
        </w:tc>
        <w:tc>
          <w:tcPr>
            <w:tcW w:type="dxa" w:w="7560"/>
            <w:shd w:fill="12385B"/>
            <w:tcMar>
              <w:top w:w="95" w:type="dxa"/>
              <w:start w:w="120" w:type="dxa"/>
              <w:bottom w:w="95" w:type="dxa"/>
              <w:end w:w="120" w:type="dxa"/>
            </w:tcMar>
            <w:vAlign w:val="center"/>
          </w:tcPr>
          <w:p>
            <w:pPr>
              <w:spacing w:after="0"/>
            </w:pPr>
            <w:r/>
            <w:r>
              <w:rPr>
                <w:rFonts w:ascii="Liberation Sans" w:hAnsi="Liberation Sans"/>
                <w:b/>
                <w:color w:val="FFFFFF"/>
                <w:sz w:val="17"/>
              </w:rPr>
              <w:t>Interpretive safeguard</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Did the number change?</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Verify scoring, direction, timing, missing items, and expected variability before interpreting the difference.</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Is the change likely larger than measurement noise?</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Use appropriate measure guidance and competence; do not invent certainty from a small difference.</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Is the change clinically meaningful?</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whether the shift changes distress, safety, functioning, relationships, quality of life, or goal attainment.</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Is the change meaningful to the client system?</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Explore value, burden, tradeoffs, whose perspective differs, and whether the outcome reflects client priorities.</w:t>
            </w:r>
          </w:p>
        </w:tc>
      </w:tr>
    </w:tbl>
    <w:p>
      <w:pPr>
        <w:spacing w:after="20"/>
      </w:pPr>
    </w:p>
    <w:p>
      <w:pPr>
        <w:pStyle w:val="Heading2"/>
        <w:pageBreakBefore w:val="0"/>
      </w:pPr>
      <w:r>
        <w:t>Document the Decision, Not Just the Score</w:t>
      </w:r>
    </w:p>
    <w:p>
      <w:pPr>
        <w:pStyle w:val="ListBullet"/>
        <w:keepLines/>
        <w:spacing w:after="70"/>
      </w:pPr>
      <w:r>
        <w:rPr>
          <w:rFonts w:ascii="Liberation Sans" w:hAnsi="Liberation Sans"/>
          <w:color w:val="1E2D38"/>
          <w:sz w:val="18"/>
        </w:rPr>
        <w:t>Name the measure or information source, purpose, date, respondent, conditions, and any language, access, administration, or scoring limitation.</w:t>
      </w:r>
    </w:p>
    <w:p>
      <w:pPr>
        <w:pStyle w:val="ListBullet"/>
        <w:keepLines/>
        <w:spacing w:after="70"/>
      </w:pPr>
      <w:r>
        <w:rPr>
          <w:rFonts w:ascii="Liberation Sans" w:hAnsi="Liberation Sans"/>
          <w:color w:val="1E2D38"/>
          <w:sz w:val="18"/>
        </w:rPr>
        <w:t>Describe the repeated pattern and relevant contradictory data rather than copying an isolated number into the record.</w:t>
      </w:r>
    </w:p>
    <w:p>
      <w:pPr>
        <w:pStyle w:val="ListBullet"/>
        <w:keepLines/>
        <w:spacing w:after="70"/>
      </w:pPr>
      <w:r>
        <w:rPr>
          <w:rFonts w:ascii="Liberation Sans" w:hAnsi="Liberation Sans"/>
          <w:color w:val="1E2D38"/>
          <w:sz w:val="18"/>
        </w:rPr>
        <w:t>Connect interpretation to goals, baseline, safety, functioning, alliance, context, and the client system’s own view.</w:t>
      </w:r>
    </w:p>
    <w:p>
      <w:pPr>
        <w:pStyle w:val="ListBullet"/>
        <w:keepLines/>
        <w:spacing w:after="70"/>
      </w:pPr>
      <w:r>
        <w:rPr>
          <w:rFonts w:ascii="Liberation Sans" w:hAnsi="Liberation Sans"/>
          <w:color w:val="1E2D38"/>
          <w:sz w:val="18"/>
        </w:rPr>
        <w:t>State uncertainty and alternatives considered. A defensible record does not pretend the data are more precise than they are.</w:t>
      </w:r>
    </w:p>
    <w:p>
      <w:pPr>
        <w:pStyle w:val="ListBullet"/>
        <w:keepLines/>
        <w:spacing w:after="70"/>
      </w:pPr>
      <w:r>
        <w:rPr>
          <w:rFonts w:ascii="Liberation Sans" w:hAnsi="Liberation Sans"/>
          <w:color w:val="1E2D38"/>
          <w:sz w:val="18"/>
        </w:rPr>
        <w:t>Record the collaborative decision, clinical rationale, consultation or referral, assigned actions, and next reassessment point.</w:t>
      </w:r>
    </w:p>
    <w:p>
      <w:pPr>
        <w:pStyle w:val="Heading2"/>
        <w:pageBreakBefore/>
      </w:pPr>
      <w:r>
        <w:t>Case Lab 4: A Jagged Line With Missing Sessions</w:t>
      </w:r>
    </w:p>
    <w:p>
      <w:pPr>
        <w:spacing w:after="90"/>
      </w:pPr>
      <w:r>
        <w:rPr>
          <w:rFonts w:ascii="Liberation Sans" w:hAnsi="Liberation Sans"/>
          <w:i w:val="0"/>
          <w:color w:val="1E2D38"/>
          <w:sz w:val="18"/>
        </w:rPr>
        <w:t>A family’s weekly functioning rating improves, worsens, then improves again across six sessions. Two ratings are missing because interpretation support was unavailable. During the same period, housing stabilized and one family member began a new medication. The therapist wants to credit the intervention for a “statistically significant upward trend.”</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can responsibly be concluded and documented?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SIGNAL. Verify the indicator and timeframe, examine the small and incomplete series, gather multi-informant function and alliance data, and note the access-related missingness and major contextual changes. Avoid unsupported statistical or causal claims. Document the observed pattern, client meaning, uncertainty, plausible contributors, current decision, and next review point.</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Indicator and timeframe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Observed trend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Missingness and why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Measure/access limits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Function and safety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Alliance/participation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Context changes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Client-system meaning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Appropriate conclusion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 check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4</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Nonresponse, Deterioration, Rupture, and Plan Revision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When treatment stalls or worsens, do not accumulate techniques or blame the client. Reassess safety, diagnosis, systemic hypotheses, alliance, access, implementation, competence, and level of care; then revise for a stated reason.</w:t>
            </w:r>
          </w:p>
        </w:tc>
      </w:tr>
    </w:tbl>
    <w:p>
      <w:pPr>
        <w:spacing w:after="20"/>
      </w:pPr>
    </w:p>
    <w:p>
      <w:pPr>
        <w:pStyle w:val="Heading2"/>
        <w:pageBreakBefore w:val="0"/>
      </w:pPr>
      <w:r>
        <w:t>The REPAIR Revision Sequence</w:t>
      </w:r>
    </w:p>
    <w:tbl>
      <w:tblPr>
        <w:tblW w:type="dxa" w:w="10560"/>
        <w:jc w:val="left"/>
        <w:tblLayout w:type="fixed"/>
        <w:tblLook w:firstColumn="1" w:firstRow="1" w:lastColumn="0" w:lastRow="0" w:noHBand="0" w:noVBand="1" w:val="04A0"/>
        <w:tblInd w:w="0" w:type="dxa"/>
      </w:tblPr>
      <w:tblGrid>
        <w:gridCol w:w="2750"/>
        <w:gridCol w:w="7810"/>
      </w:tblGrid>
      <w:tr>
        <w:trPr>
          <w:tblHeader w:val="true"/>
          <w:cantSplit/>
        </w:trPr>
        <w:tc>
          <w:tcPr>
            <w:tcW w:type="dxa" w:w="27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8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750"/>
            <w:tcMar>
              <w:top w:w="90" w:type="dxa"/>
              <w:start w:w="120" w:type="dxa"/>
              <w:bottom w:w="90" w:type="dxa"/>
              <w:end w:w="120" w:type="dxa"/>
            </w:tcMar>
            <w:vAlign w:val="center"/>
          </w:tcPr>
          <w:p>
            <w:pPr>
              <w:spacing w:after="0" w:line="252" w:lineRule="auto"/>
            </w:pPr>
            <w:r/>
            <w:r>
              <w:rPr>
                <w:rFonts w:ascii="Liberation Sans" w:hAnsi="Liberation Sans"/>
                <w:color w:val="1E2D38"/>
                <w:sz w:val="17"/>
              </w:rPr>
              <w:t>R - Reassess safety, diagnosis, hypothesis, and fit</w:t>
            </w:r>
          </w:p>
        </w:tc>
        <w:tc>
          <w:tcPr>
            <w:tcW w:type="dxa" w:w="7810"/>
            <w:tcMar>
              <w:top w:w="90" w:type="dxa"/>
              <w:start w:w="120" w:type="dxa"/>
              <w:bottom w:w="90" w:type="dxa"/>
              <w:end w:w="120" w:type="dxa"/>
            </w:tcMar>
            <w:vAlign w:val="center"/>
          </w:tcPr>
          <w:p>
            <w:pPr>
              <w:spacing w:after="0" w:line="252" w:lineRule="auto"/>
            </w:pPr>
            <w:r/>
            <w:r>
              <w:rPr>
                <w:rFonts w:ascii="Liberation Sans" w:hAnsi="Liberation Sans"/>
                <w:color w:val="1E2D38"/>
                <w:sz w:val="17"/>
              </w:rPr>
              <w:t>Determine whether acuity changed, key information was missed, the formulation no longer explains the pattern, or the current care is mismatched.</w:t>
            </w:r>
          </w:p>
        </w:tc>
      </w:tr>
      <w:tr>
        <w:trPr>
          <w:cantSplit/>
        </w:trPr>
        <w:tc>
          <w:tcPr>
            <w:tcW w:type="dxa" w:w="27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Elicit client-system feedback and meaning</w:t>
            </w:r>
          </w:p>
        </w:tc>
        <w:tc>
          <w:tcPr>
            <w:tcW w:type="dxa" w:w="78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each relevant participant what feels helpful, harmful, irrelevant, inaccessible, unsafe, or inconsistent with their goals.</w:t>
            </w:r>
          </w:p>
        </w:tc>
      </w:tr>
      <w:tr>
        <w:trPr>
          <w:cantSplit/>
        </w:trPr>
        <w:tc>
          <w:tcPr>
            <w:tcW w:type="dxa" w:w="2750"/>
            <w:tcMar>
              <w:top w:w="90" w:type="dxa"/>
              <w:start w:w="120" w:type="dxa"/>
              <w:bottom w:w="90" w:type="dxa"/>
              <w:end w:w="120" w:type="dxa"/>
            </w:tcMar>
            <w:vAlign w:val="center"/>
          </w:tcPr>
          <w:p>
            <w:pPr>
              <w:spacing w:after="0" w:line="252" w:lineRule="auto"/>
            </w:pPr>
            <w:r/>
            <w:r>
              <w:rPr>
                <w:rFonts w:ascii="Liberation Sans" w:hAnsi="Liberation Sans"/>
                <w:color w:val="1E2D38"/>
                <w:sz w:val="17"/>
              </w:rPr>
              <w:t>P - Probe alliance, implementation, access, and dropout barriers</w:t>
            </w:r>
          </w:p>
        </w:tc>
        <w:tc>
          <w:tcPr>
            <w:tcW w:type="dxa" w:w="7810"/>
            <w:tcMar>
              <w:top w:w="90" w:type="dxa"/>
              <w:start w:w="120" w:type="dxa"/>
              <w:bottom w:w="90" w:type="dxa"/>
              <w:end w:w="120" w:type="dxa"/>
            </w:tcMar>
            <w:vAlign w:val="center"/>
          </w:tcPr>
          <w:p>
            <w:pPr>
              <w:spacing w:after="0" w:line="252" w:lineRule="auto"/>
            </w:pPr>
            <w:r/>
            <w:r>
              <w:rPr>
                <w:rFonts w:ascii="Liberation Sans" w:hAnsi="Liberation Sans"/>
                <w:color w:val="1E2D38"/>
                <w:sz w:val="17"/>
              </w:rPr>
              <w:t>Assess rupture, power, attendance, homework or practice fit, language, disability, transportation, finances, technology, competing duties, and treatment burden.</w:t>
            </w:r>
          </w:p>
        </w:tc>
      </w:tr>
      <w:tr>
        <w:trPr>
          <w:cantSplit/>
        </w:trPr>
        <w:tc>
          <w:tcPr>
            <w:tcW w:type="dxa" w:w="27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 Adapt goals, sequence, modality, frequency, or participants</w:t>
            </w:r>
          </w:p>
        </w:tc>
        <w:tc>
          <w:tcPr>
            <w:tcW w:type="dxa" w:w="78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Change only the elements supported by the revised hypothesis and collaborative decision; preserve what is working.</w:t>
            </w:r>
          </w:p>
        </w:tc>
      </w:tr>
      <w:tr>
        <w:trPr>
          <w:cantSplit/>
        </w:trPr>
        <w:tc>
          <w:tcPr>
            <w:tcW w:type="dxa" w:w="2750"/>
            <w:tcMar>
              <w:top w:w="90" w:type="dxa"/>
              <w:start w:w="120" w:type="dxa"/>
              <w:bottom w:w="90" w:type="dxa"/>
              <w:end w:w="120" w:type="dxa"/>
            </w:tcMar>
            <w:vAlign w:val="center"/>
          </w:tcPr>
          <w:p>
            <w:pPr>
              <w:spacing w:after="0" w:line="252" w:lineRule="auto"/>
            </w:pPr>
            <w:r/>
            <w:r>
              <w:rPr>
                <w:rFonts w:ascii="Liberation Sans" w:hAnsi="Liberation Sans"/>
                <w:color w:val="1E2D38"/>
                <w:sz w:val="17"/>
              </w:rPr>
              <w:t>I - Involve consultation, referral, or level-of-care change</w:t>
            </w:r>
          </w:p>
        </w:tc>
        <w:tc>
          <w:tcPr>
            <w:tcW w:type="dxa" w:w="781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supervision, specialty input, medical or psychiatric coordination, and step-up/down decisions when needs exceed competence or setting.</w:t>
            </w:r>
          </w:p>
        </w:tc>
      </w:tr>
      <w:tr>
        <w:trPr>
          <w:cantSplit/>
        </w:trPr>
        <w:tc>
          <w:tcPr>
            <w:tcW w:type="dxa" w:w="27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 - Review response</w:t>
            </w:r>
          </w:p>
        </w:tc>
        <w:tc>
          <w:tcPr>
            <w:tcW w:type="dxa" w:w="78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Define what improvement, harm, or continued nonresponse will mean and when the revised plan will be evaluated.</w:t>
            </w:r>
          </w:p>
        </w:tc>
      </w:tr>
    </w:tbl>
    <w:p>
      <w:pPr>
        <w:spacing w:after="20"/>
      </w:pPr>
    </w:p>
    <w:p>
      <w:pPr>
        <w:pStyle w:val="Heading2"/>
        <w:pageBreakBefore w:val="0"/>
      </w:pPr>
      <w:r>
        <w:t>The Nonresponse Reassessment Ladder</w:t>
      </w:r>
    </w:p>
    <w:tbl>
      <w:tblPr>
        <w:tblW w:type="dxa" w:w="10560"/>
        <w:jc w:val="left"/>
        <w:tblLayout w:type="fixed"/>
        <w:tblLook w:firstColumn="1" w:firstRow="1" w:lastColumn="0" w:lastRow="0" w:noHBand="0" w:noVBand="1" w:val="04A0"/>
        <w:tblInd w:w="0" w:type="dxa"/>
      </w:tblPr>
      <w:tblGrid>
        <w:gridCol w:w="2600"/>
        <w:gridCol w:w="7960"/>
      </w:tblGrid>
      <w:tr>
        <w:trPr>
          <w:tblHeader w:val="true"/>
          <w:cantSplit/>
        </w:trPr>
        <w:tc>
          <w:tcPr>
            <w:tcW w:type="dxa" w:w="2600"/>
            <w:shd w:fill="12385B"/>
            <w:tcMar>
              <w:top w:w="95" w:type="dxa"/>
              <w:start w:w="120" w:type="dxa"/>
              <w:bottom w:w="95" w:type="dxa"/>
              <w:end w:w="120" w:type="dxa"/>
            </w:tcMar>
            <w:vAlign w:val="center"/>
          </w:tcPr>
          <w:p>
            <w:pPr>
              <w:spacing w:after="0"/>
            </w:pPr>
            <w:r/>
            <w:r>
              <w:rPr>
                <w:rFonts w:ascii="Liberation Sans" w:hAnsi="Liberation Sans"/>
                <w:b/>
                <w:color w:val="FFFFFF"/>
                <w:sz w:val="17"/>
              </w:rPr>
              <w:t>Level</w:t>
            </w:r>
          </w:p>
        </w:tc>
        <w:tc>
          <w:tcPr>
            <w:tcW w:type="dxa" w:w="796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Questions before changing technique</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6"/>
              </w:rPr>
              <w:t>1. Safety and stability</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6"/>
              </w:rPr>
              <w:t>Has danger, abuse, coercion, substance or medical instability, severe impairment, or participation capacity changed?</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2. Assessment and hypothesis</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Were diagnosis, treatment unit, relational sequence, trauma, development, culture, health, substance use, or environmental conditions misunderstood?</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6"/>
              </w:rPr>
              <w:t>3. Goals and measurement</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6"/>
              </w:rPr>
              <w:t>Are goals still relevant, indicators valid and accessible, perspectives represented, and change thresholds realistic?</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4. Alliance and power</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Does each participant feel understood and safe enough to disagree? Has the therapist joined unevenly or missed a rupture?</w:t>
            </w:r>
          </w:p>
        </w:tc>
      </w:tr>
      <w:tr>
        <w:trPr>
          <w:cantSplit/>
        </w:trPr>
        <w:tc>
          <w:tcPr>
            <w:tcW w:type="dxa" w:w="2600"/>
            <w:tcMar>
              <w:top w:w="90" w:type="dxa"/>
              <w:start w:w="120" w:type="dxa"/>
              <w:bottom w:w="90" w:type="dxa"/>
              <w:end w:w="120" w:type="dxa"/>
            </w:tcMar>
            <w:vAlign w:val="center"/>
          </w:tcPr>
          <w:p>
            <w:pPr>
              <w:spacing w:after="0" w:line="252" w:lineRule="auto"/>
            </w:pPr>
            <w:r/>
            <w:r>
              <w:rPr>
                <w:rFonts w:ascii="Liberation Sans" w:hAnsi="Liberation Sans"/>
                <w:color w:val="1E2D38"/>
                <w:sz w:val="16"/>
              </w:rPr>
              <w:t>5. Implementation and access</w:t>
            </w:r>
          </w:p>
        </w:tc>
        <w:tc>
          <w:tcPr>
            <w:tcW w:type="dxa" w:w="7960"/>
            <w:tcMar>
              <w:top w:w="90" w:type="dxa"/>
              <w:start w:w="120" w:type="dxa"/>
              <w:bottom w:w="90" w:type="dxa"/>
              <w:end w:w="120" w:type="dxa"/>
            </w:tcMar>
            <w:vAlign w:val="center"/>
          </w:tcPr>
          <w:p>
            <w:pPr>
              <w:spacing w:after="0" w:line="252" w:lineRule="auto"/>
            </w:pPr>
            <w:r/>
            <w:r>
              <w:rPr>
                <w:rFonts w:ascii="Liberation Sans" w:hAnsi="Liberation Sans"/>
                <w:color w:val="1E2D38"/>
                <w:sz w:val="16"/>
              </w:rPr>
              <w:t>Was the plan delivered as intended, practiced, affordable, accessible, acceptable, and possible in the client’s context?</w:t>
            </w:r>
          </w:p>
        </w:tc>
      </w:tr>
      <w:tr>
        <w:trPr>
          <w:cantSplit/>
        </w:trPr>
        <w:tc>
          <w:tcPr>
            <w:tcW w:type="dxa" w:w="26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6. Model, competence, and level of care</w:t>
            </w:r>
          </w:p>
        </w:tc>
        <w:tc>
          <w:tcPr>
            <w:tcW w:type="dxa" w:w="79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Does the mechanism fit? Is consultation, different expertise, another format, or a higher/lower intensity needed?</w:t>
            </w:r>
          </w:p>
        </w:tc>
      </w:tr>
    </w:tbl>
    <w:p>
      <w:pPr>
        <w:spacing w:after="20"/>
      </w:pPr>
    </w:p>
    <w:p>
      <w:pPr>
        <w:pStyle w:val="Heading2"/>
        <w:pageBreakBefore w:val="0"/>
      </w:pPr>
      <w:r>
        <w:t>Write a Testable Revision</w:t>
      </w:r>
    </w:p>
    <w:p>
      <w:pPr>
        <w:spacing w:after="90"/>
      </w:pPr>
      <w:r>
        <w:rPr>
          <w:rFonts w:ascii="Liberation Sans" w:hAnsi="Liberation Sans"/>
          <w:i w:val="0"/>
          <w:color w:val="1E2D38"/>
          <w:sz w:val="18"/>
        </w:rPr>
        <w:t>A plan revision should name the new information, updated hypothesis, unchanged priorities, specific modification, alternatives considered, client participation, responsibilities, expected response, safety plan when relevant, and date or threshold for review. “Try something different” is not a clinical rationale.</w:t>
      </w:r>
    </w:p>
    <w:p>
      <w:pPr>
        <w:pStyle w:val="Heading2"/>
      </w:pPr>
      <w:r>
        <w:t>Case Lab 5: Eight Sessions, No Movement</w:t>
      </w:r>
    </w:p>
    <w:p>
      <w:pPr>
        <w:spacing w:after="90"/>
      </w:pPr>
      <w:r>
        <w:rPr>
          <w:rFonts w:ascii="Liberation Sans" w:hAnsi="Liberation Sans"/>
          <w:i w:val="0"/>
          <w:color w:val="1E2D38"/>
          <w:sz w:val="18"/>
        </w:rPr>
        <w:t>A couple has completed eight sessions and every planned exercise. Conflict frequency, recovery time, and alliance have not improved. One partner says the exercises feel scripted; the other says childcare makes practice impossible. The therapist plans to add two more worksheets from the same model without revisiting the formulation.</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guide the next treatment decision?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REPAIR. Reassess safety, treatment unit, diagnosis and systemic maintaining hypotheses; invite both partners’ feedback; examine alliance, access, feasibility, implementation, culture, goals, and model fit; and consult if needed. Revise the plan for a stated reason, identify the response expected from that change, and set the next decision threshold.</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Safety/stability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Goal relevance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pattern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Alliance/power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Access/childcare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Implementation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Hypothesis revision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Model/competence fit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Specific adaptation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Next decision threshold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5</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Step-Up, Step-Down, Referral, Transfer, and Continuity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Change level, modality, or provider because acuity, response, fit, competence, preference, and feasibility support the change. Explain the decision, coordinate with permission, preserve interim responsibility, and confirm continuity.</w:t>
            </w:r>
          </w:p>
        </w:tc>
      </w:tr>
    </w:tbl>
    <w:p>
      <w:pPr>
        <w:spacing w:after="20"/>
      </w:pPr>
    </w:p>
    <w:p>
      <w:pPr>
        <w:pStyle w:val="Heading2"/>
        <w:pageBreakBefore w:val="0"/>
      </w:pPr>
      <w:r>
        <w:t>The STEPS Transition Sequence</w:t>
      </w:r>
    </w:p>
    <w:tbl>
      <w:tblPr>
        <w:tblW w:type="dxa" w:w="10560"/>
        <w:jc w:val="left"/>
        <w:tblLayout w:type="fixed"/>
        <w:tblLook w:firstColumn="1" w:firstRow="1" w:lastColumn="0" w:lastRow="0" w:noHBand="0" w:noVBand="1" w:val="04A0"/>
        <w:tblInd w:w="0" w:type="dxa"/>
      </w:tblPr>
      <w:tblGrid>
        <w:gridCol w:w="2850"/>
        <w:gridCol w:w="7710"/>
      </w:tblGrid>
      <w:tr>
        <w:trPr>
          <w:tblHeader w:val="true"/>
          <w:cantSplit/>
        </w:trPr>
        <w:tc>
          <w:tcPr>
            <w:tcW w:type="dxa" w:w="28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7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Screen acuity, function, competence, and continuity risk</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Directly assess current danger, impairment, stability, participation capacity, treatment response, and what could happen during a gap.</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 - Test current treatment fit and alternatives</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Compare continuation, adaptation, consultation, specialty referral, step-up/down, transfer, and ending against needs and least restrictive appropriate care.</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Explain options, benefits, burdens, and roles</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Support informed participation using understandable language and realistic information about access, cost, timing, limits, and responsibilities.</w:t>
            </w:r>
          </w:p>
        </w:tc>
      </w:tr>
      <w:tr>
        <w:trPr>
          <w:cantSplit/>
        </w:trPr>
        <w:tc>
          <w:tcPr>
            <w:tcW w:type="dxa" w:w="28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 - Plan permission, information limits, and warm handoff</w:t>
            </w:r>
          </w:p>
        </w:tc>
        <w:tc>
          <w:tcPr>
            <w:tcW w:type="dxa" w:w="77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Identify who may communicate, for what purpose, what minimum information is needed, and how the receiving resource will be engaged.</w:t>
            </w:r>
          </w:p>
        </w:tc>
      </w:tr>
      <w:tr>
        <w:trPr>
          <w:cantSplit/>
        </w:trPr>
        <w:tc>
          <w:tcPr>
            <w:tcW w:type="dxa" w:w="285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Secure interim care and confirm the transition</w:t>
            </w:r>
          </w:p>
        </w:tc>
        <w:tc>
          <w:tcPr>
            <w:tcW w:type="dxa" w:w="7710"/>
            <w:tcMar>
              <w:top w:w="90" w:type="dxa"/>
              <w:start w:w="120" w:type="dxa"/>
              <w:bottom w:w="90" w:type="dxa"/>
              <w:end w:w="120" w:type="dxa"/>
            </w:tcMar>
            <w:vAlign w:val="center"/>
          </w:tcPr>
          <w:p>
            <w:pPr>
              <w:spacing w:after="0" w:line="252" w:lineRule="auto"/>
            </w:pPr>
            <w:r/>
            <w:r>
              <w:rPr>
                <w:rFonts w:ascii="Liberation Sans" w:hAnsi="Liberation Sans"/>
                <w:color w:val="1E2D38"/>
                <w:sz w:val="17"/>
              </w:rPr>
              <w:t>Clarify who remains responsible, what happens if access fails or risk changes, whether contact occurred, and how continuity is documented.</w:t>
            </w:r>
          </w:p>
        </w:tc>
      </w:tr>
    </w:tbl>
    <w:p>
      <w:pPr>
        <w:spacing w:after="20"/>
      </w:pPr>
    </w:p>
    <w:p>
      <w:pPr>
        <w:pStyle w:val="Heading2"/>
        <w:pageBreakBefore w:val="0"/>
      </w:pPr>
      <w:r>
        <w:t>Choose the Transition That Matches the Need</w:t>
      </w:r>
    </w:p>
    <w:tbl>
      <w:tblPr>
        <w:tblW w:type="dxa" w:w="10560"/>
        <w:jc w:val="left"/>
        <w:tblLayout w:type="fixed"/>
        <w:tblLook w:firstColumn="1" w:firstRow="1" w:lastColumn="0" w:lastRow="0" w:noHBand="0" w:noVBand="1" w:val="04A0"/>
        <w:tblInd w:w="0" w:type="dxa"/>
      </w:tblPr>
      <w:tblGrid>
        <w:gridCol w:w="1800"/>
        <w:gridCol w:w="4700"/>
        <w:gridCol w:w="4060"/>
      </w:tblGrid>
      <w:tr>
        <w:trPr>
          <w:tblHeader w:val="true"/>
          <w:cantSplit/>
        </w:trPr>
        <w:tc>
          <w:tcPr>
            <w:tcW w:type="dxa" w:w="180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w:t>
            </w:r>
          </w:p>
        </w:tc>
        <w:tc>
          <w:tcPr>
            <w:tcW w:type="dxa" w:w="4700"/>
            <w:shd w:fill="12385B"/>
            <w:tcMar>
              <w:top w:w="95" w:type="dxa"/>
              <w:start w:w="120" w:type="dxa"/>
              <w:bottom w:w="95" w:type="dxa"/>
              <w:end w:w="120" w:type="dxa"/>
            </w:tcMar>
            <w:vAlign w:val="center"/>
          </w:tcPr>
          <w:p>
            <w:pPr>
              <w:spacing w:after="0"/>
            </w:pPr>
            <w:r/>
            <w:r>
              <w:rPr>
                <w:rFonts w:ascii="Liberation Sans" w:hAnsi="Liberation Sans"/>
                <w:b/>
                <w:color w:val="FFFFFF"/>
                <w:sz w:val="17"/>
              </w:rPr>
              <w:t>Typical rationale</w:t>
            </w:r>
          </w:p>
        </w:tc>
        <w:tc>
          <w:tcPr>
            <w:tcW w:type="dxa" w:w="4060"/>
            <w:shd w:fill="12385B"/>
            <w:tcMar>
              <w:top w:w="95" w:type="dxa"/>
              <w:start w:w="120" w:type="dxa"/>
              <w:bottom w:w="95" w:type="dxa"/>
              <w:end w:w="120" w:type="dxa"/>
            </w:tcMar>
            <w:vAlign w:val="center"/>
          </w:tcPr>
          <w:p>
            <w:pPr>
              <w:spacing w:after="0"/>
            </w:pPr>
            <w:r/>
            <w:r>
              <w:rPr>
                <w:rFonts w:ascii="Liberation Sans" w:hAnsi="Liberation Sans"/>
                <w:b/>
                <w:color w:val="FFFFFF"/>
                <w:sz w:val="17"/>
              </w:rPr>
              <w:t>Continuity safeguard</w:t>
            </w:r>
          </w:p>
        </w:tc>
      </w:tr>
      <w:tr>
        <w:trPr>
          <w:cantSplit/>
        </w:trPr>
        <w:tc>
          <w:tcPr>
            <w:tcW w:type="dxa" w:w="1800"/>
            <w:tcMar>
              <w:top w:w="90" w:type="dxa"/>
              <w:start w:w="120" w:type="dxa"/>
              <w:bottom w:w="90" w:type="dxa"/>
              <w:end w:w="120" w:type="dxa"/>
            </w:tcMar>
            <w:vAlign w:val="center"/>
          </w:tcPr>
          <w:p>
            <w:pPr>
              <w:spacing w:after="0" w:line="252" w:lineRule="auto"/>
            </w:pPr>
            <w:r/>
            <w:r>
              <w:rPr>
                <w:rFonts w:ascii="Liberation Sans" w:hAnsi="Liberation Sans"/>
                <w:color w:val="1E2D38"/>
                <w:sz w:val="16"/>
              </w:rPr>
              <w:t>Adapt current care</w:t>
            </w:r>
          </w:p>
        </w:tc>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 setting and competence remain appropriate, but goals, participants, frequency, modality, sequence, or access supports need revision.</w:t>
            </w:r>
          </w:p>
        </w:tc>
        <w:tc>
          <w:tcPr>
            <w:tcW w:type="dxa" w:w="406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 the change, response indicator, and review threshold.</w:t>
            </w:r>
          </w:p>
        </w:tc>
      </w:tr>
      <w:tr>
        <w:trPr>
          <w:cantSplit/>
        </w:trPr>
        <w:tc>
          <w:tcPr>
            <w:tcW w:type="dxa" w:w="1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Step up</w:t>
            </w:r>
          </w:p>
        </w:tc>
        <w:tc>
          <w:tcPr>
            <w:tcW w:type="dxa" w:w="4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Acuity, instability, impairment, monitoring need, or failed outpatient response requires more intensive or specialized care.</w:t>
            </w:r>
          </w:p>
        </w:tc>
        <w:tc>
          <w:tcPr>
            <w:tcW w:type="dxa" w:w="4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Address immediate safety, coordinate promptly, and define interim responsibility.</w:t>
            </w:r>
          </w:p>
        </w:tc>
      </w:tr>
      <w:tr>
        <w:trPr>
          <w:cantSplit/>
        </w:trPr>
        <w:tc>
          <w:tcPr>
            <w:tcW w:type="dxa" w:w="1800"/>
            <w:tcMar>
              <w:top w:w="90" w:type="dxa"/>
              <w:start w:w="120" w:type="dxa"/>
              <w:bottom w:w="90" w:type="dxa"/>
              <w:end w:w="120" w:type="dxa"/>
            </w:tcMar>
            <w:vAlign w:val="center"/>
          </w:tcPr>
          <w:p>
            <w:pPr>
              <w:spacing w:after="0" w:line="252" w:lineRule="auto"/>
            </w:pPr>
            <w:r/>
            <w:r>
              <w:rPr>
                <w:rFonts w:ascii="Liberation Sans" w:hAnsi="Liberation Sans"/>
                <w:color w:val="1E2D38"/>
                <w:sz w:val="16"/>
              </w:rPr>
              <w:t>Step down</w:t>
            </w:r>
          </w:p>
        </w:tc>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Stability and gains support lower intensity while maintenance, support, and re-entry planning remain active.</w:t>
            </w:r>
          </w:p>
        </w:tc>
        <w:tc>
          <w:tcPr>
            <w:tcW w:type="dxa" w:w="4060"/>
            <w:tcMar>
              <w:top w:w="90" w:type="dxa"/>
              <w:start w:w="120" w:type="dxa"/>
              <w:bottom w:w="90" w:type="dxa"/>
              <w:end w:w="120" w:type="dxa"/>
            </w:tcMar>
            <w:vAlign w:val="center"/>
          </w:tcPr>
          <w:p>
            <w:pPr>
              <w:spacing w:after="0" w:line="252" w:lineRule="auto"/>
            </w:pPr>
            <w:r/>
            <w:r>
              <w:rPr>
                <w:rFonts w:ascii="Liberation Sans" w:hAnsi="Liberation Sans"/>
                <w:color w:val="1E2D38"/>
                <w:sz w:val="16"/>
              </w:rPr>
              <w:t>Define warning signs, supports, follow-up, and how to resume care.</w:t>
            </w:r>
          </w:p>
        </w:tc>
      </w:tr>
      <w:tr>
        <w:trPr>
          <w:cantSplit/>
        </w:trPr>
        <w:tc>
          <w:tcPr>
            <w:tcW w:type="dxa" w:w="1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Refer while continuing</w:t>
            </w:r>
          </w:p>
        </w:tc>
        <w:tc>
          <w:tcPr>
            <w:tcW w:type="dxa" w:w="47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 bounded specialty need can be addressed by another professional while MFT treatment remains indicated.</w:t>
            </w:r>
          </w:p>
        </w:tc>
        <w:tc>
          <w:tcPr>
            <w:tcW w:type="dxa" w:w="40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Clarify client identity, roles, permission, information limits, and coordination question.</w:t>
            </w:r>
          </w:p>
        </w:tc>
      </w:tr>
      <w:tr>
        <w:trPr>
          <w:cantSplit/>
        </w:trPr>
        <w:tc>
          <w:tcPr>
            <w:tcW w:type="dxa" w:w="1800"/>
            <w:tcMar>
              <w:top w:w="90" w:type="dxa"/>
              <w:start w:w="120" w:type="dxa"/>
              <w:bottom w:w="90" w:type="dxa"/>
              <w:end w:w="120" w:type="dxa"/>
            </w:tcMar>
            <w:vAlign w:val="center"/>
          </w:tcPr>
          <w:p>
            <w:pPr>
              <w:spacing w:after="0" w:line="252" w:lineRule="auto"/>
            </w:pPr>
            <w:r/>
            <w:r>
              <w:rPr>
                <w:rFonts w:ascii="Liberation Sans" w:hAnsi="Liberation Sans"/>
                <w:color w:val="1E2D38"/>
                <w:sz w:val="16"/>
              </w:rPr>
              <w:t>Transfer</w:t>
            </w:r>
          </w:p>
        </w:tc>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Another provider or setting will assume primary responsibility because of fit, competence, access, or service change.</w:t>
            </w:r>
          </w:p>
        </w:tc>
        <w:tc>
          <w:tcPr>
            <w:tcW w:type="dxa" w:w="4060"/>
            <w:tcMar>
              <w:top w:w="90" w:type="dxa"/>
              <w:start w:w="120" w:type="dxa"/>
              <w:bottom w:w="90" w:type="dxa"/>
              <w:end w:w="120" w:type="dxa"/>
            </w:tcMar>
            <w:vAlign w:val="center"/>
          </w:tcPr>
          <w:p>
            <w:pPr>
              <w:spacing w:after="0" w:line="252" w:lineRule="auto"/>
            </w:pPr>
            <w:r/>
            <w:r>
              <w:rPr>
                <w:rFonts w:ascii="Liberation Sans" w:hAnsi="Liberation Sans"/>
                <w:color w:val="1E2D38"/>
                <w:sz w:val="16"/>
              </w:rPr>
              <w:t>Use a warm handoff when possible and confirm the receiving plan.</w:t>
            </w:r>
          </w:p>
        </w:tc>
      </w:tr>
    </w:tbl>
    <w:p>
      <w:pPr>
        <w:spacing w:after="20"/>
      </w:pPr>
    </w:p>
    <w:p>
      <w:pPr>
        <w:pStyle w:val="Heading2"/>
        <w:pageBreakBefore w:val="0"/>
      </w:pPr>
      <w:r>
        <w:t>When the Handoff Is Incomplete</w:t>
      </w:r>
    </w:p>
    <w:p>
      <w:pPr>
        <w:pStyle w:val="ListBullet"/>
        <w:keepLines/>
        <w:spacing w:after="70"/>
      </w:pPr>
      <w:r>
        <w:rPr>
          <w:rFonts w:ascii="Liberation Sans" w:hAnsi="Liberation Sans"/>
          <w:color w:val="1E2D38"/>
          <w:sz w:val="18"/>
        </w:rPr>
        <w:t>Do not assume that giving a phone number completes a transfer. Verify whether the client can access, afford, understand, and use the option.</w:t>
      </w:r>
    </w:p>
    <w:p>
      <w:pPr>
        <w:pStyle w:val="ListBullet"/>
        <w:keepLines/>
        <w:spacing w:after="70"/>
      </w:pPr>
      <w:r>
        <w:rPr>
          <w:rFonts w:ascii="Liberation Sans" w:hAnsi="Liberation Sans"/>
          <w:color w:val="1E2D38"/>
          <w:sz w:val="18"/>
        </w:rPr>
        <w:t>Clarify the therapist’s ongoing role and reasonable interim availability consistent with acuity, law, ethics, policy, competence, and setting.</w:t>
      </w:r>
    </w:p>
    <w:p>
      <w:pPr>
        <w:pStyle w:val="ListBullet"/>
        <w:keepLines/>
        <w:spacing w:after="70"/>
      </w:pPr>
      <w:r>
        <w:rPr>
          <w:rFonts w:ascii="Liberation Sans" w:hAnsi="Liberation Sans"/>
          <w:color w:val="1E2D38"/>
          <w:sz w:val="18"/>
        </w:rPr>
        <w:t>If the first option fails, reassess risk and barriers, discuss alternatives, document outreach and decisions, and avoid punitive discharge language.</w:t>
      </w:r>
    </w:p>
    <w:p>
      <w:pPr>
        <w:pStyle w:val="ListBullet"/>
        <w:keepLines/>
        <w:spacing w:after="70"/>
      </w:pPr>
      <w:r>
        <w:rPr>
          <w:rFonts w:ascii="Liberation Sans" w:hAnsi="Liberation Sans"/>
          <w:color w:val="1E2D38"/>
          <w:sz w:val="18"/>
        </w:rPr>
        <w:t>Share only authorized and appropriate information for the stated purpose, subject to controlling law and emergency exceptions.</w:t>
      </w:r>
    </w:p>
    <w:p>
      <w:pPr>
        <w:pStyle w:val="ListBullet"/>
        <w:keepLines/>
        <w:spacing w:after="70"/>
      </w:pPr>
      <w:r>
        <w:rPr>
          <w:rFonts w:ascii="Liberation Sans" w:hAnsi="Liberation Sans"/>
          <w:color w:val="1E2D38"/>
          <w:sz w:val="18"/>
        </w:rPr>
        <w:t>A payer or administrative decision may constrain options, but it does not eliminate clinical assessment, communication, documentation, and continuity planning.</w:t>
      </w:r>
    </w:p>
    <w:p>
      <w:pPr>
        <w:pStyle w:val="Heading2"/>
      </w:pPr>
      <w:r>
        <w:t>Case Lab 6: Outpatient Care Is No Longer Enough</w:t>
      </w:r>
    </w:p>
    <w:p>
      <w:pPr>
        <w:spacing w:after="90"/>
      </w:pPr>
      <w:r>
        <w:rPr>
          <w:rFonts w:ascii="Liberation Sans" w:hAnsi="Liberation Sans"/>
          <w:i w:val="0"/>
          <w:color w:val="1E2D38"/>
          <w:sz w:val="18"/>
        </w:rPr>
        <w:t>During outpatient family therapy, Morgan reports increasing suicidal intent, reduced ability to use the safety plan, and near-total functional collapse. The therapist is scheduled to review routine outcome measures and is considering terminating because Morgan “needs a different level of care.”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now?</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the safety override and STEPS. Conduct direct current risk and stability assessment, mobilize emergency or higher-level resources as indicated, involve appropriate supports under controlling consent and emergency rules, and coordinate the transition. Do not frame acuity-based escalation as simple termination; document interim responsibility and confirm continuity.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risk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Function/stability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Participation capacity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protective action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Level-of-care rationale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Permission/emergency basis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Receiving resource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Interim responsibility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Failed-access backup</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Confirmation/documentation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2"/>
        <w:pageBreakBefore/>
      </w:pPr>
      <w:r>
        <w:t>Case Lab 7: Coverage Ends Before Goals Are Met</w:t>
      </w:r>
    </w:p>
    <w:p>
      <w:pPr>
        <w:spacing w:after="90"/>
      </w:pPr>
      <w:r>
        <w:rPr>
          <w:rFonts w:ascii="Liberation Sans" w:hAnsi="Liberation Sans"/>
          <w:i w:val="0"/>
          <w:color w:val="1E2D38"/>
          <w:sz w:val="18"/>
        </w:rPr>
        <w:t>A family’s insurance coverage ends in two weeks. Goals remain active, risk is not acute, and the family wants to continue but cannot pay the full fee. A community clinic may have space, but no appointment has been confirmed. The therapist plans to provide a list and close the chart on the last covered day.</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administrative transition be managed?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STEPS. Review clinical need and risk, explain realistic options and costs, explore feasible adaptations, obtain permission for a focused warm referral, send only appropriate information, clarify interim and emergency plans, and verify whether the receiving clinic can accept the family. Document the payer constraint without treating it as the clinical rationale for abandoning continuity.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Clinical need/risk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 preferences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Feasible alternatives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Financial/access burden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Permission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Minimum information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Warm handoff action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Interim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If referral fails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Closure criteria/documentation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6</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Termination, Gains Maintenance, Relapse Prevention, and Follow-Up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Termination is a clinical transition, not a disappearing act. Use agreed criteria, current safety and response evidence, client meaning, maintenance supports, warning signs, follow-up options, and responsible records.</w:t>
            </w:r>
          </w:p>
        </w:tc>
      </w:tr>
    </w:tbl>
    <w:p>
      <w:pPr>
        <w:spacing w:after="20"/>
      </w:pPr>
    </w:p>
    <w:p>
      <w:pPr>
        <w:pStyle w:val="Heading2"/>
        <w:pageBreakBefore w:val="0"/>
      </w:pPr>
      <w:r>
        <w:t>The CLOSE Termination Sequence</w:t>
      </w:r>
    </w:p>
    <w:tbl>
      <w:tblPr>
        <w:tblW w:type="dxa" w:w="10560"/>
        <w:jc w:val="left"/>
        <w:tblLayout w:type="fixed"/>
        <w:tblLook w:firstColumn="1" w:firstRow="1" w:lastColumn="0" w:lastRow="0" w:noHBand="0" w:noVBand="1" w:val="04A0"/>
        <w:tblInd w:w="0" w:type="dxa"/>
      </w:tblPr>
      <w:tblGrid>
        <w:gridCol w:w="2950"/>
        <w:gridCol w:w="7610"/>
      </w:tblGrid>
      <w:tr>
        <w:trPr>
          <w:tblHeader w:val="true"/>
          <w:cantSplit/>
        </w:trPr>
        <w:tc>
          <w:tcPr>
            <w:tcW w:type="dxa" w:w="29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6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950"/>
            <w:tcMar>
              <w:top w:w="90" w:type="dxa"/>
              <w:start w:w="120" w:type="dxa"/>
              <w:bottom w:w="90" w:type="dxa"/>
              <w:end w:w="120" w:type="dxa"/>
            </w:tcMar>
            <w:vAlign w:val="center"/>
          </w:tcPr>
          <w:p>
            <w:pPr>
              <w:spacing w:after="0" w:line="252" w:lineRule="auto"/>
            </w:pPr>
            <w:r/>
            <w:r>
              <w:rPr>
                <w:rFonts w:ascii="Liberation Sans" w:hAnsi="Liberation Sans"/>
                <w:color w:val="1E2D38"/>
                <w:sz w:val="17"/>
              </w:rPr>
              <w:t>C - Clarify indication, criteria, readiness, and safety</w:t>
            </w:r>
          </w:p>
        </w:tc>
        <w:tc>
          <w:tcPr>
            <w:tcW w:type="dxa" w:w="761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Identify why ending is being considered, whether agreed goals and criteria are met, whose view differs, and whether current risk permits the planned timing.</w:t>
            </w:r>
          </w:p>
        </w:tc>
      </w:tr>
      <w:tr>
        <w:trPr>
          <w:cantSplit/>
        </w:trPr>
        <w:tc>
          <w:tcPr>
            <w:tcW w:type="dxa" w:w="29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 - Link progress evidence to goals and client meaning</w:t>
            </w:r>
          </w:p>
        </w:tc>
        <w:tc>
          <w:tcPr>
            <w:tcW w:type="dxa" w:w="76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Review baseline, repeated outcomes, functioning, relationships, alliance, client-defined change, and remaining uncertainty.</w:t>
            </w:r>
          </w:p>
        </w:tc>
      </w:tr>
      <w:tr>
        <w:trPr>
          <w:cantSplit/>
        </w:trPr>
        <w:tc>
          <w:tcPr>
            <w:tcW w:type="dxa" w:w="295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Outline gains, remaining needs, vulnerabilities, and early warnings</w:t>
            </w:r>
          </w:p>
        </w:tc>
        <w:tc>
          <w:tcPr>
            <w:tcW w:type="dxa" w:w="7610"/>
            <w:tcMar>
              <w:top w:w="90" w:type="dxa"/>
              <w:start w:w="120" w:type="dxa"/>
              <w:bottom w:w="90" w:type="dxa"/>
              <w:end w:w="120" w:type="dxa"/>
            </w:tcMar>
            <w:vAlign w:val="center"/>
          </w:tcPr>
          <w:p>
            <w:pPr>
              <w:spacing w:after="0" w:line="252" w:lineRule="auto"/>
            </w:pPr>
            <w:r/>
            <w:r>
              <w:rPr>
                <w:rFonts w:ascii="Liberation Sans" w:hAnsi="Liberation Sans"/>
                <w:color w:val="1E2D38"/>
                <w:sz w:val="17"/>
              </w:rPr>
              <w:t>Name what changed, what did not, likely stress points, risk cues, and when additional help would be appropriate.</w:t>
            </w:r>
          </w:p>
        </w:tc>
      </w:tr>
      <w:tr>
        <w:trPr>
          <w:cantSplit/>
        </w:trPr>
        <w:tc>
          <w:tcPr>
            <w:tcW w:type="dxa" w:w="29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 - Strengthen client-owned supports</w:t>
            </w:r>
          </w:p>
        </w:tc>
        <w:tc>
          <w:tcPr>
            <w:tcW w:type="dxa" w:w="76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Consolidate skills, relational agreements, community and professional supports, coping resources, and responsibility for ongoing practice.</w:t>
            </w:r>
          </w:p>
        </w:tc>
      </w:tr>
      <w:tr>
        <w:trPr>
          <w:cantSplit/>
        </w:trPr>
        <w:tc>
          <w:tcPr>
            <w:tcW w:type="dxa" w:w="295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Establish maintenance, relapse, follow-up, and re-entry options</w:t>
            </w:r>
          </w:p>
        </w:tc>
        <w:tc>
          <w:tcPr>
            <w:tcW w:type="dxa" w:w="7610"/>
            <w:tcMar>
              <w:top w:w="90" w:type="dxa"/>
              <w:start w:w="120" w:type="dxa"/>
              <w:bottom w:w="90" w:type="dxa"/>
              <w:end w:w="120" w:type="dxa"/>
            </w:tcMar>
            <w:vAlign w:val="center"/>
          </w:tcPr>
          <w:p>
            <w:pPr>
              <w:spacing w:after="0" w:line="252" w:lineRule="auto"/>
            </w:pPr>
            <w:r/>
            <w:r>
              <w:rPr>
                <w:rFonts w:ascii="Liberation Sans" w:hAnsi="Liberation Sans"/>
                <w:color w:val="1E2D38"/>
                <w:sz w:val="17"/>
              </w:rPr>
              <w:t>Specify action steps, contact routes, referral resources, record and billing closure, follow-up if offered, and how care may be resumed.</w:t>
            </w:r>
          </w:p>
        </w:tc>
      </w:tr>
    </w:tbl>
    <w:p>
      <w:pPr>
        <w:spacing w:after="20"/>
      </w:pPr>
    </w:p>
    <w:p>
      <w:pPr>
        <w:pStyle w:val="Heading2"/>
        <w:pageBreakBefore w:val="0"/>
      </w:pPr>
      <w:r>
        <w:t>Different Endings Require Different Responses</w:t>
      </w:r>
    </w:p>
    <w:tbl>
      <w:tblPr>
        <w:tblW w:type="dxa" w:w="10560"/>
        <w:jc w:val="left"/>
        <w:tblLayout w:type="fixed"/>
        <w:tblLook w:firstColumn="1" w:firstRow="1" w:lastColumn="0" w:lastRow="0" w:noHBand="0" w:noVBand="1" w:val="04A0"/>
        <w:tblInd w:w="0" w:type="dxa"/>
      </w:tblPr>
      <w:tblGrid>
        <w:gridCol w:w="3200"/>
        <w:gridCol w:w="7360"/>
      </w:tblGrid>
      <w:tr>
        <w:trPr>
          <w:tblHeader w:val="true"/>
          <w:cantSplit/>
        </w:trPr>
        <w:tc>
          <w:tcPr>
            <w:tcW w:type="dxa" w:w="3200"/>
            <w:shd w:fill="12385B"/>
            <w:tcMar>
              <w:top w:w="95" w:type="dxa"/>
              <w:start w:w="120" w:type="dxa"/>
              <w:bottom w:w="95" w:type="dxa"/>
              <w:end w:w="120" w:type="dxa"/>
            </w:tcMar>
            <w:vAlign w:val="center"/>
          </w:tcPr>
          <w:p>
            <w:pPr>
              <w:spacing w:after="0"/>
            </w:pPr>
            <w:r/>
            <w:r>
              <w:rPr>
                <w:rFonts w:ascii="Liberation Sans" w:hAnsi="Liberation Sans"/>
                <w:b/>
                <w:color w:val="FFFFFF"/>
                <w:sz w:val="17"/>
              </w:rPr>
              <w:t>Ending</w:t>
            </w:r>
          </w:p>
        </w:tc>
        <w:tc>
          <w:tcPr>
            <w:tcW w:type="dxa" w:w="7360"/>
            <w:shd w:fill="12385B"/>
            <w:tcMar>
              <w:top w:w="95" w:type="dxa"/>
              <w:start w:w="120" w:type="dxa"/>
              <w:bottom w:w="95" w:type="dxa"/>
              <w:end w:w="120" w:type="dxa"/>
            </w:tcMar>
            <w:vAlign w:val="center"/>
          </w:tcPr>
          <w:p>
            <w:pPr>
              <w:spacing w:after="0"/>
            </w:pPr>
            <w:r/>
            <w:r>
              <w:rPr>
                <w:rFonts w:ascii="Liberation Sans" w:hAnsi="Liberation Sans"/>
                <w:b/>
                <w:color w:val="FFFFFF"/>
                <w:sz w:val="17"/>
              </w:rPr>
              <w:t>Primary task</w:t>
            </w:r>
          </w:p>
        </w:tc>
      </w:tr>
      <w:tr>
        <w:trPr>
          <w:cantSplit/>
        </w:trPr>
        <w:tc>
          <w:tcPr>
            <w:tcW w:type="dxa" w:w="3200"/>
            <w:tcMar>
              <w:top w:w="90" w:type="dxa"/>
              <w:start w:w="120" w:type="dxa"/>
              <w:bottom w:w="90" w:type="dxa"/>
              <w:end w:w="120" w:type="dxa"/>
            </w:tcMar>
            <w:vAlign w:val="center"/>
          </w:tcPr>
          <w:p>
            <w:pPr>
              <w:spacing w:after="0" w:line="252" w:lineRule="auto"/>
            </w:pPr>
            <w:r/>
            <w:r>
              <w:rPr>
                <w:rFonts w:ascii="Liberation Sans" w:hAnsi="Liberation Sans"/>
                <w:color w:val="1E2D38"/>
                <w:sz w:val="17"/>
              </w:rPr>
              <w:t>Goals met / planned termination</w:t>
            </w:r>
          </w:p>
        </w:tc>
        <w:tc>
          <w:tcPr>
            <w:tcW w:type="dxa" w:w="736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Consolidate change, review remaining needs, plan maintenance and follow-up, process meaning, and close collaboratively.</w:t>
            </w:r>
          </w:p>
        </w:tc>
      </w:tr>
      <w:tr>
        <w:trPr>
          <w:cantSplit/>
        </w:trPr>
        <w:tc>
          <w:tcPr>
            <w:tcW w:type="dxa" w:w="32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Client-initiated ending</w:t>
            </w:r>
          </w:p>
        </w:tc>
        <w:tc>
          <w:tcPr>
            <w:tcW w:type="dxa" w:w="73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Respect autonomy, invite feedback, assess current risk, discuss options and consequences, provide appropriate resources, and document.</w:t>
            </w:r>
          </w:p>
        </w:tc>
      </w:tr>
      <w:tr>
        <w:trPr>
          <w:cantSplit/>
        </w:trPr>
        <w:tc>
          <w:tcPr>
            <w:tcW w:type="dxa" w:w="3200"/>
            <w:tcMar>
              <w:top w:w="90" w:type="dxa"/>
              <w:start w:w="120" w:type="dxa"/>
              <w:bottom w:w="90" w:type="dxa"/>
              <w:end w:w="120" w:type="dxa"/>
            </w:tcMar>
            <w:vAlign w:val="center"/>
          </w:tcPr>
          <w:p>
            <w:pPr>
              <w:spacing w:after="0" w:line="252" w:lineRule="auto"/>
            </w:pPr>
            <w:r/>
            <w:r>
              <w:rPr>
                <w:rFonts w:ascii="Liberation Sans" w:hAnsi="Liberation Sans"/>
                <w:color w:val="1E2D38"/>
                <w:sz w:val="17"/>
              </w:rPr>
              <w:t>Therapist-initiated ending</w:t>
            </w:r>
          </w:p>
        </w:tc>
        <w:tc>
          <w:tcPr>
            <w:tcW w:type="dxa" w:w="73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a clinically and ethically supportable reason, adequate notice when possible, referrals or transfer, records, and continuity safeguards.</w:t>
            </w:r>
          </w:p>
        </w:tc>
      </w:tr>
      <w:tr>
        <w:trPr>
          <w:cantSplit/>
        </w:trPr>
        <w:tc>
          <w:tcPr>
            <w:tcW w:type="dxa" w:w="32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Administrative or financial interruption</w:t>
            </w:r>
          </w:p>
        </w:tc>
        <w:tc>
          <w:tcPr>
            <w:tcW w:type="dxa" w:w="73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Separate the external constraint from the clinical assessment; explore options and maintain reasonable continuity planning.</w:t>
            </w:r>
          </w:p>
        </w:tc>
      </w:tr>
      <w:tr>
        <w:trPr>
          <w:cantSplit/>
        </w:trPr>
        <w:tc>
          <w:tcPr>
            <w:tcW w:type="dxa" w:w="3200"/>
            <w:tcMar>
              <w:top w:w="90" w:type="dxa"/>
              <w:start w:w="120" w:type="dxa"/>
              <w:bottom w:w="90" w:type="dxa"/>
              <w:end w:w="120" w:type="dxa"/>
            </w:tcMar>
            <w:vAlign w:val="center"/>
          </w:tcPr>
          <w:p>
            <w:pPr>
              <w:spacing w:after="0" w:line="252" w:lineRule="auto"/>
            </w:pPr>
            <w:r/>
            <w:r>
              <w:rPr>
                <w:rFonts w:ascii="Liberation Sans" w:hAnsi="Liberation Sans"/>
                <w:color w:val="1E2D38"/>
                <w:sz w:val="17"/>
              </w:rPr>
              <w:t>Unplanned dropout / loss of contact</w:t>
            </w:r>
          </w:p>
        </w:tc>
        <w:tc>
          <w:tcPr>
            <w:tcW w:type="dxa" w:w="73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proportionate outreach based on risk, policy, consent, and context; document attempts, resources, and closure decisions.</w:t>
            </w:r>
          </w:p>
        </w:tc>
      </w:tr>
    </w:tbl>
    <w:p>
      <w:pPr>
        <w:spacing w:after="20"/>
      </w:pPr>
    </w:p>
    <w:p>
      <w:pPr>
        <w:pStyle w:val="Heading2"/>
        <w:pageBreakBefore w:val="0"/>
      </w:pPr>
      <w:r>
        <w:t>Build a Maintenance and Re-Entry Plan</w:t>
      </w:r>
    </w:p>
    <w:p>
      <w:pPr>
        <w:pStyle w:val="ListBullet"/>
        <w:keepLines/>
        <w:spacing w:after="70"/>
      </w:pPr>
      <w:r>
        <w:rPr>
          <w:rFonts w:ascii="Liberation Sans" w:hAnsi="Liberation Sans"/>
          <w:color w:val="1E2D38"/>
          <w:sz w:val="18"/>
        </w:rPr>
        <w:t>Name the client system’s own explanation for what changed and which skills, relationships, routines, meanings, and supports produced the gains.</w:t>
      </w:r>
    </w:p>
    <w:p>
      <w:pPr>
        <w:pStyle w:val="ListBullet"/>
        <w:keepLines/>
        <w:spacing w:after="70"/>
      </w:pPr>
      <w:r>
        <w:rPr>
          <w:rFonts w:ascii="Liberation Sans" w:hAnsi="Liberation Sans"/>
          <w:color w:val="1E2D38"/>
          <w:sz w:val="18"/>
        </w:rPr>
        <w:t>Identify predictable stressors, vulnerabilities, early-warning signs, relapse indicators, and the difference between a lapse and a crisis.</w:t>
      </w:r>
    </w:p>
    <w:p>
      <w:pPr>
        <w:pStyle w:val="ListBullet"/>
        <w:keepLines/>
        <w:spacing w:after="70"/>
      </w:pPr>
      <w:r>
        <w:rPr>
          <w:rFonts w:ascii="Liberation Sans" w:hAnsi="Liberation Sans"/>
          <w:color w:val="1E2D38"/>
          <w:sz w:val="18"/>
        </w:rPr>
        <w:t>Write specific first responses: who notices, who asks, what the system tries, how long it tries, and what result triggers professional help.</w:t>
      </w:r>
    </w:p>
    <w:p>
      <w:pPr>
        <w:pStyle w:val="ListBullet"/>
        <w:keepLines/>
        <w:spacing w:after="70"/>
      </w:pPr>
      <w:r>
        <w:rPr>
          <w:rFonts w:ascii="Liberation Sans" w:hAnsi="Liberation Sans"/>
          <w:color w:val="1E2D38"/>
          <w:sz w:val="18"/>
        </w:rPr>
        <w:t>Clarify ongoing medications, medical or community supports, referrals, peer resources, safety steps, and who owns each action.</w:t>
      </w:r>
    </w:p>
    <w:p>
      <w:pPr>
        <w:pStyle w:val="ListBullet"/>
        <w:keepLines/>
        <w:spacing w:after="70"/>
      </w:pPr>
      <w:r>
        <w:rPr>
          <w:rFonts w:ascii="Liberation Sans" w:hAnsi="Liberation Sans"/>
          <w:color w:val="1E2D38"/>
          <w:sz w:val="18"/>
        </w:rPr>
        <w:t>Explain follow-up availability, emergency limits, records access, re-entry procedures, and circumstances that require a different level of care.</w:t>
      </w:r>
    </w:p>
    <w:p>
      <w:pPr>
        <w:pStyle w:val="Heading2"/>
      </w:pPr>
      <w:r>
        <w:t>Case Lab 8: Ready to End, Afraid to Relapse</w:t>
      </w:r>
    </w:p>
    <w:p>
      <w:pPr>
        <w:spacing w:after="90"/>
      </w:pPr>
      <w:r>
        <w:rPr>
          <w:rFonts w:ascii="Liberation Sans" w:hAnsi="Liberation Sans"/>
          <w:i w:val="0"/>
          <w:color w:val="1E2D38"/>
          <w:sz w:val="18"/>
        </w:rPr>
        <w:t>After treatment for a recurring pursue-withdraw cycle, Sam and Riley meet their goals: escalation is less frequent, repair is faster, and each can name and interrupt the sequence. Both agree treatment can end but fear that future caregiving stress will undo the gains.</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structure termination?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CLOSE. Review baseline and evidence of change, invite each partner’s meaning, identify remaining vulnerabilities and early warnings, consolidate client-owned repair steps and supports, rehearse a response to caregiving stress, clarify follow-up and re-entry options, and document the collaborative termination criteria and plan.</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Termination indication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Evidence linked to goals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Each partner’s meaning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Remaining needs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Predictable stressors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Early warnings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Client-owned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Support/referral roles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Follow-up/re-entry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Final documentation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1"/>
        <w:pageBreakBefore/>
      </w:pPr>
      <w:r>
        <w:t>Reusable Evaluation, Revision, and Continuity Record</w:t>
      </w:r>
    </w:p>
    <w:p>
      <w:pPr>
        <w:spacing w:after="90"/>
      </w:pPr>
      <w:r>
        <w:rPr>
          <w:rFonts w:ascii="Liberation Sans" w:hAnsi="Liberation Sans"/>
          <w:i w:val="0"/>
          <w:color w:val="1E2D38"/>
          <w:sz w:val="18"/>
        </w:rPr>
        <w:t>Use this record for any progress-review, nonresponse, level-of-care, referral, transfer, or termination case. Complete it from the case facts; mark unknowns instead of inventing them.</w:t>
      </w:r>
    </w:p>
    <w:tbl>
      <w:tblPr>
        <w:tblW w:type="dxa" w:w="10560"/>
        <w:jc w:val="left"/>
        <w:tblLayout w:type="fixed"/>
        <w:tblLook w:firstColumn="1" w:firstRow="1" w:lastColumn="0" w:lastRow="0" w:noHBand="0" w:noVBand="1" w:val="04A0"/>
        <w:tblInd w:w="0" w:type="dxa"/>
      </w:tblPr>
      <w:tblGrid>
        <w:gridCol w:w="4700"/>
        <w:gridCol w:w="5860"/>
      </w:tblGrid>
      <w:tr>
        <w:trPr>
          <w:tblHeader w:val="true"/>
          <w:cantSplit/>
        </w:trPr>
        <w:tc>
          <w:tcPr>
            <w:tcW w:type="dxa" w:w="470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dimension</w:t>
            </w:r>
          </w:p>
        </w:tc>
        <w:tc>
          <w:tcPr>
            <w:tcW w:type="dxa" w:w="5860"/>
            <w:shd w:fill="12385B"/>
            <w:tcMar>
              <w:top w:w="95" w:type="dxa"/>
              <w:start w:w="120" w:type="dxa"/>
              <w:bottom w:w="95" w:type="dxa"/>
              <w:end w:w="120" w:type="dxa"/>
            </w:tcMar>
            <w:vAlign w:val="center"/>
          </w:tcPr>
          <w:p>
            <w:pPr>
              <w:spacing w:after="0"/>
            </w:pPr>
            <w:r/>
            <w:r>
              <w:rPr>
                <w:rFonts w:ascii="Liberation Sans" w:hAnsi="Liberation Sans"/>
                <w:b/>
                <w:color w:val="FFFFFF"/>
                <w:sz w:val="17"/>
              </w:rPr>
              <w:t>My Case Notes</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Identified client/treatment unit, presenting decision, participants, goals, baseline, and agreed indicators</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alliance, functioning, safety, implementation, and qualitative information since the last review</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Trend, meaningful change, uncertainty, missingness, measure limits, access/cultural fit, and client interpretation</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safety, acuity, deterioration, unintended effects, dropout risk, and level-of-care findings</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Reassessed diagnosis, systemic hypotheses, maintaining patterns, strengths, barriers, alliance, and fit</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Research, expertise, client preferences, feasibility, alternatives, consultation, and competence limits</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Continue, adapt, step up/down, refer, transfer, or terminate decision; permission, roles, records, and continuity</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6"/>
              </w:rPr>
              <w:t>Rationale, responsibilities, maintenance/relapse plan, follow-up or re-entry, and next review point</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1"/>
        <w:pageBreakBefore/>
      </w:pPr>
      <w:r>
        <w:t>Workbook 10 Formative Knowledge Check</w:t>
      </w:r>
    </w:p>
    <w:p>
      <w:pPr>
        <w:spacing w:after="90"/>
      </w:pPr>
      <w:r>
        <w:rPr>
          <w:rFonts w:ascii="Liberation Sans" w:hAnsi="Liberation Sans"/>
          <w:i w:val="0"/>
          <w:color w:val="1E2D38"/>
          <w:sz w:val="18"/>
        </w:rPr>
        <w:t>Answer each item before reviewing the rationales. These ten original learning items are separate from the controlled 17-question candidate bank. Record confidence as well as the selected answer; low-confidence correct responses still require review.</w:t>
      </w:r>
    </w:p>
    <w:p>
      <w:pPr>
        <w:keepNext/>
        <w:spacing w:before="140" w:after="60"/>
      </w:pPr>
      <w:r>
        <w:rPr>
          <w:rFonts w:ascii="Liberation Sans" w:hAnsi="Liberation Sans"/>
          <w:b/>
          <w:color w:val="1E2D38"/>
          <w:sz w:val="18"/>
        </w:rPr>
        <w:t>1. At intake, a family says it wants “better communication.” Before treatment begins, what is the BEST next step for evaluating future progress?</w:t>
      </w:r>
    </w:p>
    <w:p>
      <w:pPr>
        <w:keepNext/>
        <w:spacing w:after="50"/>
        <w:ind w:left="259" w:hanging="259"/>
      </w:pPr>
      <w:r>
        <w:rPr>
          <w:rFonts w:ascii="Liberation Sans" w:hAnsi="Liberation Sans"/>
          <w:color w:val="1E2D38"/>
          <w:sz w:val="18"/>
        </w:rPr>
        <w:t>A. Define observable changes, a current baseline, relevant perspectives, and a review point with the family.</w:t>
      </w:r>
    </w:p>
    <w:p>
      <w:pPr>
        <w:keepNext/>
        <w:spacing w:after="50"/>
        <w:ind w:left="259" w:hanging="259"/>
      </w:pPr>
      <w:r>
        <w:rPr>
          <w:rFonts w:ascii="Liberation Sans" w:hAnsi="Liberation Sans"/>
          <w:color w:val="1E2D38"/>
          <w:sz w:val="18"/>
        </w:rPr>
        <w:t>B. Choose the briefest available relationship scale and let its total score define the goal.</w:t>
      </w:r>
    </w:p>
    <w:p>
      <w:pPr>
        <w:keepNext/>
        <w:spacing w:after="50"/>
        <w:ind w:left="259" w:hanging="259"/>
      </w:pPr>
      <w:r>
        <w:rPr>
          <w:rFonts w:ascii="Liberation Sans" w:hAnsi="Liberation Sans"/>
          <w:color w:val="1E2D38"/>
          <w:sz w:val="18"/>
        </w:rPr>
        <w:t>C. Wait until termination and ask whether the family feels treatment worked.</w:t>
      </w:r>
    </w:p>
    <w:p>
      <w:pPr>
        <w:keepNext/>
        <w:spacing w:after="50"/>
        <w:ind w:left="259" w:hanging="259"/>
      </w:pPr>
      <w:r>
        <w:rPr>
          <w:rFonts w:ascii="Liberation Sans" w:hAnsi="Liberation Sans"/>
          <w:color w:val="1E2D38"/>
          <w:sz w:val="18"/>
        </w:rPr>
        <w:t>D. Use the therapist’s session impressions because standardized or client ratings may conflict.</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2. One partner reports fewer arguments while the other reports feeling less safe to disagree and is considering dropout. What should the therapist do FIRST?</w:t>
      </w:r>
    </w:p>
    <w:p>
      <w:pPr>
        <w:keepNext/>
        <w:spacing w:after="50"/>
        <w:ind w:left="259" w:hanging="259"/>
      </w:pPr>
      <w:r>
        <w:rPr>
          <w:rFonts w:ascii="Liberation Sans" w:hAnsi="Liberation Sans"/>
          <w:color w:val="1E2D38"/>
          <w:sz w:val="18"/>
        </w:rPr>
        <w:t>A. Average both ratings so the couple has one progress score.</w:t>
      </w:r>
    </w:p>
    <w:p>
      <w:pPr>
        <w:keepNext/>
        <w:spacing w:after="50"/>
        <w:ind w:left="259" w:hanging="259"/>
      </w:pPr>
      <w:r>
        <w:rPr>
          <w:rFonts w:ascii="Liberation Sans" w:hAnsi="Liberation Sans"/>
          <w:color w:val="1E2D38"/>
          <w:sz w:val="18"/>
        </w:rPr>
        <w:t>B. Explore each partner’s experience, current safety, alliance, power, goals, and treatment fit before adding technique.</w:t>
      </w:r>
    </w:p>
    <w:p>
      <w:pPr>
        <w:keepNext/>
        <w:spacing w:after="50"/>
        <w:ind w:left="259" w:hanging="259"/>
      </w:pPr>
      <w:r>
        <w:rPr>
          <w:rFonts w:ascii="Liberation Sans" w:hAnsi="Liberation Sans"/>
          <w:color w:val="1E2D38"/>
          <w:sz w:val="18"/>
        </w:rPr>
        <w:t>C. Tell the lower-scoring partner that discomfort is expected during effective couple work.</w:t>
      </w:r>
    </w:p>
    <w:p>
      <w:pPr>
        <w:keepNext/>
        <w:spacing w:after="50"/>
        <w:ind w:left="259" w:hanging="259"/>
      </w:pPr>
      <w:r>
        <w:rPr>
          <w:rFonts w:ascii="Liberation Sans" w:hAnsi="Liberation Sans"/>
          <w:color w:val="1E2D38"/>
          <w:sz w:val="18"/>
        </w:rPr>
        <w:t>D. Continue unchanged until the next scheduled outcome-review month.</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3. A rigorous trial supports an intervention, but its sample, setting, language, and outcome priorities differ substantially from the current family. What is the BEST use of the study?</w:t>
      </w:r>
    </w:p>
    <w:p>
      <w:pPr>
        <w:keepNext/>
        <w:spacing w:after="50"/>
        <w:ind w:left="259" w:hanging="259"/>
      </w:pPr>
      <w:r>
        <w:rPr>
          <w:rFonts w:ascii="Liberation Sans" w:hAnsi="Liberation Sans"/>
          <w:color w:val="1E2D38"/>
          <w:sz w:val="18"/>
        </w:rPr>
        <w:t>A. Reject the study because any population difference makes research irrelevant.</w:t>
      </w:r>
    </w:p>
    <w:p>
      <w:pPr>
        <w:keepNext/>
        <w:spacing w:after="50"/>
        <w:ind w:left="259" w:hanging="259"/>
      </w:pPr>
      <w:r>
        <w:rPr>
          <w:rFonts w:ascii="Liberation Sans" w:hAnsi="Liberation Sans"/>
          <w:color w:val="1E2D38"/>
          <w:sz w:val="18"/>
        </w:rPr>
        <w:t>B. Use the intervention unchanged because rigorous evidence overrides client preference and feasibility.</w:t>
      </w:r>
    </w:p>
    <w:p>
      <w:pPr>
        <w:keepNext/>
        <w:spacing w:after="50"/>
        <w:ind w:left="259" w:hanging="259"/>
      </w:pPr>
      <w:r>
        <w:rPr>
          <w:rFonts w:ascii="Liberation Sans" w:hAnsi="Liberation Sans"/>
          <w:color w:val="1E2D38"/>
          <w:sz w:val="18"/>
        </w:rPr>
        <w:t>C. Appraise transferability, discuss fit and alternatives, adapt only with a clear mechanism, and monitor response and burden.</w:t>
      </w:r>
    </w:p>
    <w:p>
      <w:pPr>
        <w:keepNext/>
        <w:spacing w:after="50"/>
        <w:ind w:left="259" w:hanging="259"/>
      </w:pPr>
      <w:r>
        <w:rPr>
          <w:rFonts w:ascii="Liberation Sans" w:hAnsi="Liberation Sans"/>
          <w:color w:val="1E2D38"/>
          <w:sz w:val="18"/>
        </w:rPr>
        <w:t>D. Choose whichever intervention the therapist has used most often, regardless of the research.</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4. A review reports a small average benefit with wide variation and limited reporting of adverse effects. Which conclusion is MOST appropriate?</w:t>
      </w:r>
    </w:p>
    <w:p>
      <w:pPr>
        <w:keepNext/>
        <w:spacing w:after="50"/>
        <w:ind w:left="259" w:hanging="259"/>
      </w:pPr>
      <w:r>
        <w:rPr>
          <w:rFonts w:ascii="Liberation Sans" w:hAnsi="Liberation Sans"/>
          <w:color w:val="1E2D38"/>
          <w:sz w:val="18"/>
        </w:rPr>
        <w:t>A. The intervention is proven effective for every client system represented by the diagnosis.</w:t>
      </w:r>
    </w:p>
    <w:p>
      <w:pPr>
        <w:keepNext/>
        <w:spacing w:after="50"/>
        <w:ind w:left="259" w:hanging="259"/>
      </w:pPr>
      <w:r>
        <w:rPr>
          <w:rFonts w:ascii="Liberation Sans" w:hAnsi="Liberation Sans"/>
          <w:color w:val="1E2D38"/>
          <w:sz w:val="18"/>
        </w:rPr>
        <w:t>B. The small average benefit proves the treatment is clinically meaningless.</w:t>
      </w:r>
    </w:p>
    <w:p>
      <w:pPr>
        <w:keepNext/>
        <w:spacing w:after="50"/>
        <w:ind w:left="259" w:hanging="259"/>
      </w:pPr>
      <w:r>
        <w:rPr>
          <w:rFonts w:ascii="Liberation Sans" w:hAnsi="Liberation Sans"/>
          <w:color w:val="1E2D38"/>
          <w:sz w:val="18"/>
        </w:rPr>
        <w:t>C. Adverse effects can be ignored because the review ranked high in the evidence hierarchy.</w:t>
      </w:r>
    </w:p>
    <w:p>
      <w:pPr>
        <w:keepNext/>
        <w:spacing w:after="50"/>
        <w:ind w:left="259" w:hanging="259"/>
      </w:pPr>
      <w:r>
        <w:rPr>
          <w:rFonts w:ascii="Liberation Sans" w:hAnsi="Liberation Sans"/>
          <w:color w:val="1E2D38"/>
          <w:sz w:val="18"/>
        </w:rPr>
        <w:t>D. The evidence is informative but requires attention to magnitude, uncertainty, harms, applicability, and client priorities.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5. Repeated scores fluctuate, two observations are missing for access reasons, and daily function is unchanged. What is the BEST interpretation?</w:t>
      </w:r>
    </w:p>
    <w:p>
      <w:pPr>
        <w:keepNext/>
        <w:spacing w:after="50"/>
        <w:ind w:left="259" w:hanging="259"/>
      </w:pPr>
      <w:r>
        <w:rPr>
          <w:rFonts w:ascii="Liberation Sans" w:hAnsi="Liberation Sans"/>
          <w:color w:val="1E2D38"/>
          <w:sz w:val="18"/>
        </w:rPr>
        <w:t>A. Describe the uncertain pattern, investigate missingness and measure limits, integrate function and client meaning, and collect the next planned data.</w:t>
      </w:r>
    </w:p>
    <w:p>
      <w:pPr>
        <w:keepNext/>
        <w:spacing w:after="50"/>
        <w:ind w:left="259" w:hanging="259"/>
      </w:pPr>
      <w:r>
        <w:rPr>
          <w:rFonts w:ascii="Liberation Sans" w:hAnsi="Liberation Sans"/>
          <w:color w:val="1E2D38"/>
          <w:sz w:val="18"/>
        </w:rPr>
        <w:t>B. Credit treatment with improvement if the final score is better than the first.</w:t>
      </w:r>
    </w:p>
    <w:p>
      <w:pPr>
        <w:keepNext/>
        <w:spacing w:after="50"/>
        <w:ind w:left="259" w:hanging="259"/>
      </w:pPr>
      <w:r>
        <w:rPr>
          <w:rFonts w:ascii="Liberation Sans" w:hAnsi="Liberation Sans"/>
          <w:color w:val="1E2D38"/>
          <w:sz w:val="18"/>
        </w:rPr>
        <w:t>C. Conclude that treatment failed because the line is not steadily improving.</w:t>
      </w:r>
    </w:p>
    <w:p>
      <w:pPr>
        <w:keepNext/>
        <w:spacing w:after="50"/>
        <w:ind w:left="259" w:hanging="259"/>
      </w:pPr>
      <w:r>
        <w:rPr>
          <w:rFonts w:ascii="Liberation Sans" w:hAnsi="Liberation Sans"/>
          <w:color w:val="1E2D38"/>
          <w:sz w:val="18"/>
        </w:rPr>
        <w:t>D. Remove the missing points and calculate a smooth trend without documenting access barriers.</w:t>
      </w:r>
    </w:p>
    <w:p>
      <w:pPr>
        <w:spacing w:after="100"/>
      </w:pPr>
      <w:r>
        <w:rPr>
          <w:rFonts w:ascii="Liberation Sans" w:hAnsi="Liberation Sans"/>
          <w:i/>
          <w:color w:val="5A6872"/>
          <w:sz w:val="17"/>
        </w:rPr>
        <w:t>Confidence:  1   2   3   4     Answer: ______</w:t>
      </w:r>
    </w:p>
    <w:p>
      <w:r>
        <w:br w:type="page"/>
      </w:r>
    </w:p>
    <w:p>
      <w:pPr>
        <w:keepNext/>
        <w:spacing w:before="140" w:after="60"/>
      </w:pPr>
      <w:r>
        <w:rPr>
          <w:rFonts w:ascii="Liberation Sans" w:hAnsi="Liberation Sans"/>
          <w:b/>
          <w:color w:val="1E2D38"/>
          <w:sz w:val="18"/>
        </w:rPr>
        <w:t>6. A family completed the agreed plan, but outcomes and alliance have not improved. What is the BEST next action?</w:t>
      </w:r>
    </w:p>
    <w:p>
      <w:pPr>
        <w:keepNext/>
        <w:spacing w:after="50"/>
        <w:ind w:left="259" w:hanging="259"/>
      </w:pPr>
      <w:r>
        <w:rPr>
          <w:rFonts w:ascii="Liberation Sans" w:hAnsi="Liberation Sans"/>
          <w:color w:val="1E2D38"/>
          <w:sz w:val="18"/>
        </w:rPr>
        <w:t>A. Add several techniques immediately so the family sees the therapist working harder.</w:t>
      </w:r>
    </w:p>
    <w:p>
      <w:pPr>
        <w:keepNext/>
        <w:spacing w:after="50"/>
        <w:ind w:left="259" w:hanging="259"/>
      </w:pPr>
      <w:r>
        <w:rPr>
          <w:rFonts w:ascii="Liberation Sans" w:hAnsi="Liberation Sans"/>
          <w:color w:val="1E2D38"/>
          <w:sz w:val="18"/>
        </w:rPr>
        <w:t>B. Reassess safety, goals, diagnosis, systemic hypotheses, alliance, access, implementation, competence, and level of care with the family.</w:t>
      </w:r>
    </w:p>
    <w:p>
      <w:pPr>
        <w:keepNext/>
        <w:spacing w:after="50"/>
        <w:ind w:left="259" w:hanging="259"/>
      </w:pPr>
      <w:r>
        <w:rPr>
          <w:rFonts w:ascii="Liberation Sans" w:hAnsi="Liberation Sans"/>
          <w:color w:val="1E2D38"/>
          <w:sz w:val="18"/>
        </w:rPr>
        <w:t>C. Discharge the family for noncompliance because the plan was completed without improvement.</w:t>
      </w:r>
    </w:p>
    <w:p>
      <w:pPr>
        <w:keepNext/>
        <w:spacing w:after="50"/>
        <w:ind w:left="259" w:hanging="259"/>
      </w:pPr>
      <w:r>
        <w:rPr>
          <w:rFonts w:ascii="Liberation Sans" w:hAnsi="Liberation Sans"/>
          <w:color w:val="1E2D38"/>
          <w:sz w:val="18"/>
        </w:rPr>
        <w:t>D. Continue the same plan until enough sessions have accumulated to establish certainty.</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7. During a routine progress review, a client reports new suicidal intent and inability to follow the existing safety plan. What takes priority?</w:t>
      </w:r>
    </w:p>
    <w:p>
      <w:pPr>
        <w:keepNext/>
        <w:spacing w:after="50"/>
        <w:ind w:left="259" w:hanging="259"/>
      </w:pPr>
      <w:r>
        <w:rPr>
          <w:rFonts w:ascii="Liberation Sans" w:hAnsi="Liberation Sans"/>
          <w:color w:val="1E2D38"/>
          <w:sz w:val="18"/>
        </w:rPr>
        <w:t>A. Complete the outcome-measure discussion so the record contains comparable data.</w:t>
      </w:r>
    </w:p>
    <w:p>
      <w:pPr>
        <w:keepNext/>
        <w:spacing w:after="50"/>
        <w:ind w:left="259" w:hanging="259"/>
      </w:pPr>
      <w:r>
        <w:rPr>
          <w:rFonts w:ascii="Liberation Sans" w:hAnsi="Liberation Sans"/>
          <w:color w:val="1E2D38"/>
          <w:sz w:val="18"/>
        </w:rPr>
        <w:t>B. Schedule an extra routine session and review the risk next week.</w:t>
      </w:r>
    </w:p>
    <w:p>
      <w:pPr>
        <w:keepNext/>
        <w:spacing w:after="50"/>
        <w:ind w:left="259" w:hanging="259"/>
      </w:pPr>
      <w:r>
        <w:rPr>
          <w:rFonts w:ascii="Liberation Sans" w:hAnsi="Liberation Sans"/>
          <w:color w:val="1E2D38"/>
          <w:sz w:val="18"/>
        </w:rPr>
        <w:t>C. Conduct direct current risk and stability assessment and arrange an appropriate immediate level-of-care response.</w:t>
      </w:r>
    </w:p>
    <w:p>
      <w:pPr>
        <w:keepNext/>
        <w:spacing w:after="50"/>
        <w:ind w:left="259" w:hanging="259"/>
      </w:pPr>
      <w:r>
        <w:rPr>
          <w:rFonts w:ascii="Liberation Sans" w:hAnsi="Liberation Sans"/>
          <w:color w:val="1E2D38"/>
          <w:sz w:val="18"/>
        </w:rPr>
        <w:t>D. Terminate because the client now needs services outside the therapist’s scope.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8. A therapist recommends specialty care and gives the client a phone number. The client cannot reach the program, and current treatment needs remain active. What is the BEST response?</w:t>
      </w:r>
    </w:p>
    <w:p>
      <w:pPr>
        <w:keepNext/>
        <w:spacing w:after="50"/>
        <w:ind w:left="259" w:hanging="259"/>
      </w:pPr>
      <w:r>
        <w:rPr>
          <w:rFonts w:ascii="Liberation Sans" w:hAnsi="Liberation Sans"/>
          <w:color w:val="1E2D38"/>
          <w:sz w:val="18"/>
        </w:rPr>
        <w:t>A. Close the chart because the referral information was accurate when provided.</w:t>
      </w:r>
    </w:p>
    <w:p>
      <w:pPr>
        <w:keepNext/>
        <w:spacing w:after="50"/>
        <w:ind w:left="259" w:hanging="259"/>
      </w:pPr>
      <w:r>
        <w:rPr>
          <w:rFonts w:ascii="Liberation Sans" w:hAnsi="Liberation Sans"/>
          <w:color w:val="1E2D38"/>
          <w:sz w:val="18"/>
        </w:rPr>
        <w:t>B. Tell the client to search independently because further contact would create dependency.</w:t>
      </w:r>
    </w:p>
    <w:p>
      <w:pPr>
        <w:keepNext/>
        <w:spacing w:after="50"/>
        <w:ind w:left="259" w:hanging="259"/>
      </w:pPr>
      <w:r>
        <w:rPr>
          <w:rFonts w:ascii="Liberation Sans" w:hAnsi="Liberation Sans"/>
          <w:color w:val="1E2D38"/>
          <w:sz w:val="18"/>
        </w:rPr>
        <w:t>C. Send the entire record to several programs without waiting for authorization.</w:t>
      </w:r>
    </w:p>
    <w:p>
      <w:pPr>
        <w:keepNext/>
        <w:spacing w:after="50"/>
        <w:ind w:left="259" w:hanging="259"/>
      </w:pPr>
      <w:r>
        <w:rPr>
          <w:rFonts w:ascii="Liberation Sans" w:hAnsi="Liberation Sans"/>
          <w:color w:val="1E2D38"/>
          <w:sz w:val="18"/>
        </w:rPr>
        <w:t>D. Reassess risk and barriers, discuss alternatives, coordinate a consented warm handoff, and clarify interim responsibility.</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9. A couple has met agreed goals and both partners support ending, but they worry about relapse during future caregiving stress. What should the therapist do?</w:t>
      </w:r>
    </w:p>
    <w:p>
      <w:pPr>
        <w:keepNext/>
        <w:spacing w:after="50"/>
        <w:ind w:left="259" w:hanging="259"/>
      </w:pPr>
      <w:r>
        <w:rPr>
          <w:rFonts w:ascii="Liberation Sans" w:hAnsi="Liberation Sans"/>
          <w:color w:val="1E2D38"/>
          <w:sz w:val="18"/>
        </w:rPr>
        <w:t>A. Review evidence of gains, remaining vulnerabilities, early warnings, client-owned responses, supports, and follow-up or re-entry options.</w:t>
      </w:r>
    </w:p>
    <w:p>
      <w:pPr>
        <w:keepNext/>
        <w:spacing w:after="50"/>
        <w:ind w:left="259" w:hanging="259"/>
      </w:pPr>
      <w:r>
        <w:rPr>
          <w:rFonts w:ascii="Liberation Sans" w:hAnsi="Liberation Sans"/>
          <w:color w:val="1E2D38"/>
          <w:sz w:val="18"/>
        </w:rPr>
        <w:t>B. Continue indefinitely because fear of relapse means termination criteria are not met.</w:t>
      </w:r>
    </w:p>
    <w:p>
      <w:pPr>
        <w:keepNext/>
        <w:spacing w:after="50"/>
        <w:ind w:left="259" w:hanging="259"/>
      </w:pPr>
      <w:r>
        <w:rPr>
          <w:rFonts w:ascii="Liberation Sans" w:hAnsi="Liberation Sans"/>
          <w:color w:val="1E2D38"/>
          <w:sz w:val="18"/>
        </w:rPr>
        <w:t>C. End immediately and avoid discussing future services so dependence is not reinforced.</w:t>
      </w:r>
    </w:p>
    <w:p>
      <w:pPr>
        <w:keepNext/>
        <w:spacing w:after="50"/>
        <w:ind w:left="259" w:hanging="259"/>
      </w:pPr>
      <w:r>
        <w:rPr>
          <w:rFonts w:ascii="Liberation Sans" w:hAnsi="Liberation Sans"/>
          <w:color w:val="1E2D38"/>
          <w:sz w:val="18"/>
        </w:rPr>
        <w:t>D. Require monthly booster sessions whether or not the couple wants them.</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10. Coverage ends while goals remain active and no receiving provider is confirmed. Which plan BEST protects continuity?</w:t>
      </w:r>
    </w:p>
    <w:p>
      <w:pPr>
        <w:keepNext/>
        <w:spacing w:after="50"/>
        <w:ind w:left="259" w:hanging="259"/>
      </w:pPr>
      <w:r>
        <w:rPr>
          <w:rFonts w:ascii="Liberation Sans" w:hAnsi="Liberation Sans"/>
          <w:color w:val="1E2D38"/>
          <w:sz w:val="18"/>
        </w:rPr>
        <w:t>A. Record that insurance caused termination and close services on the final covered day.</w:t>
      </w:r>
    </w:p>
    <w:p>
      <w:pPr>
        <w:keepNext/>
        <w:spacing w:after="50"/>
        <w:ind w:left="259" w:hanging="259"/>
      </w:pPr>
      <w:r>
        <w:rPr>
          <w:rFonts w:ascii="Liberation Sans" w:hAnsi="Liberation Sans"/>
          <w:color w:val="1E2D38"/>
          <w:sz w:val="18"/>
        </w:rPr>
        <w:t>B. Separate the payer constraint from clinical need, explore feasible options, make a consented warm referral, plan interim care, and verify the handoff.</w:t>
      </w:r>
    </w:p>
    <w:p>
      <w:pPr>
        <w:keepNext/>
        <w:spacing w:after="50"/>
        <w:ind w:left="259" w:hanging="259"/>
      </w:pPr>
      <w:r>
        <w:rPr>
          <w:rFonts w:ascii="Liberation Sans" w:hAnsi="Liberation Sans"/>
          <w:color w:val="1E2D38"/>
          <w:sz w:val="18"/>
        </w:rPr>
        <w:t>C. Promise free care until another provider accepts the case, regardless of setting policy or feasibility.</w:t>
      </w:r>
    </w:p>
    <w:p>
      <w:pPr>
        <w:keepNext/>
        <w:spacing w:after="50"/>
        <w:ind w:left="259" w:hanging="259"/>
      </w:pPr>
      <w:r>
        <w:rPr>
          <w:rFonts w:ascii="Liberation Sans" w:hAnsi="Liberation Sans"/>
          <w:color w:val="1E2D38"/>
          <w:sz w:val="18"/>
        </w:rPr>
        <w:t>D. Transfer responsibility to the client as soon as a referral list is sent.</w:t>
      </w:r>
    </w:p>
    <w:p>
      <w:pPr>
        <w:spacing w:after="100"/>
      </w:pPr>
      <w:r>
        <w:rPr>
          <w:rFonts w:ascii="Liberation Sans" w:hAnsi="Liberation Sans"/>
          <w:i/>
          <w:color w:val="5A6872"/>
          <w:sz w:val="17"/>
        </w:rPr>
        <w:t>Confidence:  1   2   3   4     Answer: ______</w:t>
      </w:r>
    </w:p>
    <w:p>
      <w:pPr>
        <w:pStyle w:val="Heading1"/>
        <w:pageBreakBefore/>
      </w:pPr>
      <w:r>
        <w:t>Formative Answer Key and Learning Rationales</w:t>
      </w:r>
    </w:p>
    <w:p>
      <w:pPr>
        <w:keepNext/>
        <w:spacing w:before="160" w:after="60"/>
      </w:pPr>
      <w:r>
        <w:rPr>
          <w:rFonts w:ascii="Liberation Sans" w:hAnsi="Liberation Sans"/>
          <w:b/>
          <w:color w:val="12385B"/>
          <w:sz w:val="20"/>
        </w:rPr>
        <w:t>1.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Evaluation starts with a collaborative, observable target, baseline, represented perspectives, and a defined review decision.</w:t>
      </w:r>
    </w:p>
    <w:p>
      <w:pPr>
        <w:spacing w:after="90"/>
      </w:pPr>
      <w:r>
        <w:rPr>
          <w:rFonts w:ascii="Liberation Sans" w:hAnsi="Liberation Sans"/>
          <w:b/>
          <w:color w:val="1E2D38"/>
          <w:sz w:val="18"/>
        </w:rPr>
        <w:t>Why B:</w:t>
      </w:r>
      <w:r>
        <w:rPr>
          <w:rFonts w:ascii="Liberation Sans" w:hAnsi="Liberation Sans"/>
          <w:i w:val="0"/>
          <w:color w:val="1E2D38"/>
          <w:sz w:val="18"/>
        </w:rPr>
        <w:t xml:space="preserve"> Measure-as-goal error. A tool may support monitoring, but the family’s goal and relevant functional and relational indicators control the plan.</w:t>
      </w:r>
    </w:p>
    <w:p>
      <w:pPr>
        <w:spacing w:after="90"/>
      </w:pPr>
      <w:r>
        <w:rPr>
          <w:rFonts w:ascii="Liberation Sans" w:hAnsi="Liberation Sans"/>
          <w:b/>
          <w:color w:val="1E2D38"/>
          <w:sz w:val="18"/>
        </w:rPr>
        <w:t>Why C:</w:t>
      </w:r>
      <w:r>
        <w:rPr>
          <w:rFonts w:ascii="Liberation Sans" w:hAnsi="Liberation Sans"/>
          <w:i w:val="0"/>
          <w:color w:val="1E2D38"/>
          <w:sz w:val="18"/>
        </w:rPr>
        <w:t xml:space="preserve"> Too late. Waiting until termination removes the information needed to revise treatment while it is occurring.</w:t>
      </w:r>
    </w:p>
    <w:p>
      <w:pPr>
        <w:spacing w:after="90"/>
      </w:pPr>
      <w:r>
        <w:rPr>
          <w:rFonts w:ascii="Liberation Sans" w:hAnsi="Liberation Sans"/>
          <w:b/>
          <w:color w:val="1E2D38"/>
          <w:sz w:val="18"/>
        </w:rPr>
        <w:t>Why D:</w:t>
      </w:r>
      <w:r>
        <w:rPr>
          <w:rFonts w:ascii="Liberation Sans" w:hAnsi="Liberation Sans"/>
          <w:i w:val="0"/>
          <w:color w:val="1E2D38"/>
          <w:sz w:val="18"/>
        </w:rPr>
        <w:t xml:space="preserve"> Therapist-impression trap. Clinical observation matters but should be integrated with client-system feedback and other relevant data.</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a goal is vague, define the target, baseline, indicators, and review point before choosing a measure.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Progress requires a shared decision frame, not a score alone.  Remediation: R1</w:t>
      </w:r>
    </w:p>
    <w:p>
      <w:pPr>
        <w:keepNext/>
        <w:spacing w:before="160" w:after="60"/>
      </w:pPr>
      <w:r>
        <w:rPr>
          <w:rFonts w:ascii="Liberation Sans" w:hAnsi="Liberation Sans"/>
          <w:b/>
          <w:color w:val="12385B"/>
          <w:sz w:val="20"/>
        </w:rPr>
        <w:t>2.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Averaging erases a clinically important alliance and safety difference between participants.</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The dropout and safety signal requires direct, participant-specific exploration and possible repair before more technique.</w:t>
      </w:r>
    </w:p>
    <w:p>
      <w:pPr>
        <w:spacing w:after="90"/>
      </w:pPr>
      <w:r>
        <w:rPr>
          <w:rFonts w:ascii="Liberation Sans" w:hAnsi="Liberation Sans"/>
          <w:b/>
          <w:color w:val="1E2D38"/>
          <w:sz w:val="18"/>
        </w:rPr>
        <w:t>Why C:</w:t>
      </w:r>
      <w:r>
        <w:rPr>
          <w:rFonts w:ascii="Liberation Sans" w:hAnsi="Liberation Sans"/>
          <w:i w:val="0"/>
          <w:color w:val="1E2D38"/>
          <w:sz w:val="18"/>
        </w:rPr>
        <w:t xml:space="preserve"> Invalidating and unsafe. Discomfort may occur, but the therapist must not presume that feeling unsafe is evidence of effectiveness.</w:t>
      </w:r>
    </w:p>
    <w:p>
      <w:pPr>
        <w:spacing w:after="90"/>
      </w:pPr>
      <w:r>
        <w:rPr>
          <w:rFonts w:ascii="Liberation Sans" w:hAnsi="Liberation Sans"/>
          <w:b/>
          <w:color w:val="1E2D38"/>
          <w:sz w:val="18"/>
        </w:rPr>
        <w:t>Why D:</w:t>
      </w:r>
      <w:r>
        <w:rPr>
          <w:rFonts w:ascii="Liberation Sans" w:hAnsi="Liberation Sans"/>
          <w:i w:val="0"/>
          <w:color w:val="1E2D38"/>
          <w:sz w:val="18"/>
        </w:rPr>
        <w:t xml:space="preserve"> Feedback neglect. A credible dropout or safety signal should not wait for the calendar.</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Discordant alliance data call for curiosity about each participant, power, safety, goals, and therapist contribution.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Treat disagreement among informants as information to understand, not noise to average away.  Remediation: R3</w:t>
      </w:r>
    </w:p>
    <w:p>
      <w:pPr>
        <w:keepNext/>
        <w:spacing w:before="160" w:after="60"/>
      </w:pPr>
      <w:r>
        <w:rPr>
          <w:rFonts w:ascii="Liberation Sans" w:hAnsi="Liberation Sans"/>
          <w:b/>
          <w:color w:val="12385B"/>
          <w:sz w:val="20"/>
        </w:rPr>
        <w:t>3.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Overcorrection. Differences limit certainty but do not make relevant research useless.</w:t>
      </w:r>
    </w:p>
    <w:p>
      <w:pPr>
        <w:spacing w:after="90"/>
      </w:pPr>
      <w:r>
        <w:rPr>
          <w:rFonts w:ascii="Liberation Sans" w:hAnsi="Liberation Sans"/>
          <w:b/>
          <w:color w:val="1E2D38"/>
          <w:sz w:val="18"/>
        </w:rPr>
        <w:t>Why B:</w:t>
      </w:r>
      <w:r>
        <w:rPr>
          <w:rFonts w:ascii="Liberation Sans" w:hAnsi="Liberation Sans"/>
          <w:i w:val="0"/>
          <w:color w:val="1E2D38"/>
          <w:sz w:val="18"/>
        </w:rPr>
        <w:t xml:space="preserve"> Hierarchy error. Rigor does not erase applicability, feasibility, culture, access, or informed preference.</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This option preserves the evidence, identifies transfer gaps, integrates client context, and makes adaptation testable.</w:t>
      </w:r>
    </w:p>
    <w:p>
      <w:pPr>
        <w:spacing w:after="90"/>
      </w:pPr>
      <w:r>
        <w:rPr>
          <w:rFonts w:ascii="Liberation Sans" w:hAnsi="Liberation Sans"/>
          <w:b/>
          <w:color w:val="1E2D38"/>
          <w:sz w:val="18"/>
        </w:rPr>
        <w:t>Why D:</w:t>
      </w:r>
      <w:r>
        <w:rPr>
          <w:rFonts w:ascii="Liberation Sans" w:hAnsi="Liberation Sans"/>
          <w:i w:val="0"/>
          <w:color w:val="1E2D38"/>
          <w:sz w:val="18"/>
        </w:rPr>
        <w:t xml:space="preserve"> Familiarity is not evidence of fit and does not answer the client-specific decision question.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Research strength and client-system applicability are separate judgments; evaluate both.</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Integrate evidence, expertise, client characteristics, culture, preferences, and feasibility.  Remediation: R4</w:t>
      </w:r>
    </w:p>
    <w:p>
      <w:pPr>
        <w:keepNext/>
        <w:spacing w:before="160" w:after="60"/>
      </w:pPr>
      <w:r>
        <w:rPr>
          <w:rFonts w:ascii="Liberation Sans" w:hAnsi="Liberation Sans"/>
          <w:b/>
          <w:color w:val="12385B"/>
          <w:sz w:val="20"/>
        </w:rPr>
        <w:t>4.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Universal-effect error. An average result does not prove benefit for every client system.</w:t>
      </w:r>
    </w:p>
    <w:p>
      <w:pPr>
        <w:spacing w:after="90"/>
      </w:pPr>
      <w:r>
        <w:rPr>
          <w:rFonts w:ascii="Liberation Sans" w:hAnsi="Liberation Sans"/>
          <w:b/>
          <w:color w:val="1E2D38"/>
          <w:sz w:val="18"/>
        </w:rPr>
        <w:t>Why B:</w:t>
      </w:r>
      <w:r>
        <w:rPr>
          <w:rFonts w:ascii="Liberation Sans" w:hAnsi="Liberation Sans"/>
          <w:i w:val="0"/>
          <w:color w:val="1E2D38"/>
          <w:sz w:val="18"/>
        </w:rPr>
        <w:t xml:space="preserve"> Overstatement. A small mean effect may matter in some contexts and not others; magnitude must be interpreted with outcomes and burden.</w:t>
      </w:r>
    </w:p>
    <w:p>
      <w:pPr>
        <w:spacing w:after="90"/>
      </w:pPr>
      <w:r>
        <w:rPr>
          <w:rFonts w:ascii="Liberation Sans" w:hAnsi="Liberation Sans"/>
          <w:b/>
          <w:color w:val="1E2D38"/>
          <w:sz w:val="18"/>
        </w:rPr>
        <w:t>Why C:</w:t>
      </w:r>
      <w:r>
        <w:rPr>
          <w:rFonts w:ascii="Liberation Sans" w:hAnsi="Liberation Sans"/>
          <w:i w:val="0"/>
          <w:color w:val="1E2D38"/>
          <w:sz w:val="18"/>
        </w:rPr>
        <w:t xml:space="preserve"> Hierarchy error. Missing harm information remains a limitation even in a high-level synthesis.</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The evidence supports a qualified conclusion that preserves effect size, variation, harms, applicability, and client priorities.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Look past the publication label to magnitude, uncertainty, adverse effects, and fit.</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 rigorous source can still support only a cautious, bounded inference.  Remediation: R4</w:t>
      </w:r>
    </w:p>
    <w:p>
      <w:pPr>
        <w:keepNext/>
        <w:spacing w:before="160" w:after="60"/>
      </w:pPr>
      <w:r>
        <w:rPr>
          <w:rFonts w:ascii="Liberation Sans" w:hAnsi="Liberation Sans"/>
          <w:b/>
          <w:color w:val="12385B"/>
          <w:sz w:val="20"/>
        </w:rPr>
        <w:t>5.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The available pattern is incomplete and must be interpreted with missingness, access, function, measure limits, and client meaning.</w:t>
      </w:r>
    </w:p>
    <w:p>
      <w:pPr>
        <w:spacing w:after="90"/>
      </w:pPr>
      <w:r>
        <w:rPr>
          <w:rFonts w:ascii="Liberation Sans" w:hAnsi="Liberation Sans"/>
          <w:b/>
          <w:color w:val="1E2D38"/>
          <w:sz w:val="18"/>
        </w:rPr>
        <w:t>Why B:</w:t>
      </w:r>
      <w:r>
        <w:rPr>
          <w:rFonts w:ascii="Liberation Sans" w:hAnsi="Liberation Sans"/>
          <w:i w:val="0"/>
          <w:color w:val="1E2D38"/>
          <w:sz w:val="18"/>
        </w:rPr>
        <w:t xml:space="preserve"> Endpoint bias. First-to-last comparison can misrepresent fluctuation, missing data, and unchanged function.</w:t>
      </w:r>
    </w:p>
    <w:p>
      <w:pPr>
        <w:spacing w:after="90"/>
      </w:pPr>
      <w:r>
        <w:rPr>
          <w:rFonts w:ascii="Liberation Sans" w:hAnsi="Liberation Sans"/>
          <w:b/>
          <w:color w:val="1E2D38"/>
          <w:sz w:val="18"/>
        </w:rPr>
        <w:t>Why C:</w:t>
      </w:r>
      <w:r>
        <w:rPr>
          <w:rFonts w:ascii="Liberation Sans" w:hAnsi="Liberation Sans"/>
          <w:i w:val="0"/>
          <w:color w:val="1E2D38"/>
          <w:sz w:val="18"/>
        </w:rPr>
        <w:t xml:space="preserve"> Unsupported certainty. Variability alone does not establish failure.</w:t>
      </w:r>
    </w:p>
    <w:p>
      <w:pPr>
        <w:spacing w:after="90"/>
      </w:pPr>
      <w:r>
        <w:rPr>
          <w:rFonts w:ascii="Liberation Sans" w:hAnsi="Liberation Sans"/>
          <w:b/>
          <w:color w:val="1E2D38"/>
          <w:sz w:val="18"/>
        </w:rPr>
        <w:t>Why D:</w:t>
      </w:r>
      <w:r>
        <w:rPr>
          <w:rFonts w:ascii="Liberation Sans" w:hAnsi="Liberation Sans"/>
          <w:i w:val="0"/>
          <w:color w:val="1E2D38"/>
          <w:sz w:val="18"/>
        </w:rPr>
        <w:t xml:space="preserve"> Data-cleaning error. Access-related missingness is clinically meaningful and must be documented, not erased.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data are sparse or missing, narrow the conclusion and widen the contextual inquiry.</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Document uncertainty and missingness before claiming trend or cause.  Remediation: R5</w:t>
      </w:r>
    </w:p>
    <w:p>
      <w:pPr>
        <w:keepNext/>
        <w:spacing w:before="160" w:after="60"/>
      </w:pPr>
      <w:r>
        <w:rPr>
          <w:rFonts w:ascii="Liberation Sans" w:hAnsi="Liberation Sans"/>
          <w:b/>
          <w:color w:val="12385B"/>
          <w:sz w:val="20"/>
        </w:rPr>
        <w:t>6.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Technique accumulation. More activity is not a substitute for reassessing why the current plan is not working.</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REPAIR returns to safety, formulation, alliance, access, implementation, competence, and level of care before revising.</w:t>
      </w:r>
    </w:p>
    <w:p>
      <w:pPr>
        <w:spacing w:after="90"/>
      </w:pPr>
      <w:r>
        <w:rPr>
          <w:rFonts w:ascii="Liberation Sans" w:hAnsi="Liberation Sans"/>
          <w:b/>
          <w:color w:val="1E2D38"/>
          <w:sz w:val="18"/>
        </w:rPr>
        <w:t>Why C:</w:t>
      </w:r>
      <w:r>
        <w:rPr>
          <w:rFonts w:ascii="Liberation Sans" w:hAnsi="Liberation Sans"/>
          <w:i w:val="0"/>
          <w:color w:val="1E2D38"/>
          <w:sz w:val="18"/>
        </w:rPr>
        <w:t xml:space="preserve"> Blaming and unsupported. Completing the plan without improvement may signal a plan or fit problem, not noncompliance.</w:t>
      </w:r>
    </w:p>
    <w:p>
      <w:pPr>
        <w:spacing w:after="90"/>
      </w:pPr>
      <w:r>
        <w:rPr>
          <w:rFonts w:ascii="Liberation Sans" w:hAnsi="Liberation Sans"/>
          <w:b/>
          <w:color w:val="1E2D38"/>
          <w:sz w:val="18"/>
        </w:rPr>
        <w:t>Why D:</w:t>
      </w:r>
      <w:r>
        <w:rPr>
          <w:rFonts w:ascii="Liberation Sans" w:hAnsi="Liberation Sans"/>
          <w:i w:val="0"/>
          <w:color w:val="1E2D38"/>
          <w:sz w:val="18"/>
        </w:rPr>
        <w:t xml:space="preserve"> Passive continuation ignores available evidence of nonresponse and risks extending ineffective care.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Nonresponse is a reassessment cue before it is a technique cue.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Revise the hypothesis and plan for a stated reason, then define the next response threshold.  Remediation: R7</w:t>
      </w:r>
    </w:p>
    <w:p>
      <w:pPr>
        <w:keepNext/>
        <w:spacing w:before="160" w:after="60"/>
      </w:pPr>
      <w:r>
        <w:rPr>
          <w:rFonts w:ascii="Liberation Sans" w:hAnsi="Liberation Sans"/>
          <w:b/>
          <w:color w:val="12385B"/>
          <w:sz w:val="20"/>
        </w:rPr>
        <w:t>7.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Poor sequencing. Comparable routine data do not take priority over new acute risk.</w:t>
      </w:r>
    </w:p>
    <w:p>
      <w:pPr>
        <w:spacing w:after="90"/>
      </w:pPr>
      <w:r>
        <w:rPr>
          <w:rFonts w:ascii="Liberation Sans" w:hAnsi="Liberation Sans"/>
          <w:b/>
          <w:color w:val="1E2D38"/>
          <w:sz w:val="18"/>
        </w:rPr>
        <w:t>Why B:</w:t>
      </w:r>
      <w:r>
        <w:rPr>
          <w:rFonts w:ascii="Liberation Sans" w:hAnsi="Liberation Sans"/>
          <w:i w:val="0"/>
          <w:color w:val="1E2D38"/>
          <w:sz w:val="18"/>
        </w:rPr>
        <w:t xml:space="preserve"> Unsafe delay. New intent and loss of safety-plan capacity require current assessment and action.</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Direct risk assessment and appropriate stabilization or level-of-care response override routine evaluation.</w:t>
      </w:r>
    </w:p>
    <w:p>
      <w:pPr>
        <w:spacing w:after="90"/>
      </w:pPr>
      <w:r>
        <w:rPr>
          <w:rFonts w:ascii="Liberation Sans" w:hAnsi="Liberation Sans"/>
          <w:b/>
          <w:color w:val="1E2D38"/>
          <w:sz w:val="18"/>
        </w:rPr>
        <w:t>Why D:</w:t>
      </w:r>
      <w:r>
        <w:rPr>
          <w:rFonts w:ascii="Liberation Sans" w:hAnsi="Liberation Sans"/>
          <w:i w:val="0"/>
          <w:color w:val="1E2D38"/>
          <w:sz w:val="18"/>
        </w:rPr>
        <w:t xml:space="preserve"> Abandonment risk. Higher-level care may be needed, but the transition must be actively assessed and coordinated.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Acute deterioration changes the decision point from routine evaluation to safety and level of care.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Escalation is a coordinated transition, not a reason to disappear.  Remediation: R6/R8</w:t>
      </w:r>
    </w:p>
    <w:p>
      <w:pPr>
        <w:keepNext/>
        <w:spacing w:before="160" w:after="60"/>
      </w:pPr>
      <w:r>
        <w:rPr>
          <w:rFonts w:ascii="Liberation Sans" w:hAnsi="Liberation Sans"/>
          <w:b/>
          <w:color w:val="12385B"/>
          <w:sz w:val="20"/>
        </w:rPr>
        <w:t>8.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A referral list does not establish access or transfer responsibility.</w:t>
      </w:r>
    </w:p>
    <w:p>
      <w:pPr>
        <w:spacing w:after="90"/>
      </w:pPr>
      <w:r>
        <w:rPr>
          <w:rFonts w:ascii="Liberation Sans" w:hAnsi="Liberation Sans"/>
          <w:b/>
          <w:color w:val="1E2D38"/>
          <w:sz w:val="18"/>
        </w:rPr>
        <w:t>Why B:</w:t>
      </w:r>
      <w:r>
        <w:rPr>
          <w:rFonts w:ascii="Liberation Sans" w:hAnsi="Liberation Sans"/>
          <w:i w:val="0"/>
          <w:color w:val="1E2D38"/>
          <w:sz w:val="18"/>
        </w:rPr>
        <w:t xml:space="preserve"> Continuity failure. Barriers and current need require a proportionate clinical response, not punitive distance.</w:t>
      </w:r>
    </w:p>
    <w:p>
      <w:pPr>
        <w:spacing w:after="90"/>
      </w:pPr>
      <w:r>
        <w:rPr>
          <w:rFonts w:ascii="Liberation Sans" w:hAnsi="Liberation Sans"/>
          <w:b/>
          <w:color w:val="1E2D38"/>
          <w:sz w:val="18"/>
        </w:rPr>
        <w:t>Why C:</w:t>
      </w:r>
      <w:r>
        <w:rPr>
          <w:rFonts w:ascii="Liberation Sans" w:hAnsi="Liberation Sans"/>
          <w:i w:val="0"/>
          <w:color w:val="1E2D38"/>
          <w:sz w:val="18"/>
        </w:rPr>
        <w:t xml:space="preserve"> Overdisclosure. Information sharing requires an appropriate legal and consent basis and should fit the purpose.</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The therapist reassesses, addresses barriers, coordinates with permission, and clarifies interim ownership.</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 handoff is not complete until access, roles, information boundaries, and interim responsibility are addressed.</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Verify continuity; do not infer it from a referral being offered.  Remediation: R9</w:t>
      </w:r>
    </w:p>
    <w:p>
      <w:pPr>
        <w:keepNext/>
        <w:pageBreakBefore/>
        <w:spacing w:before="160" w:after="60"/>
      </w:pPr>
      <w:r>
        <w:rPr>
          <w:rFonts w:ascii="Liberation Sans" w:hAnsi="Liberation Sans"/>
          <w:b/>
          <w:color w:val="12385B"/>
          <w:sz w:val="20"/>
        </w:rPr>
        <w:t>9.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CLOSE converts gains into a client-owned maintenance, relapse-response, follow-up, and re-entry plan.</w:t>
      </w:r>
    </w:p>
    <w:p>
      <w:pPr>
        <w:spacing w:after="90"/>
      </w:pPr>
      <w:r>
        <w:rPr>
          <w:rFonts w:ascii="Liberation Sans" w:hAnsi="Liberation Sans"/>
          <w:b/>
          <w:color w:val="1E2D38"/>
          <w:sz w:val="18"/>
        </w:rPr>
        <w:t>Why B:</w:t>
      </w:r>
      <w:r>
        <w:rPr>
          <w:rFonts w:ascii="Liberation Sans" w:hAnsi="Liberation Sans"/>
          <w:i w:val="0"/>
          <w:color w:val="1E2D38"/>
          <w:sz w:val="18"/>
        </w:rPr>
        <w:t xml:space="preserve"> Fear of relapse can be addressed through planning and does not automatically justify indefinite treatment.</w:t>
      </w:r>
    </w:p>
    <w:p>
      <w:pPr>
        <w:spacing w:after="90"/>
      </w:pPr>
      <w:r>
        <w:rPr>
          <w:rFonts w:ascii="Liberation Sans" w:hAnsi="Liberation Sans"/>
          <w:b/>
          <w:color w:val="1E2D38"/>
          <w:sz w:val="18"/>
        </w:rPr>
        <w:t>Why C:</w:t>
      </w:r>
      <w:r>
        <w:rPr>
          <w:rFonts w:ascii="Liberation Sans" w:hAnsi="Liberation Sans"/>
          <w:i w:val="0"/>
          <w:color w:val="1E2D38"/>
          <w:sz w:val="18"/>
        </w:rPr>
        <w:t xml:space="preserve"> Abrupt closure wastes a clinically useful transition and leaves early warnings and response steps unclear.</w:t>
      </w:r>
    </w:p>
    <w:p>
      <w:pPr>
        <w:spacing w:after="90"/>
      </w:pPr>
      <w:r>
        <w:rPr>
          <w:rFonts w:ascii="Liberation Sans" w:hAnsi="Liberation Sans"/>
          <w:b/>
          <w:color w:val="1E2D38"/>
          <w:sz w:val="18"/>
        </w:rPr>
        <w:t>Why D:</w:t>
      </w:r>
      <w:r>
        <w:rPr>
          <w:rFonts w:ascii="Liberation Sans" w:hAnsi="Liberation Sans"/>
          <w:i w:val="0"/>
          <w:color w:val="1E2D38"/>
          <w:sz w:val="18"/>
        </w:rPr>
        <w:t xml:space="preserve"> Therapist-owned aftercare ignores informed preference and individual need.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goals are met, consolidate change and prepare for predictable stress rather than extending treatment automatically.</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TRANSFER RULE  </w:t>
            </w:r>
            <w:r>
              <w:rPr>
                <w:rFonts w:ascii="Liberation Sans" w:hAnsi="Liberation Sans"/>
                <w:color w:val="1E2D38"/>
                <w:sz w:val="18"/>
              </w:rPr>
              <w:t>Good termination increases client ownership and makes future help-seeking clearer.  Remediation: R10</w:t>
            </w:r>
          </w:p>
        </w:tc>
      </w:tr>
    </w:tbl>
    <w:p>
      <w:pPr>
        <w:spacing w:after="20"/>
      </w:pPr>
    </w:p>
    <w:p>
      <w:pPr>
        <w:keepNext/>
        <w:pageBreakBefore/>
        <w:spacing w:before="160" w:after="60"/>
      </w:pPr>
      <w:r>
        <w:rPr>
          <w:rFonts w:ascii="Liberation Sans" w:hAnsi="Liberation Sans"/>
          <w:b/>
          <w:color w:val="12385B"/>
          <w:sz w:val="20"/>
        </w:rPr>
        <w:t>10.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Administrative causation does not erase clinical assessment and continuity duties.</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The response integrates clinical need, realistic alternatives, permission, a warm referral, interim planning, and confirmation.</w:t>
      </w:r>
    </w:p>
    <w:p>
      <w:pPr>
        <w:spacing w:after="90"/>
      </w:pPr>
      <w:r>
        <w:rPr>
          <w:rFonts w:ascii="Liberation Sans" w:hAnsi="Liberation Sans"/>
          <w:b/>
          <w:color w:val="1E2D38"/>
          <w:sz w:val="18"/>
        </w:rPr>
        <w:t>Why C:</w:t>
      </w:r>
      <w:r>
        <w:rPr>
          <w:rFonts w:ascii="Liberation Sans" w:hAnsi="Liberation Sans"/>
          <w:i w:val="0"/>
          <w:color w:val="1E2D38"/>
          <w:sz w:val="18"/>
        </w:rPr>
        <w:t xml:space="preserve"> Unsustainable promise. Continuity does not require ignoring competence, policy, resources, or boundaries.</w:t>
      </w:r>
    </w:p>
    <w:p>
      <w:pPr>
        <w:spacing w:after="90"/>
      </w:pPr>
      <w:r>
        <w:rPr>
          <w:rFonts w:ascii="Liberation Sans" w:hAnsi="Liberation Sans"/>
          <w:b/>
          <w:color w:val="1E2D38"/>
          <w:sz w:val="18"/>
        </w:rPr>
        <w:t>Why D:</w:t>
      </w:r>
      <w:r>
        <w:rPr>
          <w:rFonts w:ascii="Liberation Sans" w:hAnsi="Liberation Sans"/>
          <w:i w:val="0"/>
          <w:color w:val="1E2D38"/>
          <w:sz w:val="18"/>
        </w:rPr>
        <w:t xml:space="preserve"> Cold-transfer error. Sending a list does not establish that another provider accepted responsibility.</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Separate the external reason for interruption from the clinical steps needed for a safe transition.</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TRANSFER RULE  </w:t>
            </w:r>
            <w:r>
              <w:rPr>
                <w:rFonts w:ascii="Liberation Sans" w:hAnsi="Liberation Sans"/>
                <w:color w:val="1E2D38"/>
                <w:sz w:val="18"/>
              </w:rPr>
              <w:t>Administrative endings still require assessment, communication, documentation, and reasonable continuity.  Remediation: R9</w:t>
            </w:r>
          </w:p>
        </w:tc>
      </w:tr>
    </w:tbl>
    <w:p>
      <w:pPr>
        <w:spacing w:after="20"/>
      </w:pPr>
    </w:p>
    <w:p>
      <w:pPr>
        <w:pStyle w:val="Heading1"/>
        <w:pageBreakBefore/>
      </w:pPr>
      <w:r>
        <w:t>Remediation and Workbook 10 Readiness Plan</w:t>
      </w:r>
    </w:p>
    <w:tbl>
      <w:tblPr>
        <w:tblW w:type="dxa" w:w="10560"/>
        <w:jc w:val="left"/>
        <w:tblLayout w:type="fixed"/>
        <w:tblLook w:firstColumn="1" w:firstRow="1" w:lastColumn="0" w:lastRow="0" w:noHBand="0" w:noVBand="1" w:val="04A0"/>
        <w:tblInd w:w="0" w:type="dxa"/>
      </w:tblPr>
      <w:tblGrid>
        <w:gridCol w:w="900"/>
        <w:gridCol w:w="3900"/>
        <w:gridCol w:w="57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Code</w:t>
            </w:r>
          </w:p>
        </w:tc>
        <w:tc>
          <w:tcPr>
            <w:tcW w:type="dxa" w:w="3900"/>
            <w:shd w:fill="12385B"/>
            <w:tcMar>
              <w:top w:w="95" w:type="dxa"/>
              <w:start w:w="120" w:type="dxa"/>
              <w:bottom w:w="95" w:type="dxa"/>
              <w:end w:w="120" w:type="dxa"/>
            </w:tcMar>
            <w:vAlign w:val="center"/>
          </w:tcPr>
          <w:p>
            <w:pPr>
              <w:spacing w:after="0"/>
            </w:pPr>
            <w:r/>
            <w:r>
              <w:rPr>
                <w:rFonts w:ascii="Liberation Sans" w:hAnsi="Liberation Sans"/>
                <w:b/>
                <w:color w:val="FFFFFF"/>
                <w:sz w:val="17"/>
              </w:rPr>
              <w:t>Reasoning error</w:t>
            </w:r>
          </w:p>
        </w:tc>
        <w:tc>
          <w:tcPr>
            <w:tcW w:type="dxa" w:w="5760"/>
            <w:shd w:fill="12385B"/>
            <w:tcMar>
              <w:top w:w="95" w:type="dxa"/>
              <w:start w:w="120" w:type="dxa"/>
              <w:bottom w:w="95" w:type="dxa"/>
              <w:end w:w="120" w:type="dxa"/>
            </w:tcMar>
            <w:vAlign w:val="center"/>
          </w:tcPr>
          <w:p>
            <w:pPr>
              <w:spacing w:after="0"/>
            </w:pPr>
            <w:r/>
            <w:r>
              <w:rPr>
                <w:rFonts w:ascii="Liberation Sans" w:hAnsi="Liberation Sans"/>
                <w:b/>
                <w:color w:val="FFFFFF"/>
                <w:sz w:val="17"/>
              </w:rPr>
              <w:t>Repair</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R1</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Vague goal / no baseline</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Define the client-system target, observable indicators, baseline, timeframe, and review decision.</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R2</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Single-score / impression trap</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Integrate repeated outcomes, alliance, function, safety, behavior, context, and client meaning.</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R3</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Alliance or dropout signal ignored</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Invite each participant’s feedback, assess rupture and power, address barriers, and repair collaboratively.</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R4</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Research hierarchy / generalizability error</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Appraise design, sample, effect, harms, limits, culture, feasibility, and client fit.</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R5</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Change-score overclaim</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Distinguish trend, meaningful change, uncertainty, missingness, and measure limits; document uncertainty.</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R6</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Deterioration or safety bypass</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Reassess danger, impairment, diagnosis, context, and level of care before routine revision or ending.</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R7</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Technique accumulation / no hypothesis revision</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Return to goals, diagnosis, systemic hypotheses, alliance, implementation, access, and competence.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R8</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Wrong intensity, modality, or sequence</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Match care to acuity, response, preference, competence, feasibility, and appropriate setting.</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R9</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Cold referral, transfer, or abandonment risk</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Obtain informed participation, clarify roles and information limits, arrange a warm handoff, and confirm continuity.</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R10</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Premature, vague, or unsupported ending</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Use collaborative criteria, review gains and needs, plan maintenance and relapse response, and document.</w:t>
            </w:r>
          </w:p>
        </w:tc>
      </w:tr>
    </w:tbl>
    <w:p>
      <w:pPr>
        <w:spacing w:after="20"/>
      </w:pPr>
    </w:p>
    <w:p>
      <w:pPr>
        <w:pStyle w:val="Heading2"/>
        <w:pageBreakBefore/>
      </w:pPr>
      <w:r>
        <w:t>Readiness Gate</w:t>
      </w:r>
    </w:p>
    <w:p>
      <w:pPr>
        <w:pStyle w:val="ListBullet"/>
        <w:keepLines/>
        <w:spacing w:after="70"/>
      </w:pPr>
      <w:r>
        <w:rPr>
          <w:rFonts w:ascii="Liberation Sans" w:hAnsi="Liberation Sans"/>
          <w:color w:val="1E2D38"/>
          <w:sz w:val="18"/>
        </w:rPr>
        <w:t>[ ] I can define observable client-system goals, baselines, indicators, review points, and decision thresholds.</w:t>
      </w:r>
    </w:p>
    <w:p>
      <w:pPr>
        <w:pStyle w:val="ListBullet"/>
        <w:keepLines/>
        <w:spacing w:after="70"/>
      </w:pPr>
      <w:r>
        <w:rPr>
          <w:rFonts w:ascii="Liberation Sans" w:hAnsi="Liberation Sans"/>
          <w:color w:val="1E2D38"/>
          <w:sz w:val="18"/>
        </w:rPr>
        <w:t>[ ] I can select proportionate multi-source monitoring that fits purpose, language, culture, development, access, burden, and competence.</w:t>
      </w:r>
    </w:p>
    <w:p>
      <w:pPr>
        <w:pStyle w:val="ListBullet"/>
        <w:keepLines/>
        <w:spacing w:after="70"/>
      </w:pPr>
      <w:r>
        <w:rPr>
          <w:rFonts w:ascii="Liberation Sans" w:hAnsi="Liberation Sans"/>
          <w:color w:val="1E2D38"/>
          <w:sz w:val="18"/>
        </w:rPr>
        <w:t>[ ] I can interpret repeated data using trend, function, client meaning, uncertainty, missingness, and measure limitations.</w:t>
      </w:r>
    </w:p>
    <w:p>
      <w:pPr>
        <w:pStyle w:val="ListBullet"/>
        <w:keepLines/>
        <w:spacing w:after="70"/>
      </w:pPr>
      <w:r>
        <w:rPr>
          <w:rFonts w:ascii="Liberation Sans" w:hAnsi="Liberation Sans"/>
          <w:color w:val="1E2D38"/>
          <w:sz w:val="18"/>
        </w:rPr>
        <w:t>[ ] I can appraise research question, design, sample, comparison, effect, harm, bias, limits, cultural fit, feasibility, and applicability.</w:t>
      </w:r>
    </w:p>
    <w:p>
      <w:pPr>
        <w:pStyle w:val="ListBullet"/>
        <w:keepLines/>
        <w:spacing w:after="70"/>
      </w:pPr>
      <w:r>
        <w:rPr>
          <w:rFonts w:ascii="Liberation Sans" w:hAnsi="Liberation Sans"/>
          <w:color w:val="1E2D38"/>
          <w:sz w:val="18"/>
        </w:rPr>
        <w:t>[ ] I treat discordant alliance and outcome feedback as information and can repair rupture without blaming a participant.</w:t>
      </w:r>
    </w:p>
    <w:p>
      <w:pPr>
        <w:pStyle w:val="ListBullet"/>
        <w:keepLines/>
        <w:spacing w:after="70"/>
      </w:pPr>
      <w:r>
        <w:rPr>
          <w:rFonts w:ascii="Liberation Sans" w:hAnsi="Liberation Sans"/>
          <w:color w:val="1E2D38"/>
          <w:sz w:val="18"/>
        </w:rPr>
        <w:t>[ ] I reassess safety, diagnosis, systemic hypotheses, goals, alliance, implementation, access, competence, and level of care after nonresponse.</w:t>
      </w:r>
    </w:p>
    <w:p>
      <w:pPr>
        <w:pStyle w:val="ListBullet"/>
        <w:keepLines/>
        <w:spacing w:after="70"/>
      </w:pPr>
      <w:r>
        <w:rPr>
          <w:rFonts w:ascii="Liberation Sans" w:hAnsi="Liberation Sans"/>
          <w:color w:val="1E2D38"/>
          <w:sz w:val="18"/>
        </w:rPr>
        <w:t>[ ] I can write a collaborative plan revision with a rationale, responsibilities, expected response, and next review threshold.</w:t>
      </w:r>
    </w:p>
    <w:p>
      <w:pPr>
        <w:pStyle w:val="ListBullet"/>
        <w:keepLines/>
        <w:spacing w:after="70"/>
      </w:pPr>
      <w:r>
        <w:rPr>
          <w:rFonts w:ascii="Liberation Sans" w:hAnsi="Liberation Sans"/>
          <w:color w:val="1E2D38"/>
          <w:sz w:val="18"/>
        </w:rPr>
        <w:t>[ ] I can distinguish adaptation, step-up/down, referral, transfer, and termination and preserve continuity during each.</w:t>
      </w:r>
    </w:p>
    <w:p>
      <w:pPr>
        <w:pStyle w:val="ListBullet"/>
        <w:keepLines/>
        <w:spacing w:after="70"/>
      </w:pPr>
      <w:r>
        <w:rPr>
          <w:rFonts w:ascii="Liberation Sans" w:hAnsi="Liberation Sans"/>
          <w:color w:val="1E2D38"/>
          <w:sz w:val="18"/>
        </w:rPr>
        <w:t>[ ] I can respond to a failed handoff or administrative interruption without treating a list or payer decision as completed care.</w:t>
      </w:r>
    </w:p>
    <w:p>
      <w:pPr>
        <w:pStyle w:val="ListBullet"/>
        <w:keepLines/>
        <w:spacing w:after="70"/>
      </w:pPr>
      <w:r>
        <w:rPr>
          <w:rFonts w:ascii="Liberation Sans" w:hAnsi="Liberation Sans"/>
          <w:color w:val="1E2D38"/>
          <w:sz w:val="18"/>
        </w:rPr>
        <w:t>[ ] I can conduct termination with criteria, gains review, remaining needs, maintenance, early warnings, supports, follow-up, re-entry, and documentation.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ADVANCEMENT RULE  </w:t>
            </w:r>
            <w:r>
              <w:rPr>
                <w:rFonts w:ascii="Liberation Sans" w:hAnsi="Liberation Sans"/>
                <w:color w:val="1E2D38"/>
                <w:sz w:val="18"/>
              </w:rPr>
              <w:t>Before moving to the Workbook 10 candidate bank, review every missed or low-confidence item, complete the relevant evaluation/revision/continuity record, and state a transferable decision rule. A raw score alone does not establish readiness.</w:t>
            </w:r>
          </w:p>
        </w:tc>
      </w:tr>
    </w:tbl>
    <w:p>
      <w:pPr>
        <w:spacing w:after="20"/>
      </w:pPr>
    </w:p>
    <w:p>
      <w:pPr>
        <w:pStyle w:val="Heading2"/>
        <w:pageBreakBefore w:val="0"/>
      </w:pPr>
      <w:r>
        <w:t>My Workbook 10 Action Plan</w:t>
      </w:r>
    </w:p>
    <w:tbl>
      <w:tblPr>
        <w:tblW w:type="dxa" w:w="10560"/>
        <w:jc w:val="left"/>
        <w:tblLayout w:type="fixed"/>
        <w:tblLook w:firstColumn="1" w:firstRow="1" w:lastColumn="0" w:lastRow="0" w:noHBand="0" w:noVBand="1" w:val="04A0"/>
        <w:tblInd w:w="0" w:type="dxa"/>
      </w:tblPr>
      <w:tblGrid>
        <w:gridCol w:w="3900"/>
        <w:gridCol w:w="6660"/>
      </w:tblGrid>
      <w:tr>
        <w:trPr>
          <w:tblHeader w:val="true"/>
          <w:cantSplit/>
        </w:trPr>
        <w:tc>
          <w:tcPr>
            <w:tcW w:type="dxa" w:w="39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6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Priority evaluation or continuity skill</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Evidence from my work</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Error code</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Repair activity</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Consultation / source to review</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Next practice date</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r>
        <w:trPr>
          <w:cantSplit/>
        </w:trPr>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7"/>
              </w:rPr>
              <w:t>Result / new rule</w:t>
            </w:r>
          </w:p>
        </w:tc>
        <w:tc>
          <w:tcPr>
            <w:tcW w:type="dxa" w:w="66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____________________________________________________________</w:t>
            </w:r>
          </w:p>
        </w:tc>
      </w:tr>
    </w:tbl>
    <w:p>
      <w:pPr>
        <w:spacing w:after="20"/>
      </w:pPr>
    </w:p>
    <w:p>
      <w:pPr>
        <w:pStyle w:val="Heading1"/>
        <w:pageBreakBefore w:val="0"/>
      </w:pPr>
      <w:r>
        <w:t>Workbook 10 Source, Ethics, and Safety Notes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EDUCATIONAL USE  </w:t>
            </w:r>
            <w:r>
              <w:rPr>
                <w:rFonts w:ascii="Liberation Sans" w:hAnsi="Liberation Sans"/>
                <w:color w:val="1E2D38"/>
                <w:sz w:val="18"/>
              </w:rPr>
              <w:t>This workbook is exam preparation. It does not provide legal advice, psychotherapy, diagnosis, treatment, supervision, emergency services, measure certification, proprietary scoring guidance, or a substitute for current organizational procedures, professional consultation, or jurisdiction-specific requirements.</w:t>
            </w:r>
          </w:p>
        </w:tc>
      </w:tr>
    </w:tbl>
    <w:p>
      <w:pPr>
        <w:spacing w:after="20"/>
      </w:pPr>
    </w:p>
    <w:p>
      <w:pPr>
        <w:pStyle w:val="Heading2"/>
        <w:pageBreakBefore w:val="0"/>
      </w:pPr>
      <w:r>
        <w:t>Authoritative and Practice Sources</w:t>
      </w:r>
    </w:p>
    <w:p>
      <w:pPr>
        <w:pStyle w:val="ListBullet"/>
        <w:keepLines/>
        <w:spacing w:after="30" w:line="252" w:lineRule="auto"/>
      </w:pPr>
      <w:r>
        <w:rPr>
          <w:rFonts w:ascii="Liberation Sans" w:hAnsi="Liberation Sans"/>
          <w:color w:val="1E2D38"/>
          <w:sz w:val="17"/>
        </w:rPr>
        <w:t>Association of Marital &amp; Family Therapy Regulatory Boards (AMFTRB). Current Handbook for Candidates, Exam Reference, and corrected examination content outline. Verify the current official edition and correction notices before publication or study.</w:t>
      </w:r>
    </w:p>
    <w:p>
      <w:pPr>
        <w:pStyle w:val="ListBullet"/>
        <w:keepLines/>
        <w:spacing w:after="30" w:line="252" w:lineRule="auto"/>
      </w:pPr>
      <w:r>
        <w:rPr>
          <w:rFonts w:ascii="Liberation Sans" w:hAnsi="Liberation Sans"/>
          <w:color w:val="1E2D38"/>
          <w:sz w:val="17"/>
        </w:rPr>
        <w:t>American Association for Marriage and Family Therapy (AAMFT). Revised Code of Ethics, effective January 1, 2026. Apply with controlling law, regulation, licensing-board guidance, and organizational requirements.</w:t>
      </w:r>
    </w:p>
    <w:p>
      <w:pPr>
        <w:pStyle w:val="ListBullet"/>
        <w:keepLines/>
        <w:spacing w:after="30" w:line="252" w:lineRule="auto"/>
      </w:pPr>
      <w:r>
        <w:rPr>
          <w:rFonts w:ascii="Liberation Sans" w:hAnsi="Liberation Sans"/>
          <w:color w:val="1E2D38"/>
          <w:sz w:val="17"/>
        </w:rPr>
        <w:t>American Psychological Association (APA). Evidence-Based Practice in Psychology policy and current professional-practice resources integrating best available research, clinical expertise, and client characteristics, culture, and preferences.</w:t>
      </w:r>
    </w:p>
    <w:p>
      <w:pPr>
        <w:pStyle w:val="ListBullet"/>
        <w:keepLines/>
        <w:spacing w:after="30" w:line="252" w:lineRule="auto"/>
      </w:pPr>
      <w:r>
        <w:rPr>
          <w:rFonts w:ascii="Liberation Sans" w:hAnsi="Liberation Sans"/>
          <w:color w:val="1E2D38"/>
          <w:sz w:val="17"/>
        </w:rPr>
        <w:t>Substance Abuse and Mental Health Services Administration (SAMHSA). Current measurement-based-care and quality-measurement resources for behavioral health settings.</w:t>
      </w:r>
    </w:p>
    <w:p>
      <w:pPr>
        <w:pStyle w:val="ListBullet"/>
        <w:keepLines/>
        <w:spacing w:after="30" w:line="252" w:lineRule="auto"/>
      </w:pPr>
      <w:r>
        <w:rPr>
          <w:rFonts w:ascii="Liberation Sans" w:hAnsi="Liberation Sans"/>
          <w:color w:val="1E2D38"/>
          <w:sz w:val="17"/>
        </w:rPr>
        <w:t>Current peer-reviewed measurement, psychotherapy outcome, alliance, deterioration, dropout, implementation, research-method, culturally responsive assessment, and systemic-practice literature appropriate to the specific teaching claim.</w:t>
      </w:r>
    </w:p>
    <w:p>
      <w:pPr>
        <w:pStyle w:val="ListBullet"/>
        <w:keepLines/>
        <w:spacing w:after="30" w:line="252" w:lineRule="auto"/>
      </w:pPr>
      <w:r>
        <w:rPr>
          <w:rFonts w:ascii="Liberation Sans" w:hAnsi="Liberation Sans"/>
          <w:color w:val="1E2D38"/>
          <w:sz w:val="17"/>
        </w:rPr>
        <w:t>Current licensing-jurisdiction statutes, regulations, board guidance, consent/confidentiality and records rules, payer and organizational policies, termination and transfer requirements, and local emergency and referral resources.</w:t>
      </w:r>
    </w:p>
    <w:p>
      <w:pPr>
        <w:pStyle w:val="Heading2"/>
        <w:pageBreakBefore w:val="0"/>
      </w:pPr>
      <w:r>
        <w:t>Source-Control Rules</w:t>
      </w:r>
    </w:p>
    <w:p>
      <w:pPr>
        <w:pStyle w:val="ListBullet"/>
        <w:keepLines/>
        <w:spacing w:after="30" w:line="252" w:lineRule="auto"/>
      </w:pPr>
      <w:r>
        <w:rPr>
          <w:rFonts w:ascii="Liberation Sans" w:hAnsi="Liberation Sans"/>
          <w:color w:val="1E2D38"/>
          <w:sz w:val="17"/>
        </w:rPr>
        <w:t>Use the current corrected official AMFTRB outline when validating domain, task, knowledge, scoring, or administration claims.</w:t>
      </w:r>
    </w:p>
    <w:p>
      <w:pPr>
        <w:pStyle w:val="ListBullet"/>
        <w:keepLines/>
        <w:spacing w:after="30" w:line="252" w:lineRule="auto"/>
      </w:pPr>
      <w:r>
        <w:rPr>
          <w:rFonts w:ascii="Liberation Sans" w:hAnsi="Liberation Sans"/>
          <w:color w:val="1E2D38"/>
          <w:sz w:val="17"/>
        </w:rPr>
        <w:t>Use current effective ethics and jurisdictional authority. Do not present one association’s code, one payer rule, or one state’s law as a universal legal rule.</w:t>
      </w:r>
    </w:p>
    <w:p>
      <w:pPr>
        <w:pStyle w:val="ListBullet"/>
        <w:keepLines/>
        <w:spacing w:after="30" w:line="252" w:lineRule="auto"/>
      </w:pPr>
      <w:r>
        <w:rPr>
          <w:rFonts w:ascii="Liberation Sans" w:hAnsi="Liberation Sans"/>
          <w:color w:val="1E2D38"/>
          <w:sz w:val="17"/>
        </w:rPr>
        <w:t>Use measures only within training, purpose, language, accessibility, psychometric, licensing, and intellectual-property limits; do not treat scores as self-interpreting.</w:t>
      </w:r>
    </w:p>
    <w:p>
      <w:pPr>
        <w:pStyle w:val="ListBullet"/>
        <w:keepLines/>
        <w:spacing w:after="30" w:line="252" w:lineRule="auto"/>
      </w:pPr>
      <w:r>
        <w:rPr>
          <w:rFonts w:ascii="Liberation Sans" w:hAnsi="Liberation Sans"/>
          <w:color w:val="1E2D38"/>
          <w:sz w:val="17"/>
        </w:rPr>
        <w:t>Appraise evidence by the actual clinical question and integrate it with expertise, client-system characteristics, culture, preferences, feasibility, benefits, burdens, and harms.</w:t>
      </w:r>
    </w:p>
    <w:p>
      <w:pPr>
        <w:pStyle w:val="ListBullet"/>
        <w:keepLines/>
        <w:spacing w:after="30" w:line="252" w:lineRule="auto"/>
      </w:pPr>
      <w:r>
        <w:rPr>
          <w:rFonts w:ascii="Liberation Sans" w:hAnsi="Liberation Sans"/>
          <w:color w:val="1E2D38"/>
          <w:sz w:val="17"/>
        </w:rPr>
        <w:t>Review danger, deterioration, abuse, coercion, neglect, medical/psychiatric instability, records, consent, confidentiality, termination, transfer, telepractice, and emergency content whenever authoritative guidance changes.</w:t>
      </w:r>
    </w:p>
    <w:p>
      <w:pPr>
        <w:pStyle w:val="ListBullet"/>
        <w:keepLines/>
        <w:spacing w:after="30" w:line="252" w:lineRule="auto"/>
      </w:pPr>
      <w:r>
        <w:rPr>
          <w:rFonts w:ascii="Liberation Sans" w:hAnsi="Liberation Sans"/>
          <w:color w:val="1E2D38"/>
          <w:sz w:val="17"/>
        </w:rPr>
        <w:t>Do not reproduce, solicit, purchase, or reverse-engineer live, recalled, proprietary, or confidential examination items.</w:t>
      </w:r>
    </w:p>
    <w:p>
      <w:pPr>
        <w:pStyle w:val="ListBullet"/>
        <w:keepLines/>
        <w:spacing w:after="30" w:line="252" w:lineRule="auto"/>
      </w:pPr>
      <w:r>
        <w:rPr>
          <w:rFonts w:ascii="Liberation Sans" w:hAnsi="Liberation Sans"/>
          <w:color w:val="1E2D38"/>
          <w:sz w:val="17"/>
        </w:rPr>
        <w:t>This workbook is licensed for the learner’s personal study; copying or distributing protected assessment content is not permitted.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OFFICIAL-SOURCE DISCLAIMER  </w:t>
            </w:r>
            <w:r>
              <w:rPr>
                <w:rFonts w:ascii="Liberation Sans" w:hAnsi="Liberation Sans"/>
                <w:color w:val="1E2D38"/>
                <w:sz w:val="18"/>
              </w:rPr>
              <w:t>CTA is an independent educational resource and is not affiliated with or endorsed by AMFTRB, PTC, Prometric, AAMFT, APA, SAMHSA, or any licensing board. Examination specifications, research and measurement guidance, ethical standards, and jurisdictional requirements can change. Participation does not guarantee passage. This program provides no CE credit.</w:t>
            </w:r>
          </w:p>
        </w:tc>
      </w:tr>
    </w:tbl>
    <w:p>
      <w:pPr>
        <w:spacing w:after="20"/>
      </w:pPr>
    </w:p>
    <w:p>
      <w:pPr>
        <w:pStyle w:val="Heading1"/>
        <w:pageBreakBefore w:val="0"/>
      </w:pPr>
      <w:r>
        <w:t>Workbook 10 Completion and Reflection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FINAL SELF-CHECK  </w:t>
            </w:r>
            <w:r>
              <w:rPr>
                <w:rFonts w:ascii="Liberation Sans" w:hAnsi="Liberation Sans"/>
                <w:color w:val="1E2D38"/>
                <w:sz w:val="18"/>
              </w:rPr>
              <w:t>Before signing, name the signal most likely to change your current plan, the evidence-appraisal error you are most likely to make, and the continuity step you must complete before calling a referral, transfer, or ending finished.</w:t>
            </w:r>
          </w:p>
        </w:tc>
      </w:tr>
    </w:tbl>
    <w:p>
      <w:pPr>
        <w:spacing w:after="20"/>
      </w:pPr>
    </w:p>
    <w:tbl>
      <w:tblPr>
        <w:tblW w:type="dxa" w:w="10560"/>
        <w:jc w:val="left"/>
        <w:tblLayout w:type="fixed"/>
        <w:tblLook w:firstColumn="1" w:firstRow="1" w:lastColumn="0" w:lastRow="0" w:noHBand="0" w:noVBand="1" w:val="04A0"/>
        <w:tblInd w:w="0" w:type="dxa"/>
      </w:tblPr>
      <w:tblGrid>
        <w:gridCol w:w="4700"/>
        <w:gridCol w:w="5860"/>
      </w:tblGrid>
      <w:tr>
        <w:trPr>
          <w:tblHeader w:val="true"/>
          <w:cantSplit/>
        </w:trPr>
        <w:tc>
          <w:tcPr>
            <w:tcW w:type="dxa" w:w="4700"/>
            <w:shd w:fill="12385B"/>
            <w:tcMar>
              <w:top w:w="95" w:type="dxa"/>
              <w:start w:w="120" w:type="dxa"/>
              <w:bottom w:w="95" w:type="dxa"/>
              <w:end w:w="120" w:type="dxa"/>
            </w:tcMar>
            <w:vAlign w:val="center"/>
          </w:tcPr>
          <w:p>
            <w:pPr>
              <w:spacing w:after="0"/>
            </w:pPr>
            <w:r/>
            <w:r>
              <w:rPr>
                <w:rFonts w:ascii="Liberation Sans" w:hAnsi="Liberation Sans"/>
                <w:b/>
                <w:color w:val="FFFFFF"/>
                <w:sz w:val="17"/>
              </w:rPr>
              <w:t>Reflection prompt</w:t>
            </w:r>
          </w:p>
        </w:tc>
        <w:tc>
          <w:tcPr>
            <w:tcW w:type="dxa" w:w="5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strongest progress-evaluation rule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An alliance, function, or safety signal I will assess sooner</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 research or change-score claim I will qualify more carefully</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The nonresponse question I most often forget to ask</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The transition or termination safeguard I will document more clearly</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next deliberate-practice case and date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bl>
    <w:p>
      <w:pPr>
        <w:spacing w:after="20"/>
      </w:pPr>
    </w:p>
    <w:p>
      <w:pPr>
        <w:pStyle w:val="Heading2"/>
        <w:keepNext/>
        <w:pageBreakBefore w:val="0"/>
      </w:pPr>
      <w:r>
        <w:t>Completion Attestation</w:t>
      </w:r>
    </w:p>
    <w:p>
      <w:pPr>
        <w:keepNext/>
        <w:spacing w:after="90"/>
      </w:pPr>
      <w:r>
        <w:rPr>
          <w:rFonts w:ascii="Liberation Sans" w:hAnsi="Liberation Sans"/>
          <w:i w:val="0"/>
          <w:color w:val="1E2D38"/>
          <w:sz w:val="18"/>
        </w:rPr>
        <w:t>Learner name: ____________________________________     Date completed: ____________________</w:t>
      </w:r>
    </w:p>
    <w:p>
      <w:pPr>
        <w:keepNext/>
        <w:spacing w:after="90"/>
      </w:pPr>
      <w:r>
        <w:rPr>
          <w:rFonts w:ascii="Liberation Sans" w:hAnsi="Liberation Sans"/>
          <w:i w:val="0"/>
          <w:color w:val="1E2D38"/>
          <w:sz w:val="18"/>
        </w:rPr>
        <w:t>Workbook 10 remediation completed:  Yes / Not yet     Ready to advance:  Yes / Not yet</w:t>
      </w:r>
    </w:p>
    <w:p>
      <w:pPr>
        <w:spacing w:after="90"/>
      </w:pPr>
      <w:r>
        <w:rPr>
          <w:rFonts w:ascii="Liberation Sans" w:hAnsi="Liberation Sans"/>
          <w:i w:val="0"/>
          <w:color w:val="1E2D38"/>
          <w:sz w:val="18"/>
        </w:rPr>
        <w:t>Signature / initials: ______________________________________________</w:t>
      </w:r>
    </w:p>
    <w:sectPr w:rsidR="00883110" w:rsidSect="00034616">
      <w:headerReference w:type="even" r:id="rId9"/>
      <w:headerReference w:type="default" r:id="rId10"/>
      <w:footerReference w:type="even" r:id="rId11"/>
      <w:footerReference w:type="default" r:id="rId12"/>
      <w:headerReference w:type="first" r:id="rId13"/>
      <w:footerReference w:type="first" r:id="rId14"/>
      <w:pgSz w:w="12240" w:h="15840"/>
      <w:pgMar w:top="691" w:right="840" w:bottom="691" w:left="840" w:header="259" w:footer="3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6CB36" w14:textId="77777777" w:rsidR="001C74BE" w:rsidRDefault="001C74BE">
      <w:pPr>
        <w:spacing w:after="0" w:line="240" w:lineRule="auto"/>
      </w:pPr>
      <w:r>
        <w:separator/>
      </w:r>
    </w:p>
  </w:endnote>
  <w:endnote w:type="continuationSeparator" w:id="0">
    <w:p w14:paraId="4E904C30" w14:textId="77777777" w:rsidR="001C74BE" w:rsidRDefault="001C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59163" w14:textId="77777777" w:rsidR="00883110" w:rsidRDefault="00883110">
    <w:pPr>
      <w:pStyle w:val="Footer"/>
      <w:jc w:val="center"/>
    </w:pPr>
    <w:r>
      <w:rPr>
        <w:rFonts w:ascii="Liberation Sans" w:hAnsi="Liberation Sans"/>
        <w:color w:val="5A6872"/>
        <w:sz w:val="16"/>
      </w:rPr>
      <w:fldChar w:fldCharType="begin"/>
      <w:instrText xml:space="preserve">PAGE</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AAF8A" w14:textId="77777777" w:rsidR="00883110" w:rsidRDefault="001C74BE">
    <w:pPr>
      <w:spacing w:after="0" w:line="240" w:lineRule="auto"/>
      <w:jc w:val="center"/>
    </w:pPr>
    <w:r>
      <w:rPr>
        <w:rFonts w:ascii="Liberation Sans" w:hAnsi="Liberation Sans"/>
        <w:color w:val="5A6872"/>
        <w:sz w:val="16"/>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45DC8" w14:textId="77777777" w:rsidR="00883110" w:rsidRDefault="0088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6D5C4" w14:textId="77777777" w:rsidR="001C74BE" w:rsidRDefault="001C74BE">
      <w:pPr>
        <w:spacing w:after="0" w:line="240" w:lineRule="auto"/>
      </w:pPr>
      <w:r>
        <w:separator/>
      </w:r>
    </w:p>
  </w:footnote>
  <w:footnote w:type="continuationSeparator" w:id="0">
    <w:p w14:paraId="54C310C4" w14:textId="77777777" w:rsidR="001C74BE" w:rsidRDefault="001C7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8B261" w14:textId="77777777" w:rsidR="00883110" w:rsidRDefault="00883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54474" w14:textId="77777777" w:rsidR="00883110" w:rsidRDefault="001C74BE">
    <w:pPr>
      <w:spacing w:after="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BD973" w14:textId="77777777" w:rsidR="00883110" w:rsidRDefault="00883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861081">
    <w:abstractNumId w:val="8"/>
  </w:num>
  <w:num w:numId="2" w16cid:durableId="1827890650">
    <w:abstractNumId w:val="6"/>
  </w:num>
  <w:num w:numId="3" w16cid:durableId="476915223">
    <w:abstractNumId w:val="5"/>
  </w:num>
  <w:num w:numId="4" w16cid:durableId="1881165114">
    <w:abstractNumId w:val="4"/>
  </w:num>
  <w:num w:numId="5" w16cid:durableId="1014766728">
    <w:abstractNumId w:val="7"/>
  </w:num>
  <w:num w:numId="6" w16cid:durableId="1454905029">
    <w:abstractNumId w:val="3"/>
  </w:num>
  <w:num w:numId="7" w16cid:durableId="402873195">
    <w:abstractNumId w:val="2"/>
  </w:num>
  <w:num w:numId="8" w16cid:durableId="372196563">
    <w:abstractNumId w:val="1"/>
  </w:num>
  <w:num w:numId="9" w16cid:durableId="268052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445"/>
    <w:rsid w:val="0015074B"/>
    <w:rsid w:val="001C74BE"/>
    <w:rsid w:val="0029639D"/>
    <w:rsid w:val="00326F90"/>
    <w:rsid w:val="00883110"/>
    <w:rsid w:val="00957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2C0D"/>
  <w14:defaultImageDpi w14:val="300"/>
  <w15:docId w15:val="{A425ABDA-2FA5-2442-97EC-B65F264B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Liberation Sans" w:eastAsia="Liberation Sans" w:hAnsi="Liberation Sans"/>
      <w:color w:val="1E2D38"/>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238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ind w:left="547" w:hanging="274"/>
      <w:contextualSpacing/>
      <w:jc w:val="left"/>
    </w:pPr>
    <w:rPr>
      <w:rFonts w:ascii="Liberation Sans" w:hAnsi="Liberation Sans"/>
      <w:color w:val="1E2D38"/>
      <w:sz w:val="18"/>
    </w:rPr>
  </w:style>
  <w:style w:type="paragraph" w:styleId="ListBullet2">
    <w:name w:val="List Bullet 2"/>
    <w:basedOn w:val="Normal"/>
    <w:uiPriority w:val="99"/>
    <w:unhideWhenUsed/>
    <w:rsid w:val="00326F90"/>
    <w:pPr>
      <w:numPr>
        <w:numId w:val="2"/>
      </w:numPr>
      <w:spacing w:after="70" w:line="269" w:lineRule="auto"/>
      <w:ind w:left="936" w:hanging="274"/>
      <w:contextualSpacing/>
      <w:jc w:val="left"/>
    </w:pPr>
    <w:rPr>
      <w:rFonts w:ascii="Liberation Sans" w:hAnsi="Liberation Sans"/>
      <w:color w:val="1E2D38"/>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ind w:left="547" w:hanging="274"/>
      <w:contextualSpacing/>
      <w:jc w:val="left"/>
    </w:pPr>
    <w:rPr>
      <w:rFonts w:ascii="Liberation Sans" w:hAnsi="Liberation Sans"/>
      <w:color w:val="1E2D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5911</Words>
  <Characters>41970</Characters>
  <Application>Microsoft Office Word</Application>
  <DocSecurity>0</DocSecurity>
  <Lines>892</Lines>
  <Paragraphs>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10 Student Workbook</dc:title>
  <dc:subject>Progress evaluation, research literacy, outcome and alliance monitoring, plan revision, termination, continuity, exam preparation only, no CE credit</dc:subject>
  <dc:creator>Clinical Training &amp; Supervision Academy</dc:creator>
  <cp:keywords>LMFT, AMFTRB, progress evaluation, research literacy, outcome monitoring, plan revision, termination, continuity, exam preparation</cp:keywords>
  <dc:description>Exam preparation program — No CE Credit</dc:description>
  <cp:lastModifiedBy>Candice Fuimaono</cp:lastModifiedBy>
  <cp:revision>2</cp:revision>
  <dcterms:created xsi:type="dcterms:W3CDTF">2026-07-30T14:08:00Z</dcterms:created>
  <dcterms:modified xsi:type="dcterms:W3CDTF">2026-07-30T14:08:00Z</dcterms:modified>
  <cp:category/>
</cp:coreProperties>
</file>