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069080" cy="1352694"/>
            <wp:docPr id="1" name="Picture 1" descr="Clinical Training and Supervision Academy logo" title="CTA Logo"/>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69080" cy="1352694"/>
                    </a:xfrm>
                    <a:prstGeom prst="rect"/>
                  </pic:spPr>
                </pic:pic>
              </a:graphicData>
            </a:graphic>
          </wp:inline>
        </w:drawing>
      </w:r>
    </w:p>
    <w:p>
      <w:pPr>
        <w:keepNext w:val="0"/>
        <w:spacing w:before="0" w:after="0" w:line="247" w:lineRule="auto"/>
        <w:jc w:val="center"/>
      </w:pPr>
      <w:r>
        <w:rPr>
          <w:rFonts w:ascii="Liberation Sans" w:hAnsi="Liberation Sans"/>
          <w:b/>
          <w:i w:val="0"/>
          <w:color w:val="193A63"/>
          <w:sz w:val="31"/>
        </w:rPr>
        <w:t>CTA LMFT AMFTRB</w:t>
      </w:r>
    </w:p>
    <w:p>
      <w:pPr>
        <w:keepNext w:val="0"/>
        <w:spacing w:before="0" w:after="80" w:line="247" w:lineRule="auto"/>
        <w:jc w:val="center"/>
      </w:pPr>
      <w:r>
        <w:rPr>
          <w:rFonts w:ascii="Liberation Sans" w:hAnsi="Liberation Sans"/>
          <w:b/>
          <w:i w:val="0"/>
          <w:color w:val="193A63"/>
          <w:sz w:val="31"/>
        </w:rPr>
        <w:t>NATIONAL EXAM PREPARATION PROGRAM</w:t>
      </w:r>
    </w:p>
    <w:p>
      <w:pPr>
        <w:keepNext w:val="0"/>
        <w:spacing w:before="0" w:after="0" w:line="247" w:lineRule="auto"/>
        <w:jc w:val="center"/>
      </w:pPr>
      <w:r>
        <w:rPr>
          <w:rFonts w:ascii="Liberation Sans" w:hAnsi="Liberation Sans"/>
          <w:b/>
          <w:i w:val="0"/>
          <w:color w:val="009C95"/>
          <w:sz w:val="25"/>
        </w:rPr>
        <w:t>Student Workbook</w:t>
      </w:r>
    </w:p>
    <w:p>
      <w:pPr>
        <w:keepNext w:val="0"/>
        <w:spacing w:before="0" w:after="160" w:line="247" w:lineRule="auto"/>
        <w:jc w:val="center"/>
      </w:pPr>
      <w:r>
        <w:rPr>
          <w:rFonts w:ascii="Liberation Sans" w:hAnsi="Liberation Sans"/>
          <w:b/>
          <w:i w:val="0"/>
          <w:color w:val="009C95"/>
          <w:sz w:val="25"/>
        </w:rPr>
        <w:t>CTA LMFT AMFTRB Workbook 4</w:t>
      </w:r>
    </w:p>
    <w:p>
      <w:pPr>
        <w:keepNext w:val="0"/>
        <w:spacing w:before="0" w:after="80" w:line="247" w:lineRule="auto"/>
        <w:jc w:val="center"/>
      </w:pPr>
      <w:r>
        <w:rPr>
          <w:rFonts w:ascii="Liberation Sans" w:hAnsi="Liberation Sans"/>
          <w:b/>
          <w:i w:val="0"/>
          <w:color w:val="193A63"/>
          <w:sz w:val="36"/>
        </w:rPr>
        <w:t>Diagnosis, Differential Diagnosis, Instruments,</w:t>
        <w:br/>
        <w:t>and Systemic Case Formulation</w:t>
      </w:r>
    </w:p>
    <w:p>
      <w:pPr>
        <w:keepNext w:val="0"/>
        <w:spacing w:before="0" w:after="240" w:line="247" w:lineRule="auto"/>
        <w:jc w:val="center"/>
      </w:pPr>
      <w:r>
        <w:rPr>
          <w:rFonts w:ascii="Liberation Sans" w:hAnsi="Liberation Sans"/>
          <w:b w:val="0"/>
          <w:i/>
          <w:color w:val="64748B"/>
          <w:sz w:val="21"/>
        </w:rPr>
        <w:t>How to move from symptom data to a defensible, revisable systemic formulation; compare competing explanations; use instruments responsibly; and select collaboration, referral, or next-step decisions without premature closure.</w:t>
      </w:r>
    </w:p>
    <w:p>
      <w:pPr>
        <w:keepNext w:val="0"/>
        <w:spacing w:before="0" w:after="0" w:line="247" w:lineRule="auto"/>
        <w:jc w:val="center"/>
      </w:pPr>
      <w:r>
        <w:rPr>
          <w:rFonts w:ascii="Liberation Sans" w:hAnsi="Liberation Sans"/>
          <w:b/>
          <w:i w:val="0"/>
          <w:color w:val="193A63"/>
          <w:sz w:val="21"/>
        </w:rPr>
        <w:t>Version 1.0 - July 2026</w:t>
      </w:r>
    </w:p>
    <w:p>
      <w:pPr>
        <w:keepNext w:val="0"/>
        <w:spacing w:before="0" w:after="0" w:line="247" w:lineRule="auto"/>
        <w:jc w:val="center"/>
      </w:pPr>
      <w:r>
        <w:rPr>
          <w:rFonts w:ascii="Liberation Sans" w:hAnsi="Liberation Sans"/>
          <w:b/>
          <w:i w:val="0"/>
          <w:color w:val="009C95"/>
          <w:sz w:val="21"/>
        </w:rPr>
        <w:t>Clinical Training &amp; Supervision Academy</w:t>
      </w:r>
    </w:p>
    <w:p>
      <w:pPr>
        <w:keepNext w:val="0"/>
        <w:spacing w:before="0" w:after="0" w:line="247" w:lineRule="auto"/>
        <w:jc w:val="center"/>
      </w:pPr>
      <w:r>
        <w:rPr>
          <w:rFonts w:ascii="Liberation Sans" w:hAnsi="Liberation Sans"/>
          <w:b w:val="0"/>
          <w:i w:val="0"/>
          <w:color w:val="64748B"/>
          <w:sz w:val="19"/>
        </w:rPr>
        <w:t>Editable Word workbook | Self-paced study | Exam preparation | No CE Credit</w:t>
      </w:r>
    </w:p>
    <w:p>
      <w:r>
        <w:br w:type="page"/>
      </w:r>
    </w:p>
    <w:p>
      <w:pPr>
        <w:keepNext/>
        <w:spacing w:before="140" w:after="80" w:line="247" w:lineRule="auto"/>
        <w:jc w:val="left"/>
      </w:pPr>
      <w:r>
        <w:rPr>
          <w:rFonts w:ascii="Liberation Sans" w:hAnsi="Liberation Sans"/>
          <w:b/>
          <w:i w:val="0"/>
          <w:color w:val="193A63"/>
          <w:sz w:val="32"/>
        </w:rPr>
        <w:t>How to Use This Workbook</w:t>
      </w:r>
    </w:p>
    <w:p>
      <w:pPr>
        <w:keepNext w:val="0"/>
        <w:spacing w:before="0" w:after="100" w:line="247" w:lineRule="auto"/>
        <w:jc w:val="left"/>
      </w:pPr>
      <w:r>
        <w:rPr>
          <w:rFonts w:ascii="Liberation Sans" w:hAnsi="Liberation Sans"/>
          <w:b w:val="0"/>
          <w:i w:val="0"/>
          <w:color w:val="1F2937"/>
          <w:sz w:val="18"/>
        </w:rPr>
        <w:t>Workbook 4 teaches diagnosis as disciplined reasoning rather than fast label selection. The strongest AMFTRB response organizes the pattern, timeline, threshold, impairment, exclusions, and competing explanations; uses instruments within their purpose and limits; integrates medical, developmental, cultural, relational, and contextual factors; and states what the evidence supports now, what remains uncertain, and what professional action follows.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LEARN -&gt; APPLY -&gt; ANALYZE -&gt; REPAIR</w:t>
              <w:br/>
            </w:r>
            <w:r>
              <w:rPr>
                <w:rFonts w:ascii="Liberation Sans" w:hAnsi="Liberation Sans"/>
                <w:b w:val="0"/>
                <w:i w:val="0"/>
                <w:color w:val="1F2937"/>
                <w:sz w:val="17"/>
              </w:rPr>
              <w:t>Study one chapter at a time. Complete each reasoning tool before reading the model reasoning. When you miss a question, identify whether the error involved premature closure, single-symptom reasoning, chronology, threshold, exclusions, differential logic, diagnostic status, instrument misuse, systemic omission, or delayed referral.</w:t>
            </w:r>
          </w:p>
        </w:tc>
      </w:tr>
    </w:tbl>
    <w:p>
      <w:pPr>
        <w:spacing w:after="0"/>
      </w:pP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24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Current AMFTRB Alignment</w:t>
            </w:r>
          </w:p>
        </w:tc>
        <w:tc>
          <w:tcPr>
            <w:tcW w:type="dxa" w:w="712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Workbook 4 Emphasis</w:t>
            </w:r>
          </w:p>
        </w:tc>
      </w:tr>
      <w:tr>
        <w:trPr>
          <w:cantSplit/>
        </w:trPr>
        <w:tc>
          <w:tcPr>
            <w:tcW w:type="dxa" w:w="324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Domain 2 - Assessing, Hypothesizing, and Diagnosing</w:t>
            </w:r>
          </w:p>
        </w:tc>
        <w:tc>
          <w:tcPr>
            <w:tcW w:type="dxa" w:w="712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Diagnostic language, chronology, differential diagnosis, instruments, systemic hypotheses, collaboration, referral, and revision.</w:t>
            </w:r>
          </w:p>
        </w:tc>
      </w:tr>
      <w:tr>
        <w:trPr>
          <w:cantSplit/>
        </w:trPr>
        <w:tc>
          <w:tcPr>
            <w:tcW w:type="dxa" w:w="324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Domain 3 - Designing and Conducting Treatment</w:t>
            </w:r>
          </w:p>
        </w:tc>
        <w:tc>
          <w:tcPr>
            <w:tcW w:type="dxa" w:w="712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Translate assessment findings into treatment priorities without selecting a full treatment model prematurely.</w:t>
            </w:r>
          </w:p>
        </w:tc>
      </w:tr>
      <w:tr>
        <w:trPr>
          <w:cantSplit/>
        </w:trPr>
        <w:tc>
          <w:tcPr>
            <w:tcW w:type="dxa" w:w="324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Domain 5 - Assessing and Managing Crisis Situations</w:t>
            </w:r>
          </w:p>
        </w:tc>
        <w:tc>
          <w:tcPr>
            <w:tcW w:type="dxa" w:w="712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Recognize medical, substance-related, psychotic, nutritional, and safety conditions that change diagnostic sequence or level of evaluation.</w:t>
            </w:r>
          </w:p>
        </w:tc>
      </w:tr>
      <w:tr>
        <w:trPr>
          <w:cantSplit/>
        </w:trPr>
        <w:tc>
          <w:tcPr>
            <w:tcW w:type="dxa" w:w="324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Domain 6 - Maintaining Ethical, Legal, and Professional Standards</w:t>
            </w:r>
          </w:p>
        </w:tc>
        <w:tc>
          <w:tcPr>
            <w:tcW w:type="dxa" w:w="712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Competence, consultation, scope, instrument use, documentation, technology, and professional accountability.</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EXAM CONTENT CONTROL</w:t>
              <w:br/>
            </w:r>
            <w:r>
              <w:rPr>
                <w:rFonts w:ascii="Liberation Sans" w:hAnsi="Liberation Sans"/>
                <w:b w:val="0"/>
                <w:i w:val="0"/>
                <w:color w:val="1F2937"/>
                <w:sz w:val="17"/>
              </w:rPr>
              <w:t>This workbook follows the corrected 2026 AMFTRB examination outline and uses original CTA tools and scenarios. It does not reproduce official sample items, retired practice items, proprietary assessment content, live-exam recall, or released California examination stems.</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F3F4F6"/>
            <w:tcMar>
              <w:top w:w="110" w:type="dxa"/>
              <w:start w:w="130" w:type="dxa"/>
              <w:bottom w:w="110" w:type="dxa"/>
              <w:end w:w="130" w:type="dxa"/>
            </w:tcMar>
          </w:tcPr>
          <w:p>
            <w:pPr>
              <w:spacing w:before="0" w:after="0" w:line="245" w:lineRule="auto"/>
            </w:pPr>
            <w:r>
              <w:rPr>
                <w:rFonts w:ascii="Liberation Sans" w:hAnsi="Liberation Sans"/>
                <w:b/>
                <w:i w:val="0"/>
                <w:color w:val="193A63"/>
                <w:sz w:val="20"/>
              </w:rPr>
              <w:t>EDUCATIONAL USE NOTICE</w:t>
              <w:br/>
            </w:r>
            <w:r>
              <w:rPr>
                <w:rFonts w:ascii="Liberation Sans" w:hAnsi="Liberation Sans"/>
                <w:b w:val="0"/>
                <w:i w:val="0"/>
                <w:color w:val="1F2937"/>
                <w:sz w:val="17"/>
              </w:rPr>
              <w:t>This independent CTA resource is not affiliated with or endorsed by AMFTRB, PTC, Prometric, AAMFT, the American Psychiatric Association, the World Health Organization, or a licensing board. It is an educational exam-preparation workbook, not a diagnostic manual, legal opinion, medical consultation, or substitute for supervision and professional judgment.</w:t>
            </w:r>
          </w:p>
        </w:tc>
      </w:tr>
    </w:tbl>
    <w:p>
      <w:pPr>
        <w:spacing w:after="0"/>
      </w:pPr>
    </w:p>
    <w:p>
      <w:pPr>
        <w:keepNext/>
        <w:spacing w:before="140" w:after="80" w:line="247" w:lineRule="auto"/>
        <w:jc w:val="left"/>
      </w:pPr>
      <w:r>
        <w:rPr>
          <w:rFonts w:ascii="Liberation Sans" w:hAnsi="Liberation Sans"/>
          <w:b/>
          <w:i w:val="0"/>
          <w:color w:val="193A63"/>
          <w:sz w:val="28"/>
        </w:rPr>
        <w:t>Workbook Learning Objectives</w:t>
      </w:r>
    </w:p>
    <w:p>
      <w:pPr>
        <w:pStyle w:val="ListBullet"/>
        <w:spacing w:before="0" w:after="40" w:line="245" w:lineRule="auto"/>
      </w:pPr>
      <w:r>
        <w:rPr>
          <w:rFonts w:ascii="Liberation Sans" w:hAnsi="Liberation Sans"/>
          <w:b w:val="0"/>
          <w:i w:val="0"/>
          <w:color w:val="1F2937"/>
          <w:sz w:val="17"/>
        </w:rPr>
        <w:t>Distinguish symptoms, syndromes, diagnoses, relational/contextual conditions, and systemic hypotheses and explain how each contributes to case formulation.</w:t>
      </w:r>
    </w:p>
    <w:p>
      <w:pPr>
        <w:pStyle w:val="ListBullet"/>
        <w:spacing w:before="0" w:after="40" w:line="245" w:lineRule="auto"/>
      </w:pPr>
      <w:r>
        <w:rPr>
          <w:rFonts w:ascii="Liberation Sans" w:hAnsi="Liberation Sans"/>
          <w:b w:val="0"/>
          <w:i w:val="0"/>
          <w:color w:val="1F2937"/>
          <w:sz w:val="17"/>
        </w:rPr>
        <w:t>Apply pattern, timeline, threshold, impairment, exclusions, alternatives, and diagnostic-status reasoning before selecting a working diagnosis.</w:t>
      </w:r>
    </w:p>
    <w:p>
      <w:pPr>
        <w:pStyle w:val="ListBullet"/>
        <w:spacing w:before="0" w:after="40" w:line="245" w:lineRule="auto"/>
      </w:pPr>
      <w:r>
        <w:rPr>
          <w:rFonts w:ascii="Liberation Sans" w:hAnsi="Liberation Sans"/>
          <w:b w:val="0"/>
          <w:i w:val="0"/>
          <w:color w:val="1F2937"/>
          <w:sz w:val="17"/>
        </w:rPr>
        <w:t>Compare closely competing presentations using chronology, mechanism, baseline, context, cross-setting evidence, and co-occurrence rather than one memorable symptom.</w:t>
      </w:r>
    </w:p>
    <w:p>
      <w:pPr>
        <w:pStyle w:val="ListBullet"/>
        <w:spacing w:before="0" w:after="40" w:line="245" w:lineRule="auto"/>
      </w:pPr>
      <w:r>
        <w:rPr>
          <w:rFonts w:ascii="Liberation Sans" w:hAnsi="Liberation Sans"/>
          <w:b w:val="0"/>
          <w:i w:val="0"/>
          <w:color w:val="1F2937"/>
          <w:sz w:val="17"/>
        </w:rPr>
        <w:t>Select and interpret standardized instruments within purpose, psychometric limits, language/cultural fit, accessibility, professional competence, and scope.</w:t>
      </w:r>
    </w:p>
    <w:p>
      <w:pPr>
        <w:pStyle w:val="ListBullet"/>
        <w:spacing w:before="0" w:after="40" w:line="245" w:lineRule="auto"/>
      </w:pPr>
      <w:r>
        <w:rPr>
          <w:rFonts w:ascii="Liberation Sans" w:hAnsi="Liberation Sans"/>
          <w:b w:val="0"/>
          <w:i w:val="0"/>
          <w:color w:val="1F2937"/>
          <w:sz w:val="17"/>
        </w:rPr>
        <w:t>Integrate medical, neurological, medication, substance, sleep, nutrition, trauma, sexual-functioning, developmental, and contextual factors into differential diagnosis and referral decisions.</w:t>
      </w:r>
    </w:p>
    <w:p>
      <w:pPr>
        <w:pStyle w:val="ListBullet"/>
        <w:spacing w:before="0" w:after="40" w:line="245" w:lineRule="auto"/>
      </w:pPr>
      <w:r>
        <w:rPr>
          <w:rFonts w:ascii="Liberation Sans" w:hAnsi="Liberation Sans"/>
          <w:b w:val="0"/>
          <w:i w:val="0"/>
          <w:color w:val="1F2937"/>
          <w:sz w:val="17"/>
        </w:rPr>
        <w:t>Use working, provisional, rule-out, other specified, unspecified, deferred, and contextual language only at the level of certainty supported by the evidence.</w:t>
      </w:r>
    </w:p>
    <w:p>
      <w:pPr>
        <w:pStyle w:val="ListBullet"/>
        <w:spacing w:before="0" w:after="40" w:line="245" w:lineRule="auto"/>
      </w:pPr>
      <w:r>
        <w:rPr>
          <w:rFonts w:ascii="Liberation Sans" w:hAnsi="Liberation Sans"/>
          <w:b w:val="0"/>
          <w:i w:val="0"/>
          <w:color w:val="1F2937"/>
          <w:sz w:val="17"/>
        </w:rPr>
        <w:t>Write a concise systemic case formulation that integrates diagnostic impression, reciprocal patterns, development, culture/context, strengths, risk, treatment unit, missing data, and next step.</w:t>
      </w:r>
    </w:p>
    <w:p>
      <w:pPr>
        <w:pStyle w:val="ListBullet"/>
        <w:spacing w:before="0" w:after="40" w:line="245" w:lineRule="auto"/>
      </w:pPr>
      <w:r>
        <w:rPr>
          <w:rFonts w:ascii="Liberation Sans" w:hAnsi="Liberation Sans"/>
          <w:b w:val="0"/>
          <w:i w:val="0"/>
          <w:color w:val="1F2937"/>
          <w:sz w:val="17"/>
        </w:rPr>
        <w:t>Select consultation, specialty evaluation, referral, medical/prescriber coordination, or higher-level assessment when diagnostic uncertainty, urgency, scope, or treatment fit requires it, and document the rationale.</w:t>
      </w:r>
    </w:p>
    <w:p>
      <w:pPr>
        <w:keepNext/>
        <w:spacing w:before="140" w:after="80" w:line="247" w:lineRule="auto"/>
        <w:jc w:val="left"/>
      </w:pPr>
      <w:r>
        <w:rPr>
          <w:rFonts w:ascii="Liberation Sans" w:hAnsi="Liberation Sans"/>
          <w:b/>
          <w:i w:val="0"/>
          <w:color w:val="193A63"/>
          <w:sz w:val="28"/>
        </w:rPr>
        <w:t>Workbook Roadmap</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cantSplit/>
          <w:tblHeader w:val="true"/>
        </w:trPr>
        <w:tc>
          <w:tcPr>
            <w:tcW w:type="dxa" w:w="93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Chapter</w:t>
            </w:r>
          </w:p>
        </w:tc>
        <w:tc>
          <w:tcPr>
            <w:tcW w:type="dxa" w:w="684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Focus</w:t>
            </w:r>
          </w:p>
        </w:tc>
        <w:tc>
          <w:tcPr>
            <w:tcW w:type="dxa" w:w="259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Primary Tool</w:t>
            </w:r>
          </w:p>
        </w:tc>
      </w:tr>
      <w:tr>
        <w:trPr>
          <w:cantSplit/>
        </w:trPr>
        <w:tc>
          <w:tcPr>
            <w:tcW w:type="dxa" w:w="936"/>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1</w:t>
            </w:r>
          </w:p>
        </w:tc>
        <w:tc>
          <w:tcPr>
            <w:tcW w:type="dxa" w:w="684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Diagnosis as a Working Systemic Formulation</w:t>
            </w:r>
          </w:p>
        </w:tc>
        <w:tc>
          <w:tcPr>
            <w:tcW w:type="dxa" w:w="2592"/>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DIAGNOSE</w:t>
            </w:r>
          </w:p>
        </w:tc>
      </w:tr>
      <w:tr>
        <w:trPr>
          <w:cantSplit/>
        </w:trPr>
        <w:tc>
          <w:tcPr>
            <w:tcW w:type="dxa" w:w="936"/>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2</w:t>
            </w:r>
          </w:p>
        </w:tc>
        <w:tc>
          <w:tcPr>
            <w:tcW w:type="dxa" w:w="684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Pattern, Timeline, Threshold, and Functional Impact</w:t>
            </w:r>
          </w:p>
        </w:tc>
        <w:tc>
          <w:tcPr>
            <w:tcW w:type="dxa" w:w="2592"/>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PTI</w:t>
            </w:r>
          </w:p>
        </w:tc>
      </w:tr>
      <w:tr>
        <w:trPr>
          <w:cantSplit/>
        </w:trPr>
        <w:tc>
          <w:tcPr>
            <w:tcW w:type="dxa" w:w="936"/>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3</w:t>
            </w:r>
          </w:p>
        </w:tc>
        <w:tc>
          <w:tcPr>
            <w:tcW w:type="dxa" w:w="684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Differential Diagnosis and Exclusion Logic</w:t>
            </w:r>
          </w:p>
        </w:tc>
        <w:tc>
          <w:tcPr>
            <w:tcW w:type="dxa" w:w="2592"/>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DIFF</w:t>
            </w:r>
          </w:p>
        </w:tc>
      </w:tr>
      <w:tr>
        <w:trPr>
          <w:cantSplit/>
        </w:trPr>
        <w:tc>
          <w:tcPr>
            <w:tcW w:type="dxa" w:w="936"/>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4</w:t>
            </w:r>
          </w:p>
        </w:tc>
        <w:tc>
          <w:tcPr>
            <w:tcW w:type="dxa" w:w="684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Standardized Instruments and Diagnostic Confidence</w:t>
            </w:r>
          </w:p>
        </w:tc>
        <w:tc>
          <w:tcPr>
            <w:tcW w:type="dxa" w:w="2592"/>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MEASURE</w:t>
            </w:r>
          </w:p>
        </w:tc>
      </w:tr>
      <w:tr>
        <w:trPr>
          <w:cantSplit/>
        </w:trPr>
        <w:tc>
          <w:tcPr>
            <w:tcW w:type="dxa" w:w="936"/>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5</w:t>
            </w:r>
          </w:p>
        </w:tc>
        <w:tc>
          <w:tcPr>
            <w:tcW w:type="dxa" w:w="684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High-Yield Diagnostic Families and Complex Presentations</w:t>
            </w:r>
          </w:p>
        </w:tc>
        <w:tc>
          <w:tcPr>
            <w:tcW w:type="dxa" w:w="2592"/>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COMPARE</w:t>
            </w:r>
          </w:p>
        </w:tc>
      </w:tr>
      <w:tr>
        <w:trPr>
          <w:cantSplit/>
        </w:trPr>
        <w:tc>
          <w:tcPr>
            <w:tcW w:type="dxa" w:w="936"/>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6</w:t>
            </w:r>
          </w:p>
        </w:tc>
        <w:tc>
          <w:tcPr>
            <w:tcW w:type="dxa" w:w="684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Integrated Systemic Formulation, Collaboration, and Referral</w:t>
            </w:r>
          </w:p>
        </w:tc>
        <w:tc>
          <w:tcPr>
            <w:tcW w:type="dxa" w:w="2592"/>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FORMULATE</w:t>
            </w:r>
          </w:p>
        </w:tc>
      </w:tr>
    </w:tbl>
    <w:p>
      <w:pPr>
        <w:spacing w:after="0"/>
      </w:pPr>
    </w:p>
    <w:p>
      <w:pPr>
        <w:keepNext/>
        <w:spacing w:before="140" w:after="80" w:line="247" w:lineRule="auto"/>
        <w:jc w:val="left"/>
      </w:pPr>
      <w:r>
        <w:rPr>
          <w:rFonts w:ascii="Liberation Sans" w:hAnsi="Liberation Sans"/>
          <w:b/>
          <w:i w:val="0"/>
          <w:color w:val="193A63"/>
          <w:sz w:val="28"/>
        </w:rPr>
        <w:t>High-Yield Distinctions</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664"/>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Do Not Collapse</w:t>
            </w:r>
          </w:p>
        </w:tc>
        <w:tc>
          <w:tcPr>
            <w:tcW w:type="dxa" w:w="7703"/>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Distinction</w:t>
            </w:r>
          </w:p>
        </w:tc>
      </w:tr>
      <w:tr>
        <w:trPr>
          <w:cantSplit/>
        </w:trPr>
        <w:tc>
          <w:tcPr>
            <w:tcW w:type="dxa" w:w="266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Symptom and syndrome</w:t>
            </w:r>
          </w:p>
        </w:tc>
        <w:tc>
          <w:tcPr>
            <w:tcW w:type="dxa" w:w="770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A symptom is one reported or observed feature. A syndrome is a recognizable cluster; neither automatically establishes a specific disorder.</w:t>
            </w:r>
          </w:p>
        </w:tc>
      </w:tr>
      <w:tr>
        <w:trPr>
          <w:cantSplit/>
        </w:trPr>
        <w:tc>
          <w:tcPr>
            <w:tcW w:type="dxa" w:w="266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Diagnosis and systemic formulation</w:t>
            </w:r>
          </w:p>
        </w:tc>
        <w:tc>
          <w:tcPr>
            <w:tcW w:type="dxa" w:w="770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A diagnosis names a clinical pattern. A formulation explains how that pattern interacts with relationships, development, context, strengths, risk, and treatment needs.</w:t>
            </w:r>
          </w:p>
        </w:tc>
      </w:tr>
      <w:tr>
        <w:trPr>
          <w:cantSplit/>
        </w:trPr>
        <w:tc>
          <w:tcPr>
            <w:tcW w:type="dxa" w:w="266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Screening and diagnosis</w:t>
            </w:r>
          </w:p>
        </w:tc>
        <w:tc>
          <w:tcPr>
            <w:tcW w:type="dxa" w:w="770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A screening result estimates concern or need for further evaluation. It does not replace interview, observation, history, exclusions, and professional judgment.</w:t>
            </w:r>
          </w:p>
        </w:tc>
      </w:tr>
      <w:tr>
        <w:trPr>
          <w:cantSplit/>
        </w:trPr>
        <w:tc>
          <w:tcPr>
            <w:tcW w:type="dxa" w:w="266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Provisional and rule-out</w:t>
            </w:r>
          </w:p>
        </w:tc>
        <w:tc>
          <w:tcPr>
            <w:tcW w:type="dxa" w:w="770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Provisional is a supported but not fully confirmed diagnosis. Rule-out is a clinical alternative under consideration, not a final diagnosis.</w:t>
            </w:r>
          </w:p>
        </w:tc>
      </w:tr>
      <w:tr>
        <w:trPr>
          <w:cantSplit/>
        </w:trPr>
        <w:tc>
          <w:tcPr>
            <w:tcW w:type="dxa" w:w="266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Other specified and unspecified</w:t>
            </w:r>
          </w:p>
        </w:tc>
        <w:tc>
          <w:tcPr>
            <w:tcW w:type="dxa" w:w="770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Other specified states why full criteria are not met; unspecified does not state a reason. Use only when the diagnostic system and evidence support the choice.</w:t>
            </w:r>
          </w:p>
        </w:tc>
      </w:tr>
      <w:tr>
        <w:trPr>
          <w:cantSplit/>
        </w:trPr>
        <w:tc>
          <w:tcPr>
            <w:tcW w:type="dxa" w:w="266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Trait and state</w:t>
            </w:r>
          </w:p>
        </w:tc>
        <w:tc>
          <w:tcPr>
            <w:tcW w:type="dxa" w:w="770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Traits are enduring patterns; states are time-limited or episode-related. One intense session does not establish a pervasive personality pattern.</w:t>
            </w:r>
          </w:p>
        </w:tc>
      </w:tr>
      <w:tr>
        <w:trPr>
          <w:cantSplit/>
        </w:trPr>
        <w:tc>
          <w:tcPr>
            <w:tcW w:type="dxa" w:w="266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Culture/context and pathology</w:t>
            </w:r>
          </w:p>
        </w:tc>
        <w:tc>
          <w:tcPr>
            <w:tcW w:type="dxa" w:w="770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Culture, spirituality, discrimination, development, and relational conditions change meaning and access; they are not diagnostic proof by themselves.</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CORE DECISION SEQUENCE</w:t>
              <w:br/>
            </w:r>
            <w:r>
              <w:rPr>
                <w:rFonts w:ascii="Liberation Sans" w:hAnsi="Liberation Sans"/>
                <w:b w:val="0"/>
                <w:i w:val="0"/>
                <w:color w:val="1F2937"/>
                <w:sz w:val="17"/>
              </w:rPr>
              <w:t>What pattern is supported? What is the timeline and baseline? Is threshold and impairment established? What exclusions or alternatives remain? What does the current evidence allow me to call this? How does the pattern operate in the client system? What consultation, referral, or next step follows?</w:t>
            </w:r>
          </w:p>
        </w:tc>
      </w:tr>
    </w:tbl>
    <w:p>
      <w:pPr>
        <w:spacing w:after="0"/>
      </w:pPr>
    </w:p>
    <w:p>
      <w:r>
        <w:br w:type="page"/>
      </w:r>
    </w:p>
    <w:tbl>
      <w:tblPr>
        <w:tblStyle w:val="TableGrid"/>
        <w:tblW w:type="auto" w:w="0"/>
        <w:jc w:val="center"/>
        <w:tblLayout w:type="fixed"/>
        <w:tblLook w:firstColumn="1" w:firstRow="1" w:lastColumn="0" w:lastRow="0" w:noHBand="0" w:noVBand="1" w:val="04A0"/>
      </w:tblPr>
      <w:tblGrid>
        <w:gridCol w:w="10570"/>
      </w:tblGrid>
      <w:tr>
        <w:trPr>
          <w:tblHeader w:val="true"/>
        </w:trPr>
        <w:tc>
          <w:tcPr>
            <w:tcW w:type="dxa" w:w="10570"/>
            <w:shd w:fill="193A63"/>
            <w:tcMar>
              <w:top w:w="120" w:type="dxa"/>
              <w:start w:w="120" w:type="dxa"/>
              <w:bottom w:w="120" w:type="dxa"/>
              <w:end w:w="120" w:type="dxa"/>
            </w:tcMar>
          </w:tcPr>
          <w:p>
            <w:pPr>
              <w:spacing w:before="0" w:after="0" w:line="240" w:lineRule="auto"/>
              <w:jc w:val="center"/>
            </w:pPr>
            <w:r>
              <w:rPr>
                <w:rFonts w:ascii="Liberation Sans" w:hAnsi="Liberation Sans"/>
                <w:b/>
                <w:i w:val="0"/>
                <w:color w:val="009C95"/>
                <w:sz w:val="22"/>
              </w:rPr>
              <w:t>CHAPTER 1</w:t>
              <w:br/>
            </w:r>
            <w:r>
              <w:rPr>
                <w:rFonts w:ascii="Liberation Sans" w:hAnsi="Liberation Sans"/>
                <w:b/>
                <w:i w:val="0"/>
                <w:color w:val="FFFFFF"/>
                <w:sz w:val="33"/>
              </w:rPr>
              <w:t>Diagnosis as a Working Systemic Formulation</w:t>
            </w:r>
          </w:p>
        </w:tc>
      </w:tr>
      <w:tr>
        <w:tc>
          <w:tcPr>
            <w:tcW w:type="dxa" w:w="10570"/>
            <w:shd w:fill="EDF3FA"/>
            <w:tcMar>
              <w:top w:w="105" w:type="dxa"/>
              <w:start w:w="120" w:type="dxa"/>
              <w:bottom w:w="105" w:type="dxa"/>
              <w:end w:w="120" w:type="dxa"/>
            </w:tcMar>
          </w:tcPr>
          <w:p>
            <w:pPr>
              <w:spacing w:before="0" w:after="0" w:line="245" w:lineRule="auto"/>
            </w:pPr>
            <w:r>
              <w:rPr>
                <w:rFonts w:ascii="Liberation Sans" w:hAnsi="Liberation Sans"/>
                <w:b/>
                <w:i w:val="0"/>
                <w:color w:val="193A63"/>
                <w:sz w:val="18"/>
              </w:rPr>
              <w:t xml:space="preserve">BIG IDEA  </w:t>
            </w:r>
            <w:r>
              <w:rPr>
                <w:rFonts w:ascii="Liberation Sans" w:hAnsi="Liberation Sans"/>
                <w:b w:val="0"/>
                <w:i w:val="0"/>
                <w:color w:val="1F2937"/>
                <w:sz w:val="18"/>
              </w:rPr>
              <w:t>Diagnosis is useful when it organizes evidence and guides care, but it becomes unsafe when it replaces systemic thinking, exceeds the evidence, or closes inquiry too early.</w:t>
            </w:r>
          </w:p>
        </w:tc>
      </w:tr>
    </w:tbl>
    <w:p>
      <w:pPr>
        <w:spacing w:after="0"/>
      </w:pPr>
    </w:p>
    <w:p>
      <w:pPr>
        <w:keepNext w:val="0"/>
        <w:spacing w:before="0" w:after="80" w:line="247" w:lineRule="auto"/>
        <w:jc w:val="left"/>
      </w:pPr>
      <w:r>
        <w:rPr>
          <w:rFonts w:ascii="Liberation Sans" w:hAnsi="Liberation Sans"/>
          <w:b w:val="0"/>
          <w:i w:val="0"/>
          <w:color w:val="1F2937"/>
          <w:sz w:val="18"/>
        </w:rPr>
        <w:t>Diagnosis is one part of assessment. It identifies a clinically meaningful pattern using a recognized diagnostic system, but it does not explain the entire person or relationship. A systemic formulation must also address reciprocal interaction, development, context, culture, power, strengths, risk, treatment unit, and the evidence still missing.</w:t>
      </w:r>
    </w:p>
    <w:p>
      <w:pPr>
        <w:keepNext/>
        <w:spacing w:before="140" w:after="80" w:line="247" w:lineRule="auto"/>
        <w:jc w:val="left"/>
      </w:pPr>
      <w:r>
        <w:rPr>
          <w:rFonts w:ascii="Liberation Sans" w:hAnsi="Liberation Sans"/>
          <w:b/>
          <w:i w:val="0"/>
          <w:color w:val="193A63"/>
          <w:sz w:val="25"/>
        </w:rPr>
        <w:t>Diagnostic Language: What Each Term Does</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cantSplit/>
          <w:tblHeader w:val="true"/>
        </w:trPr>
        <w:tc>
          <w:tcPr>
            <w:tcW w:type="dxa" w:w="208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Term</w:t>
            </w:r>
          </w:p>
        </w:tc>
        <w:tc>
          <w:tcPr>
            <w:tcW w:type="dxa" w:w="432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Function</w:t>
            </w:r>
          </w:p>
        </w:tc>
        <w:tc>
          <w:tcPr>
            <w:tcW w:type="dxa" w:w="396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Control</w:t>
            </w:r>
          </w:p>
        </w:tc>
      </w:tr>
      <w:tr>
        <w:trPr>
          <w:cantSplit/>
        </w:trPr>
        <w:tc>
          <w:tcPr>
            <w:tcW w:type="dxa" w:w="20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Sign or symptom</w:t>
            </w:r>
          </w:p>
        </w:tc>
        <w:tc>
          <w:tcPr>
            <w:tcW w:type="dxa" w:w="43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 reported experience or observed feature.</w:t>
            </w:r>
          </w:p>
        </w:tc>
        <w:tc>
          <w:tcPr>
            <w:tcW w:type="dxa" w:w="39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Record source and context; do not infer a disorder from one feature.</w:t>
            </w:r>
          </w:p>
        </w:tc>
      </w:tr>
      <w:tr>
        <w:trPr>
          <w:cantSplit/>
        </w:trPr>
        <w:tc>
          <w:tcPr>
            <w:tcW w:type="dxa" w:w="20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Syndrome</w:t>
            </w:r>
          </w:p>
        </w:tc>
        <w:tc>
          <w:tcPr>
            <w:tcW w:type="dxa" w:w="432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 cluster that commonly appears together.</w:t>
            </w:r>
          </w:p>
        </w:tc>
        <w:tc>
          <w:tcPr>
            <w:tcW w:type="dxa" w:w="39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Compare duration, impairment, exclusions, and alternative explanations.</w:t>
            </w:r>
          </w:p>
        </w:tc>
      </w:tr>
      <w:tr>
        <w:trPr>
          <w:cantSplit/>
        </w:trPr>
        <w:tc>
          <w:tcPr>
            <w:tcW w:type="dxa" w:w="20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Diagnosis</w:t>
            </w:r>
          </w:p>
        </w:tc>
        <w:tc>
          <w:tcPr>
            <w:tcW w:type="dxa" w:w="43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 classification supported by current criteria and evidence.</w:t>
            </w:r>
          </w:p>
        </w:tc>
        <w:tc>
          <w:tcPr>
            <w:tcW w:type="dxa" w:w="39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Use the least overstated status and revise when evidence changes.</w:t>
            </w:r>
          </w:p>
        </w:tc>
      </w:tr>
      <w:tr>
        <w:trPr>
          <w:cantSplit/>
        </w:trPr>
        <w:tc>
          <w:tcPr>
            <w:tcW w:type="dxa" w:w="20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Relational/contextual condition</w:t>
            </w:r>
          </w:p>
        </w:tc>
        <w:tc>
          <w:tcPr>
            <w:tcW w:type="dxa" w:w="432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 relationship, role, environmental, or psychosocial focus relevant to care.</w:t>
            </w:r>
          </w:p>
        </w:tc>
        <w:tc>
          <w:tcPr>
            <w:tcW w:type="dxa" w:w="39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Do not confuse a treatment focus with a mental disorder.</w:t>
            </w:r>
          </w:p>
        </w:tc>
      </w:tr>
      <w:tr>
        <w:trPr>
          <w:cantSplit/>
        </w:trPr>
        <w:tc>
          <w:tcPr>
            <w:tcW w:type="dxa" w:w="20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Systemic hypothesis</w:t>
            </w:r>
          </w:p>
        </w:tc>
        <w:tc>
          <w:tcPr>
            <w:tcW w:type="dxa" w:w="43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 tentative explanation of reciprocal patterns and contextual influences.</w:t>
            </w:r>
          </w:p>
        </w:tc>
        <w:tc>
          <w:tcPr>
            <w:tcW w:type="dxa" w:w="39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Keep it evidence-linked, nonblaming, and revisable.</w:t>
            </w:r>
          </w:p>
        </w:tc>
      </w:tr>
      <w:tr>
        <w:trPr>
          <w:cantSplit/>
        </w:trPr>
        <w:tc>
          <w:tcPr>
            <w:tcW w:type="dxa" w:w="20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Treatment hypothesis</w:t>
            </w:r>
          </w:p>
        </w:tc>
        <w:tc>
          <w:tcPr>
            <w:tcW w:type="dxa" w:w="432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 prediction about what intervention focus or treatment unit may help.</w:t>
            </w:r>
          </w:p>
        </w:tc>
        <w:tc>
          <w:tcPr>
            <w:tcW w:type="dxa" w:w="39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Do not treat it as proof before outcomes are observed.</w:t>
            </w:r>
          </w:p>
        </w:tc>
      </w:tr>
    </w:tbl>
    <w:p>
      <w:pPr>
        <w:spacing w:after="0"/>
      </w:pPr>
    </w:p>
    <w:p>
      <w:pPr>
        <w:keepNext/>
        <w:spacing w:before="140" w:after="80" w:line="247" w:lineRule="auto"/>
        <w:jc w:val="left"/>
      </w:pPr>
      <w:r>
        <w:rPr>
          <w:rFonts w:ascii="Liberation Sans" w:hAnsi="Liberation Sans"/>
          <w:b/>
          <w:i w:val="0"/>
          <w:color w:val="193A63"/>
          <w:sz w:val="25"/>
        </w:rPr>
        <w:t>The DIAGNOSE Diagnostic Reasoning Sequence</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024"/>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Step</w:t>
            </w:r>
          </w:p>
        </w:tc>
        <w:tc>
          <w:tcPr>
            <w:tcW w:type="dxa" w:w="7343"/>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Question the Learner Asks</w:t>
            </w:r>
          </w:p>
        </w:tc>
      </w:tr>
      <w:tr>
        <w:trPr>
          <w:cantSplit/>
        </w:trPr>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D - Define the pattern</w:t>
            </w:r>
          </w:p>
        </w:tc>
        <w:tc>
          <w:tcPr>
            <w:tcW w:type="dxa" w:w="734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What symptom cluster, relational pattern, or functional change is actually supported?</w:t>
            </w:r>
          </w:p>
        </w:tc>
      </w:tr>
      <w:tr>
        <w:trPr>
          <w:cantSplit/>
        </w:trPr>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I - Identify timeline and impact</w:t>
            </w:r>
          </w:p>
        </w:tc>
        <w:tc>
          <w:tcPr>
            <w:tcW w:type="dxa" w:w="734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When did it begin, what is baseline, and what impairment or risk is present?</w:t>
            </w:r>
          </w:p>
        </w:tc>
      </w:tr>
      <w:tr>
        <w:trPr>
          <w:cantSplit/>
        </w:trPr>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 - Assess alternatives and exclusions</w:t>
            </w:r>
          </w:p>
        </w:tc>
        <w:tc>
          <w:tcPr>
            <w:tcW w:type="dxa" w:w="734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What medical, medication, substance, sleep, trauma, developmental, cultural, or situational explanation remains?</w:t>
            </w:r>
          </w:p>
        </w:tc>
      </w:tr>
      <w:tr>
        <w:trPr>
          <w:cantSplit/>
        </w:trPr>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G - Gather decision-changing data</w:t>
            </w:r>
          </w:p>
        </w:tc>
        <w:tc>
          <w:tcPr>
            <w:tcW w:type="dxa" w:w="734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Which question, collateral source, record, measure, consultation, or evaluation would change the conclusion?</w:t>
            </w:r>
          </w:p>
        </w:tc>
      </w:tr>
      <w:tr>
        <w:trPr>
          <w:cantSplit/>
        </w:trPr>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N - Name the current status</w:t>
            </w:r>
          </w:p>
        </w:tc>
        <w:tc>
          <w:tcPr>
            <w:tcW w:type="dxa" w:w="734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Is the impression working, provisional, deferred, unspecified, other specified, historical, or sufficiently established?</w:t>
            </w:r>
          </w:p>
        </w:tc>
      </w:tr>
      <w:tr>
        <w:trPr>
          <w:cantSplit/>
        </w:trPr>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O - Organize systemic meaning</w:t>
            </w:r>
          </w:p>
        </w:tc>
        <w:tc>
          <w:tcPr>
            <w:tcW w:type="dxa" w:w="734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How do diagnosis, reciprocal patterns, development, culture, power, access, strengths, and treatment unit influence one another?</w:t>
            </w:r>
          </w:p>
        </w:tc>
      </w:tr>
      <w:tr>
        <w:trPr>
          <w:cantSplit/>
        </w:trPr>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S - Select the next action</w:t>
            </w:r>
          </w:p>
        </w:tc>
        <w:tc>
          <w:tcPr>
            <w:tcW w:type="dxa" w:w="734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Is the next step further assessment, feedback, treatment design, consultation, referral, coordination, or escalation?</w:t>
            </w:r>
          </w:p>
        </w:tc>
      </w:tr>
      <w:tr>
        <w:trPr>
          <w:cantSplit/>
        </w:trPr>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E - Evaluate and revise</w:t>
            </w:r>
          </w:p>
        </w:tc>
        <w:tc>
          <w:tcPr>
            <w:tcW w:type="dxa" w:w="734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What new evidence would strengthen, weaken, replace, or expand the formulation?</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FDECEA"/>
            <w:tcMar>
              <w:top w:w="110" w:type="dxa"/>
              <w:start w:w="130" w:type="dxa"/>
              <w:bottom w:w="110" w:type="dxa"/>
              <w:end w:w="130" w:type="dxa"/>
            </w:tcMar>
          </w:tcPr>
          <w:p>
            <w:pPr>
              <w:spacing w:before="0" w:after="0" w:line="245" w:lineRule="auto"/>
            </w:pPr>
            <w:r>
              <w:rPr>
                <w:rFonts w:ascii="Liberation Sans" w:hAnsi="Liberation Sans"/>
                <w:b/>
                <w:i w:val="0"/>
                <w:color w:val="B42318"/>
                <w:sz w:val="20"/>
              </w:rPr>
              <w:t>COMMON TRAP</w:t>
              <w:br/>
            </w:r>
            <w:r>
              <w:rPr>
                <w:rFonts w:ascii="Liberation Sans" w:hAnsi="Liberation Sans"/>
                <w:b w:val="0"/>
                <w:i w:val="0"/>
                <w:color w:val="1F2937"/>
                <w:sz w:val="17"/>
              </w:rPr>
              <w:t>A diagnosis that fits some symptoms can still be the weaker answer when it ignores chronology, exclusions, co-occurring conditions, relational effects, or a medical and safety issue that must be addressed first.</w:t>
            </w:r>
          </w:p>
        </w:tc>
      </w:tr>
    </w:tbl>
    <w:p>
      <w:pPr>
        <w:spacing w:after="0"/>
      </w:pPr>
    </w:p>
    <w:p>
      <w:pPr>
        <w:keepNext/>
        <w:spacing w:before="100" w:after="60" w:line="247" w:lineRule="auto"/>
        <w:jc w:val="left"/>
      </w:pPr>
      <w:r>
        <w:rPr>
          <w:rFonts w:ascii="Liberation Sans" w:hAnsi="Liberation Sans"/>
          <w:b/>
          <w:i w:val="0"/>
          <w:color w:val="193A63"/>
          <w:sz w:val="24"/>
        </w:rPr>
        <w:t>Case Lab 1: Label-Only Formulation</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Jordan reports low mood, irritability, poor concentration, and withdrawal after losing a job. A partner increases checking and advice; Jordan then withdraws further. Sleep has shifted because of late-night gig work, alcohol use has increased, and the couple recently moved away from family support. An intake screener is elevated for depression.</w:t>
            </w:r>
          </w:p>
        </w:tc>
      </w:tr>
    </w:tbl>
    <w:p>
      <w:pPr>
        <w:spacing w:after="0"/>
      </w:pPr>
    </w:p>
    <w:p>
      <w:pPr>
        <w:pStyle w:val="ListBullet"/>
        <w:spacing w:before="0" w:after="40" w:line="245" w:lineRule="auto"/>
      </w:pPr>
      <w:r>
        <w:rPr>
          <w:rFonts w:ascii="Liberation Sans" w:hAnsi="Liberation Sans"/>
          <w:b w:val="0"/>
          <w:i w:val="0"/>
          <w:color w:val="1F2937"/>
          <w:sz w:val="17"/>
        </w:rPr>
        <w:t>Which facts support a depressive presentation, and which facts remain nonspecific?</w:t>
      </w:r>
    </w:p>
    <w:p>
      <w:pPr>
        <w:pStyle w:val="ListBullet"/>
        <w:spacing w:before="0" w:after="40" w:line="245" w:lineRule="auto"/>
      </w:pPr>
      <w:r>
        <w:rPr>
          <w:rFonts w:ascii="Liberation Sans" w:hAnsi="Liberation Sans"/>
          <w:b w:val="0"/>
          <w:i w:val="0"/>
          <w:color w:val="1F2937"/>
          <w:sz w:val="17"/>
        </w:rPr>
        <w:t>What alternative or contributing explanations must remain open?</w:t>
      </w:r>
    </w:p>
    <w:p>
      <w:pPr>
        <w:pStyle w:val="ListBullet"/>
        <w:spacing w:before="0" w:after="40" w:line="245" w:lineRule="auto"/>
      </w:pPr>
      <w:r>
        <w:rPr>
          <w:rFonts w:ascii="Liberation Sans" w:hAnsi="Liberation Sans"/>
          <w:b w:val="0"/>
          <w:i w:val="0"/>
          <w:color w:val="1F2937"/>
          <w:sz w:val="17"/>
        </w:rPr>
        <w:t>How does the checking-withdrawal cycle affect functioning without proving diagnosis?</w:t>
      </w:r>
    </w:p>
    <w:p>
      <w:pPr>
        <w:pStyle w:val="ListBullet"/>
        <w:spacing w:before="0" w:after="40" w:line="245" w:lineRule="auto"/>
      </w:pPr>
      <w:r>
        <w:rPr>
          <w:rFonts w:ascii="Liberation Sans" w:hAnsi="Liberation Sans"/>
          <w:b w:val="0"/>
          <w:i w:val="0"/>
          <w:color w:val="1F2937"/>
          <w:sz w:val="17"/>
        </w:rPr>
        <w:t>What would a label-only formulation omit?</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Use DIAGNOSE. The elevated screener and symptoms support further depressive assessment but do not establish the entire case. Clarify onset, duration, baseline, impairment, alcohol pattern, sleep disruption, medical factors, and any history of activation. Formulate the reciprocal cycle and loss of support as maintaining conditions, not diagnostic proof. State the current impression at the level supported and identify what information would change it.</w:t>
            </w:r>
          </w:p>
        </w:tc>
      </w:tr>
    </w:tbl>
    <w:p>
      <w:pPr>
        <w:spacing w:after="0"/>
      </w:pPr>
    </w:p>
    <w:p>
      <w:pPr>
        <w:keepNext/>
        <w:spacing w:before="140" w:after="80" w:line="247" w:lineRule="auto"/>
        <w:jc w:val="left"/>
      </w:pPr>
      <w:r>
        <w:rPr>
          <w:rFonts w:ascii="Liberation Sans" w:hAnsi="Liberation Sans"/>
          <w:b/>
          <w:i w:val="0"/>
          <w:color w:val="193A63"/>
          <w:sz w:val="24"/>
        </w:rPr>
        <w:t>DIAGNOSE Practice Worksheet</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671"/>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Prompt</w:t>
            </w:r>
          </w:p>
        </w:tc>
        <w:tc>
          <w:tcPr>
            <w:tcW w:type="dxa" w:w="669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My Notes</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Supported pattern</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Timeline, baseline, impact</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Alternatives and exclusions</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Decision-changing data</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Current diagnostic status</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Systemic meaning and next step</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CLINICAL TAKEAWAY</w:t>
              <w:br/>
            </w:r>
            <w:r>
              <w:rPr>
                <w:rFonts w:ascii="Liberation Sans" w:hAnsi="Liberation Sans"/>
                <w:b w:val="0"/>
                <w:i w:val="0"/>
                <w:color w:val="1F2937"/>
                <w:sz w:val="17"/>
              </w:rPr>
              <w:t>A defensible diagnosis is a working conclusion connected to evidence, uncertainty, systemic meaning, and the next professional action.</w:t>
            </w:r>
          </w:p>
        </w:tc>
      </w:tr>
    </w:tbl>
    <w:p>
      <w:pPr>
        <w:spacing w:after="0"/>
      </w:pPr>
    </w:p>
    <w:p>
      <w:pPr>
        <w:pStyle w:val="ListBullet"/>
        <w:spacing w:before="0" w:after="40" w:line="245" w:lineRule="auto"/>
      </w:pPr>
      <w:r>
        <w:rPr>
          <w:rFonts w:ascii="Liberation Sans" w:hAnsi="Liberation Sans"/>
          <w:b w:val="0"/>
          <w:i w:val="0"/>
          <w:color w:val="1F2937"/>
          <w:sz w:val="17"/>
        </w:rPr>
        <w:t>Name the pattern before naming the disorder.</w:t>
      </w:r>
    </w:p>
    <w:p>
      <w:pPr>
        <w:pStyle w:val="ListBullet"/>
        <w:spacing w:before="0" w:after="40" w:line="245" w:lineRule="auto"/>
      </w:pPr>
      <w:r>
        <w:rPr>
          <w:rFonts w:ascii="Liberation Sans" w:hAnsi="Liberation Sans"/>
          <w:b w:val="0"/>
          <w:i w:val="0"/>
          <w:color w:val="1F2937"/>
          <w:sz w:val="17"/>
        </w:rPr>
        <w:t>Use diagnosis as part of formulation, not as the entire formulation.</w:t>
      </w:r>
    </w:p>
    <w:p>
      <w:pPr>
        <w:pStyle w:val="ListBullet"/>
        <w:spacing w:before="0" w:after="40" w:line="245" w:lineRule="auto"/>
      </w:pPr>
      <w:r>
        <w:rPr>
          <w:rFonts w:ascii="Liberation Sans" w:hAnsi="Liberation Sans"/>
          <w:b w:val="0"/>
          <w:i w:val="0"/>
          <w:color w:val="1F2937"/>
          <w:sz w:val="17"/>
        </w:rPr>
        <w:t>State what supports the conclusion and what could change it.</w:t>
      </w:r>
    </w:p>
    <w:p>
      <w:pPr>
        <w:pStyle w:val="ListBullet"/>
        <w:spacing w:before="0" w:after="40" w:line="245" w:lineRule="auto"/>
      </w:pPr>
      <w:r>
        <w:rPr>
          <w:rFonts w:ascii="Liberation Sans" w:hAnsi="Liberation Sans"/>
          <w:b w:val="0"/>
          <w:i w:val="0"/>
          <w:color w:val="1F2937"/>
          <w:sz w:val="17"/>
        </w:rPr>
        <w:t>Keep reciprocal patterns and context separate from diagnostic proof.</w:t>
      </w:r>
    </w:p>
    <w:p>
      <w:pPr>
        <w:pStyle w:val="ListBullet"/>
        <w:spacing w:before="0" w:after="40" w:line="245" w:lineRule="auto"/>
      </w:pPr>
      <w:r>
        <w:rPr>
          <w:rFonts w:ascii="Liberation Sans" w:hAnsi="Liberation Sans"/>
          <w:b w:val="0"/>
          <w:i w:val="0"/>
          <w:color w:val="1F2937"/>
          <w:sz w:val="17"/>
        </w:rPr>
        <w:t>Revise when new evidence changes the case.</w:t>
      </w:r>
    </w:p>
    <w:p>
      <w:r>
        <w:br w:type="page"/>
      </w:r>
    </w:p>
    <w:tbl>
      <w:tblPr>
        <w:tblStyle w:val="TableGrid"/>
        <w:tblW w:type="auto" w:w="0"/>
        <w:jc w:val="center"/>
        <w:tblLayout w:type="fixed"/>
        <w:tblLook w:firstColumn="1" w:firstRow="1" w:lastColumn="0" w:lastRow="0" w:noHBand="0" w:noVBand="1" w:val="04A0"/>
      </w:tblPr>
      <w:tblGrid>
        <w:gridCol w:w="10570"/>
      </w:tblGrid>
      <w:tr>
        <w:trPr>
          <w:tblHeader w:val="true"/>
        </w:trPr>
        <w:tc>
          <w:tcPr>
            <w:tcW w:type="dxa" w:w="10570"/>
            <w:shd w:fill="193A63"/>
            <w:tcMar>
              <w:top w:w="120" w:type="dxa"/>
              <w:start w:w="120" w:type="dxa"/>
              <w:bottom w:w="120" w:type="dxa"/>
              <w:end w:w="120" w:type="dxa"/>
            </w:tcMar>
          </w:tcPr>
          <w:p>
            <w:pPr>
              <w:spacing w:before="0" w:after="0" w:line="240" w:lineRule="auto"/>
              <w:jc w:val="center"/>
            </w:pPr>
            <w:r>
              <w:rPr>
                <w:rFonts w:ascii="Liberation Sans" w:hAnsi="Liberation Sans"/>
                <w:b/>
                <w:i w:val="0"/>
                <w:color w:val="009C95"/>
                <w:sz w:val="22"/>
              </w:rPr>
              <w:t>CHAPTER 2</w:t>
              <w:br/>
            </w:r>
            <w:r>
              <w:rPr>
                <w:rFonts w:ascii="Liberation Sans" w:hAnsi="Liberation Sans"/>
                <w:b/>
                <w:i w:val="0"/>
                <w:color w:val="FFFFFF"/>
                <w:sz w:val="33"/>
              </w:rPr>
              <w:t>Pattern, Timeline, Threshold, and Functional Impact</w:t>
            </w:r>
          </w:p>
        </w:tc>
      </w:tr>
      <w:tr>
        <w:tc>
          <w:tcPr>
            <w:tcW w:type="dxa" w:w="10570"/>
            <w:shd w:fill="EDF3FA"/>
            <w:tcMar>
              <w:top w:w="105" w:type="dxa"/>
              <w:start w:w="120" w:type="dxa"/>
              <w:bottom w:w="105" w:type="dxa"/>
              <w:end w:w="120" w:type="dxa"/>
            </w:tcMar>
          </w:tcPr>
          <w:p>
            <w:pPr>
              <w:spacing w:before="0" w:after="0" w:line="245" w:lineRule="auto"/>
            </w:pPr>
            <w:r>
              <w:rPr>
                <w:rFonts w:ascii="Liberation Sans" w:hAnsi="Liberation Sans"/>
                <w:b/>
                <w:i w:val="0"/>
                <w:color w:val="193A63"/>
                <w:sz w:val="18"/>
              </w:rPr>
              <w:t xml:space="preserve">BIG IDEA  </w:t>
            </w:r>
            <w:r>
              <w:rPr>
                <w:rFonts w:ascii="Liberation Sans" w:hAnsi="Liberation Sans"/>
                <w:b w:val="0"/>
                <w:i w:val="0"/>
                <w:color w:val="1F2937"/>
                <w:sz w:val="18"/>
              </w:rPr>
              <w:t>Before choosing a diagnosis, organize what clusters together, when it occurs, whether threshold is supported, and how functioning has changed.</w:t>
            </w:r>
          </w:p>
        </w:tc>
      </w:tr>
    </w:tbl>
    <w:p>
      <w:pPr>
        <w:spacing w:after="0"/>
      </w:pPr>
    </w:p>
    <w:p>
      <w:pPr>
        <w:keepNext w:val="0"/>
        <w:spacing w:before="0" w:after="80" w:line="247" w:lineRule="auto"/>
        <w:jc w:val="left"/>
      </w:pPr>
      <w:r>
        <w:rPr>
          <w:rFonts w:ascii="Liberation Sans" w:hAnsi="Liberation Sans"/>
          <w:b w:val="0"/>
          <w:i w:val="0"/>
          <w:color w:val="1F2937"/>
          <w:sz w:val="18"/>
        </w:rPr>
        <w:t>Many distractors are plausible labels built from one memorable symptom. The stronger response asks whether the full pattern is present, whether the timeline fits, whether the presentation is episodic or persistent, whether functioning is impaired, and whether substances, medication, sleep, health, development, or context better explain the change.</w:t>
      </w:r>
    </w:p>
    <w:p>
      <w:pPr>
        <w:keepNext/>
        <w:spacing w:before="140" w:after="80" w:line="247" w:lineRule="auto"/>
        <w:jc w:val="left"/>
      </w:pPr>
      <w:r>
        <w:rPr>
          <w:rFonts w:ascii="Liberation Sans" w:hAnsi="Liberation Sans"/>
          <w:b/>
          <w:i w:val="0"/>
          <w:color w:val="193A63"/>
          <w:sz w:val="25"/>
        </w:rPr>
        <w:t>The PTI Grid: Pattern, Timeline, and Impact</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180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Element</w:t>
            </w:r>
          </w:p>
        </w:tc>
        <w:tc>
          <w:tcPr>
            <w:tcW w:type="dxa" w:w="856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Diagnostic Question</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Pattern</w:t>
            </w:r>
          </w:p>
        </w:tc>
        <w:tc>
          <w:tcPr>
            <w:tcW w:type="dxa" w:w="856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Which features cluster together, and which are observed, reported, measured, or inferred?</w:t>
            </w:r>
          </w:p>
        </w:tc>
      </w:tr>
      <w:tr>
        <w:trPr>
          <w:cantSplit/>
        </w:trPr>
        <w:tc>
          <w:tcPr>
            <w:tcW w:type="dxa" w:w="180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Timeline</w:t>
            </w:r>
          </w:p>
        </w:tc>
        <w:tc>
          <w:tcPr>
            <w:tcW w:type="dxa" w:w="856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What are onset, duration, frequency, sequence, baseline, episodicity, persistence, remission, and temporal links?</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Threshold</w:t>
            </w:r>
          </w:p>
        </w:tc>
        <w:tc>
          <w:tcPr>
            <w:tcW w:type="dxa" w:w="856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Are required features, distress, severity, duration, impairment, and exclusions sufficiently supported?</w:t>
            </w:r>
          </w:p>
        </w:tc>
      </w:tr>
      <w:tr>
        <w:trPr>
          <w:cantSplit/>
        </w:trPr>
        <w:tc>
          <w:tcPr>
            <w:tcW w:type="dxa" w:w="180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Impact</w:t>
            </w:r>
          </w:p>
        </w:tc>
        <w:tc>
          <w:tcPr>
            <w:tcW w:type="dxa" w:w="856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How are individual, relational, occupational, educational, caregiving, health, and daily functioning affected?</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Status</w:t>
            </w:r>
          </w:p>
        </w:tc>
        <w:tc>
          <w:tcPr>
            <w:tcW w:type="dxa" w:w="856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What level of certainty and diagnostic language does the evidence support now?</w:t>
            </w:r>
          </w:p>
        </w:tc>
      </w:tr>
    </w:tbl>
    <w:p>
      <w:pPr>
        <w:spacing w:after="0"/>
      </w:pPr>
    </w:p>
    <w:p>
      <w:pPr>
        <w:keepNext/>
        <w:spacing w:before="140" w:after="80" w:line="247" w:lineRule="auto"/>
        <w:jc w:val="left"/>
      </w:pPr>
      <w:r>
        <w:rPr>
          <w:rFonts w:ascii="Liberation Sans" w:hAnsi="Liberation Sans"/>
          <w:b/>
          <w:i w:val="0"/>
          <w:color w:val="193A63"/>
          <w:sz w:val="25"/>
        </w:rPr>
        <w:t>Diagnostic Status Language</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cantSplit/>
          <w:tblHeader w:val="true"/>
        </w:trPr>
        <w:tc>
          <w:tcPr>
            <w:tcW w:type="dxa" w:w="1944"/>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Language</w:t>
            </w:r>
          </w:p>
        </w:tc>
        <w:tc>
          <w:tcPr>
            <w:tcW w:type="dxa" w:w="468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Use</w:t>
            </w:r>
          </w:p>
        </w:tc>
        <w:tc>
          <w:tcPr>
            <w:tcW w:type="dxa" w:w="3744"/>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Do Not Use It To</w:t>
            </w:r>
          </w:p>
        </w:tc>
      </w:tr>
      <w:tr>
        <w:trPr>
          <w:cantSplit/>
        </w:trPr>
        <w:tc>
          <w:tcPr>
            <w:tcW w:type="dxa" w:w="194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Working impression</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Communicate the leading clinical understanding while assessment continues.</w:t>
            </w:r>
          </w:p>
        </w:tc>
        <w:tc>
          <w:tcPr>
            <w:tcW w:type="dxa" w:w="374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Pretend the conclusion is final or fully coded.</w:t>
            </w:r>
          </w:p>
        </w:tc>
      </w:tr>
      <w:tr>
        <w:trPr>
          <w:cantSplit/>
        </w:trPr>
        <w:tc>
          <w:tcPr>
            <w:tcW w:type="dxa" w:w="194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Provisional</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Indicate substantial support while required information or expected course is still incomplete.</w:t>
            </w:r>
          </w:p>
        </w:tc>
        <w:tc>
          <w:tcPr>
            <w:tcW w:type="dxa" w:w="374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Label a vague possibility with little evidence.</w:t>
            </w:r>
          </w:p>
        </w:tc>
      </w:tr>
      <w:tr>
        <w:trPr>
          <w:cantSplit/>
        </w:trPr>
        <w:tc>
          <w:tcPr>
            <w:tcW w:type="dxa" w:w="194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Rule-out / consider</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Track an alternative that remains clinically plausible and needs a discriminator.</w:t>
            </w:r>
          </w:p>
        </w:tc>
        <w:tc>
          <w:tcPr>
            <w:tcW w:type="dxa" w:w="374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List every imaginable disorder or code it as confirmed.</w:t>
            </w:r>
          </w:p>
        </w:tc>
      </w:tr>
      <w:tr>
        <w:trPr>
          <w:cantSplit/>
        </w:trPr>
        <w:tc>
          <w:tcPr>
            <w:tcW w:type="dxa" w:w="194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Other specified</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Name the reason a presentation does not meet full criteria when the diagnostic system permits.</w:t>
            </w:r>
          </w:p>
        </w:tc>
        <w:tc>
          <w:tcPr>
            <w:tcW w:type="dxa" w:w="374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Avoid gathering missing information.</w:t>
            </w:r>
          </w:p>
        </w:tc>
      </w:tr>
      <w:tr>
        <w:trPr>
          <w:cantSplit/>
        </w:trPr>
        <w:tc>
          <w:tcPr>
            <w:tcW w:type="dxa" w:w="194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Unspecified</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Use when the category is relevant but the reason is not stated or information is insufficient.</w:t>
            </w:r>
          </w:p>
        </w:tc>
        <w:tc>
          <w:tcPr>
            <w:tcW w:type="dxa" w:w="374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Create false precision or bypass differential reasoning.</w:t>
            </w:r>
          </w:p>
        </w:tc>
      </w:tr>
      <w:tr>
        <w:trPr>
          <w:cantSplit/>
        </w:trPr>
        <w:tc>
          <w:tcPr>
            <w:tcW w:type="dxa" w:w="194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Deferred</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Pause diagnostic assignment when evidence, safety, medical status, or scope makes a conclusion premature.</w:t>
            </w:r>
          </w:p>
        </w:tc>
        <w:tc>
          <w:tcPr>
            <w:tcW w:type="dxa" w:w="374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Ignore urgent evaluation or fail to document the plan.</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FFF5D6"/>
            <w:tcMar>
              <w:top w:w="110" w:type="dxa"/>
              <w:start w:w="130" w:type="dxa"/>
              <w:bottom w:w="110" w:type="dxa"/>
              <w:end w:w="130" w:type="dxa"/>
            </w:tcMar>
          </w:tcPr>
          <w:p>
            <w:pPr>
              <w:spacing w:before="0" w:after="0" w:line="245" w:lineRule="auto"/>
            </w:pPr>
            <w:r>
              <w:rPr>
                <w:rFonts w:ascii="Liberation Sans" w:hAnsi="Liberation Sans"/>
                <w:b/>
                <w:i w:val="0"/>
                <w:color w:val="9A6700"/>
                <w:sz w:val="20"/>
              </w:rPr>
              <w:t>STATUS CONTROL</w:t>
              <w:br/>
            </w:r>
            <w:r>
              <w:rPr>
                <w:rFonts w:ascii="Liberation Sans" w:hAnsi="Liberation Sans"/>
                <w:b w:val="0"/>
                <w:i w:val="0"/>
                <w:color w:val="1F2937"/>
                <w:sz w:val="17"/>
              </w:rPr>
              <w:t>“Rule out” and “deferred” are communication choices, not substitutes for a documented assessment plan. State what remains uncertain, what information is needed, how urgency is managed, and when the formulation will be reviewed.</w:t>
            </w:r>
          </w:p>
        </w:tc>
      </w:tr>
    </w:tbl>
    <w:p>
      <w:pPr>
        <w:spacing w:after="0"/>
      </w:pPr>
    </w:p>
    <w:p>
      <w:pPr>
        <w:keepNext/>
        <w:spacing w:before="100" w:after="60" w:line="247" w:lineRule="auto"/>
        <w:jc w:val="left"/>
      </w:pPr>
      <w:r>
        <w:rPr>
          <w:rFonts w:ascii="Liberation Sans" w:hAnsi="Liberation Sans"/>
          <w:b/>
          <w:i w:val="0"/>
          <w:color w:val="193A63"/>
          <w:sz w:val="24"/>
        </w:rPr>
        <w:t>Case Lab 2: Distress, Threshold, and Certainty</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Maya reports crying, poor sleep, guilt, and reduced concentration for ten days after a relationship ended. She continues work, maintains parenting routines, denies self-harm thoughts, and reports brief periods of relief with friends. A parent had bipolar disorder, but Maya denies past periods of decreased need for sleep, elevated mood, increased goal-directed activity, or risky behavior.</w:t>
            </w:r>
          </w:p>
        </w:tc>
      </w:tr>
    </w:tbl>
    <w:p>
      <w:pPr>
        <w:spacing w:after="0"/>
      </w:pPr>
    </w:p>
    <w:p>
      <w:pPr>
        <w:pStyle w:val="ListBullet"/>
        <w:spacing w:before="0" w:after="40" w:line="245" w:lineRule="auto"/>
      </w:pPr>
      <w:r>
        <w:rPr>
          <w:rFonts w:ascii="Liberation Sans" w:hAnsi="Liberation Sans"/>
          <w:b w:val="0"/>
          <w:i w:val="0"/>
          <w:color w:val="1F2937"/>
          <w:sz w:val="17"/>
        </w:rPr>
        <w:t>Which features are present, and which threshold elements remain uncertain?</w:t>
      </w:r>
    </w:p>
    <w:p>
      <w:pPr>
        <w:pStyle w:val="ListBullet"/>
        <w:spacing w:before="0" w:after="40" w:line="245" w:lineRule="auto"/>
      </w:pPr>
      <w:r>
        <w:rPr>
          <w:rFonts w:ascii="Liberation Sans" w:hAnsi="Liberation Sans"/>
          <w:b w:val="0"/>
          <w:i w:val="0"/>
          <w:color w:val="1F2937"/>
          <w:sz w:val="17"/>
        </w:rPr>
        <w:t>How do timeline, functioning, context, and family history affect the differential?</w:t>
      </w:r>
    </w:p>
    <w:p>
      <w:pPr>
        <w:pStyle w:val="ListBullet"/>
        <w:spacing w:before="0" w:after="40" w:line="245" w:lineRule="auto"/>
      </w:pPr>
      <w:r>
        <w:rPr>
          <w:rFonts w:ascii="Liberation Sans" w:hAnsi="Liberation Sans"/>
          <w:b w:val="0"/>
          <w:i w:val="0"/>
          <w:color w:val="1F2937"/>
          <w:sz w:val="17"/>
        </w:rPr>
        <w:t>What diagnostic language is appropriately cautious at this stage?</w:t>
      </w:r>
    </w:p>
    <w:p>
      <w:pPr>
        <w:pStyle w:val="ListBullet"/>
        <w:spacing w:before="0" w:after="40" w:line="245" w:lineRule="auto"/>
      </w:pPr>
      <w:r>
        <w:rPr>
          <w:rFonts w:ascii="Liberation Sans" w:hAnsi="Liberation Sans"/>
          <w:b w:val="0"/>
          <w:i w:val="0"/>
          <w:color w:val="1F2937"/>
          <w:sz w:val="17"/>
        </w:rPr>
        <w:t>What follow-up evidence would strengthen or weaken the leading impression?</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Use PTI. The presentation is clinically important but brief and closely linked to a major stressor. Family history increases the need to ask about past activation, but it does not establish bipolar disorder. Assess severity, impairment, prior episodes, substances, medication, sleep, and course over time. Use a working or deferred impression rather than a definitive label when threshold is not yet established.</w:t>
            </w:r>
          </w:p>
        </w:tc>
      </w:tr>
    </w:tbl>
    <w:p>
      <w:pPr>
        <w:spacing w:after="0"/>
      </w:pPr>
    </w:p>
    <w:p>
      <w:pPr>
        <w:keepNext/>
        <w:spacing w:before="140" w:after="80" w:line="247" w:lineRule="auto"/>
        <w:jc w:val="left"/>
      </w:pPr>
      <w:r>
        <w:rPr>
          <w:rFonts w:ascii="Liberation Sans" w:hAnsi="Liberation Sans"/>
          <w:b/>
          <w:i w:val="0"/>
          <w:color w:val="193A63"/>
          <w:sz w:val="24"/>
        </w:rPr>
        <w:t>PTI Practice Worksheet</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671"/>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Prompt</w:t>
            </w:r>
          </w:p>
        </w:tc>
        <w:tc>
          <w:tcPr>
            <w:tcW w:type="dxa" w:w="669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My Notes</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Pattern and source tags</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Onset, duration, frequency, baseline</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Threshold supported / missing</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Functional impact across settings</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Exclusions and alternatives</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Current status and review plan</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CLINICAL TAKEAWAY</w:t>
              <w:br/>
            </w:r>
            <w:r>
              <w:rPr>
                <w:rFonts w:ascii="Liberation Sans" w:hAnsi="Liberation Sans"/>
                <w:b w:val="0"/>
                <w:i w:val="0"/>
                <w:color w:val="1F2937"/>
                <w:sz w:val="17"/>
              </w:rPr>
              <w:t>Chronology converts a symptom list into diagnostic reasoning. Threshold and impairment determine how much the current evidence can support.</w:t>
            </w:r>
          </w:p>
        </w:tc>
      </w:tr>
    </w:tbl>
    <w:p>
      <w:pPr>
        <w:spacing w:after="0"/>
      </w:pPr>
    </w:p>
    <w:p>
      <w:pPr>
        <w:pStyle w:val="ListBullet"/>
        <w:spacing w:before="0" w:after="40" w:line="245" w:lineRule="auto"/>
      </w:pPr>
      <w:r>
        <w:rPr>
          <w:rFonts w:ascii="Liberation Sans" w:hAnsi="Liberation Sans"/>
          <w:b w:val="0"/>
          <w:i w:val="0"/>
          <w:color w:val="1F2937"/>
          <w:sz w:val="17"/>
        </w:rPr>
        <w:t>Build a timeline before comparing labels.</w:t>
      </w:r>
    </w:p>
    <w:p>
      <w:pPr>
        <w:pStyle w:val="ListBullet"/>
        <w:spacing w:before="0" w:after="40" w:line="245" w:lineRule="auto"/>
      </w:pPr>
      <w:r>
        <w:rPr>
          <w:rFonts w:ascii="Liberation Sans" w:hAnsi="Liberation Sans"/>
          <w:b w:val="0"/>
          <w:i w:val="0"/>
          <w:color w:val="1F2937"/>
          <w:sz w:val="17"/>
        </w:rPr>
        <w:t>Separate episode from trait and change from baseline.</w:t>
      </w:r>
    </w:p>
    <w:p>
      <w:pPr>
        <w:pStyle w:val="ListBullet"/>
        <w:spacing w:before="0" w:after="40" w:line="245" w:lineRule="auto"/>
      </w:pPr>
      <w:r>
        <w:rPr>
          <w:rFonts w:ascii="Liberation Sans" w:hAnsi="Liberation Sans"/>
          <w:b w:val="0"/>
          <w:i w:val="0"/>
          <w:color w:val="1F2937"/>
          <w:sz w:val="17"/>
        </w:rPr>
        <w:t>Do not equate distress with a full disorder.</w:t>
      </w:r>
    </w:p>
    <w:p>
      <w:pPr>
        <w:pStyle w:val="ListBullet"/>
        <w:spacing w:before="0" w:after="40" w:line="245" w:lineRule="auto"/>
      </w:pPr>
      <w:r>
        <w:rPr>
          <w:rFonts w:ascii="Liberation Sans" w:hAnsi="Liberation Sans"/>
          <w:b w:val="0"/>
          <w:i w:val="0"/>
          <w:color w:val="1F2937"/>
          <w:sz w:val="17"/>
        </w:rPr>
        <w:t>Match status language to the current evidence.</w:t>
      </w:r>
    </w:p>
    <w:p>
      <w:pPr>
        <w:pStyle w:val="ListBullet"/>
        <w:spacing w:before="0" w:after="40" w:line="245" w:lineRule="auto"/>
      </w:pPr>
      <w:r>
        <w:rPr>
          <w:rFonts w:ascii="Liberation Sans" w:hAnsi="Liberation Sans"/>
          <w:b w:val="0"/>
          <w:i w:val="0"/>
          <w:color w:val="1F2937"/>
          <w:sz w:val="17"/>
        </w:rPr>
        <w:t>Document what will be reassessed and when.</w:t>
      </w:r>
    </w:p>
    <w:p>
      <w:r>
        <w:br w:type="page"/>
      </w:r>
    </w:p>
    <w:tbl>
      <w:tblPr>
        <w:tblStyle w:val="TableGrid"/>
        <w:tblW w:type="auto" w:w="0"/>
        <w:jc w:val="center"/>
        <w:tblLayout w:type="fixed"/>
        <w:tblLook w:firstColumn="1" w:firstRow="1" w:lastColumn="0" w:lastRow="0" w:noHBand="0" w:noVBand="1" w:val="04A0"/>
      </w:tblPr>
      <w:tblGrid>
        <w:gridCol w:w="10570"/>
      </w:tblGrid>
      <w:tr>
        <w:trPr>
          <w:tblHeader w:val="true"/>
        </w:trPr>
        <w:tc>
          <w:tcPr>
            <w:tcW w:type="dxa" w:w="10570"/>
            <w:shd w:fill="193A63"/>
            <w:tcMar>
              <w:top w:w="120" w:type="dxa"/>
              <w:start w:w="120" w:type="dxa"/>
              <w:bottom w:w="120" w:type="dxa"/>
              <w:end w:w="120" w:type="dxa"/>
            </w:tcMar>
          </w:tcPr>
          <w:p>
            <w:pPr>
              <w:spacing w:before="0" w:after="0" w:line="240" w:lineRule="auto"/>
              <w:jc w:val="center"/>
            </w:pPr>
            <w:r>
              <w:rPr>
                <w:rFonts w:ascii="Liberation Sans" w:hAnsi="Liberation Sans"/>
                <w:b/>
                <w:i w:val="0"/>
                <w:color w:val="009C95"/>
                <w:sz w:val="22"/>
              </w:rPr>
              <w:t>CHAPTER 3</w:t>
              <w:br/>
            </w:r>
            <w:r>
              <w:rPr>
                <w:rFonts w:ascii="Liberation Sans" w:hAnsi="Liberation Sans"/>
                <w:b/>
                <w:i w:val="0"/>
                <w:color w:val="FFFFFF"/>
                <w:sz w:val="33"/>
              </w:rPr>
              <w:t>Differential Diagnosis and Exclusion Logic</w:t>
            </w:r>
          </w:p>
        </w:tc>
      </w:tr>
      <w:tr>
        <w:tc>
          <w:tcPr>
            <w:tcW w:type="dxa" w:w="10570"/>
            <w:shd w:fill="EDF3FA"/>
            <w:tcMar>
              <w:top w:w="105" w:type="dxa"/>
              <w:start w:w="120" w:type="dxa"/>
              <w:bottom w:w="105" w:type="dxa"/>
              <w:end w:w="120" w:type="dxa"/>
            </w:tcMar>
          </w:tcPr>
          <w:p>
            <w:pPr>
              <w:spacing w:before="0" w:after="0" w:line="245" w:lineRule="auto"/>
            </w:pPr>
            <w:r>
              <w:rPr>
                <w:rFonts w:ascii="Liberation Sans" w:hAnsi="Liberation Sans"/>
                <w:b/>
                <w:i w:val="0"/>
                <w:color w:val="193A63"/>
                <w:sz w:val="18"/>
              </w:rPr>
              <w:t xml:space="preserve">BIG IDEA  </w:t>
            </w:r>
            <w:r>
              <w:rPr>
                <w:rFonts w:ascii="Liberation Sans" w:hAnsi="Liberation Sans"/>
                <w:b w:val="0"/>
                <w:i w:val="0"/>
                <w:color w:val="1F2937"/>
                <w:sz w:val="18"/>
              </w:rPr>
              <w:t>The best differential is not the longest list. It compares plausible explanations, identifies the missing discriminator, and routes urgent medical, substance-related, or safety conditions before routine diagnosis.</w:t>
            </w:r>
          </w:p>
        </w:tc>
      </w:tr>
    </w:tbl>
    <w:p>
      <w:pPr>
        <w:spacing w:after="0"/>
      </w:pPr>
    </w:p>
    <w:p>
      <w:pPr>
        <w:keepNext w:val="0"/>
        <w:spacing w:before="0" w:after="80" w:line="247" w:lineRule="auto"/>
        <w:jc w:val="left"/>
      </w:pPr>
      <w:r>
        <w:rPr>
          <w:rFonts w:ascii="Liberation Sans" w:hAnsi="Liberation Sans"/>
          <w:b w:val="0"/>
          <w:i w:val="0"/>
          <w:color w:val="1F2937"/>
          <w:sz w:val="18"/>
        </w:rPr>
        <w:t>Differential diagnosis asks which explanation best accounts for the pattern, course, mechanism, context, and impairment while remaining consistent with exclusions. The therapist does not need to diagnose medical conditions, prescribe medication, or conduct specialty testing to recognize when another evaluation controls the next step.</w:t>
      </w:r>
    </w:p>
    <w:p>
      <w:pPr>
        <w:keepNext/>
        <w:spacing w:before="140" w:after="80" w:line="247" w:lineRule="auto"/>
        <w:jc w:val="left"/>
      </w:pPr>
      <w:r>
        <w:rPr>
          <w:rFonts w:ascii="Liberation Sans" w:hAnsi="Liberation Sans"/>
          <w:b/>
          <w:i w:val="0"/>
          <w:color w:val="193A63"/>
          <w:sz w:val="25"/>
        </w:rPr>
        <w:t>The DIFF Competing-Explanation Grid</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59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Grid Row</w:t>
            </w:r>
          </w:p>
        </w:tc>
        <w:tc>
          <w:tcPr>
            <w:tcW w:type="dxa" w:w="777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Learner Action</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Candidate explanation</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Name a plausible diagnosis, medical/substance factor, developmental/contextual explanation, or relational condition.</w:t>
            </w:r>
          </w:p>
        </w:tc>
      </w:tr>
      <w:tr>
        <w:trPr>
          <w:cantSplit/>
        </w:trPr>
        <w:tc>
          <w:tcPr>
            <w:tcW w:type="dxa" w:w="25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Evidence for</w:t>
            </w:r>
          </w:p>
        </w:tc>
        <w:tc>
          <w:tcPr>
            <w:tcW w:type="dxa" w:w="77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List facts that directly support the explanation.</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Evidence against</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List facts that conflict with or weaken the explanation.</w:t>
            </w:r>
          </w:p>
        </w:tc>
      </w:tr>
      <w:tr>
        <w:trPr>
          <w:cantSplit/>
        </w:trPr>
        <w:tc>
          <w:tcPr>
            <w:tcW w:type="dxa" w:w="25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Missing discriminator</w:t>
            </w:r>
          </w:p>
        </w:tc>
        <w:tc>
          <w:tcPr>
            <w:tcW w:type="dxa" w:w="77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Identify the next fact, timeline detail, observation, instrument, consultation, or referral result that would distinguish it.</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Urgency / care level</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State whether safety, medical instability, intoxication, withdrawal, psychosis, delirium, or inability to function changes the sequence.</w:t>
            </w:r>
          </w:p>
        </w:tc>
      </w:tr>
      <w:tr>
        <w:trPr>
          <w:cantSplit/>
        </w:trPr>
        <w:tc>
          <w:tcPr>
            <w:tcW w:type="dxa" w:w="25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Systemic effects</w:t>
            </w:r>
          </w:p>
        </w:tc>
        <w:tc>
          <w:tcPr>
            <w:tcW w:type="dxa" w:w="77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Describe how the presentation and client-system responses influence one another without treating context as proof.</w:t>
            </w:r>
          </w:p>
        </w:tc>
      </w:tr>
    </w:tbl>
    <w:p>
      <w:pPr>
        <w:spacing w:after="0"/>
      </w:pPr>
    </w:p>
    <w:p>
      <w:pPr>
        <w:keepNext/>
        <w:spacing w:before="140" w:after="80" w:line="247" w:lineRule="auto"/>
        <w:jc w:val="left"/>
      </w:pPr>
      <w:r>
        <w:rPr>
          <w:rFonts w:ascii="Liberation Sans" w:hAnsi="Liberation Sans"/>
          <w:b/>
          <w:i w:val="0"/>
          <w:color w:val="193A63"/>
          <w:sz w:val="25"/>
        </w:rPr>
        <w:t>High-Yield Exclusion Questions</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16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Category</w:t>
            </w:r>
          </w:p>
        </w:tc>
        <w:tc>
          <w:tcPr>
            <w:tcW w:type="dxa" w:w="820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Questions Before Routine Diagnostic Closure</w:t>
            </w:r>
          </w:p>
        </w:tc>
      </w:tr>
      <w:tr>
        <w:trPr>
          <w:cantSplit/>
        </w:trPr>
        <w:tc>
          <w:tcPr>
            <w:tcW w:type="dxa" w:w="21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Medical / neurological</w:t>
            </w:r>
          </w:p>
        </w:tc>
        <w:tc>
          <w:tcPr>
            <w:tcW w:type="dxa" w:w="82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Is there sudden change, confusion, head injury, infection, endocrine or neurological concern, pain, pregnancy/postpartum complication, or nutritional compromise?</w:t>
            </w:r>
          </w:p>
        </w:tc>
      </w:tr>
      <w:tr>
        <w:trPr>
          <w:cantSplit/>
        </w:trPr>
        <w:tc>
          <w:tcPr>
            <w:tcW w:type="dxa" w:w="21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Medication / substance</w:t>
            </w:r>
          </w:p>
        </w:tc>
        <w:tc>
          <w:tcPr>
            <w:tcW w:type="dxa" w:w="82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Did symptoms begin or change after starting, stopping, changing, misusing, combining, or withdrawing from a substance or medication?</w:t>
            </w:r>
          </w:p>
        </w:tc>
      </w:tr>
      <w:tr>
        <w:trPr>
          <w:cantSplit/>
        </w:trPr>
        <w:tc>
          <w:tcPr>
            <w:tcW w:type="dxa" w:w="21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Sleep / physiology</w:t>
            </w:r>
          </w:p>
        </w:tc>
        <w:tc>
          <w:tcPr>
            <w:tcW w:type="dxa" w:w="82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Could severe sleep loss, circadian disruption, dehydration, restriction, overexercise, or other physiological instability explain or intensify the presentation?</w:t>
            </w:r>
          </w:p>
        </w:tc>
      </w:tr>
      <w:tr>
        <w:trPr>
          <w:cantSplit/>
        </w:trPr>
        <w:tc>
          <w:tcPr>
            <w:tcW w:type="dxa" w:w="21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Trauma / dissociation</w:t>
            </w:r>
          </w:p>
        </w:tc>
        <w:tc>
          <w:tcPr>
            <w:tcW w:type="dxa" w:w="82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Are the experiences linked to reminders, flashbacks, depersonalization, derealization, or altered awareness rather than a primary psychotic process?</w:t>
            </w:r>
          </w:p>
        </w:tc>
      </w:tr>
      <w:tr>
        <w:trPr>
          <w:cantSplit/>
        </w:trPr>
        <w:tc>
          <w:tcPr>
            <w:tcW w:type="dxa" w:w="21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Development / learning</w:t>
            </w:r>
          </w:p>
        </w:tc>
        <w:tc>
          <w:tcPr>
            <w:tcW w:type="dxa" w:w="82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Is the pattern longstanding, cross-setting, developmentally anchored, or better explained by learning, language, sensory, or environmental factors?</w:t>
            </w:r>
          </w:p>
        </w:tc>
      </w:tr>
      <w:tr>
        <w:trPr>
          <w:cantSplit/>
        </w:trPr>
        <w:tc>
          <w:tcPr>
            <w:tcW w:type="dxa" w:w="21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Culture / spirituality</w:t>
            </w:r>
          </w:p>
        </w:tc>
        <w:tc>
          <w:tcPr>
            <w:tcW w:type="dxa" w:w="82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What meaning does the client give the experience, and is it shared or understandable within the person’s cultural or spiritual context without impairment or loss of reality testing?</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FDECEA"/>
            <w:tcMar>
              <w:top w:w="110" w:type="dxa"/>
              <w:start w:w="130" w:type="dxa"/>
              <w:bottom w:w="110" w:type="dxa"/>
              <w:end w:w="130" w:type="dxa"/>
            </w:tcMar>
          </w:tcPr>
          <w:p>
            <w:pPr>
              <w:spacing w:before="0" w:after="0" w:line="245" w:lineRule="auto"/>
            </w:pPr>
            <w:r>
              <w:rPr>
                <w:rFonts w:ascii="Liberation Sans" w:hAnsi="Liberation Sans"/>
                <w:b/>
                <w:i w:val="0"/>
                <w:color w:val="B42318"/>
                <w:sz w:val="20"/>
              </w:rPr>
              <w:t>URGENCY RULE</w:t>
              <w:br/>
            </w:r>
            <w:r>
              <w:rPr>
                <w:rFonts w:ascii="Liberation Sans" w:hAnsi="Liberation Sans"/>
                <w:b w:val="0"/>
                <w:i w:val="0"/>
                <w:color w:val="1F2937"/>
                <w:sz w:val="17"/>
              </w:rPr>
              <w:t>When acute confusion, medical instability, severe intoxication or withdrawal, inability to care for self or dependents, imminent danger, or rapidly worsening psychosis is present, routing and safety assessment come before ordinary outpatient diagnostic refinement.</w:t>
            </w:r>
          </w:p>
        </w:tc>
      </w:tr>
    </w:tbl>
    <w:p>
      <w:pPr>
        <w:spacing w:after="0"/>
      </w:pPr>
    </w:p>
    <w:p>
      <w:pPr>
        <w:keepNext/>
        <w:spacing w:before="100" w:after="60" w:line="247" w:lineRule="auto"/>
        <w:jc w:val="left"/>
      </w:pPr>
      <w:r>
        <w:rPr>
          <w:rFonts w:ascii="Liberation Sans" w:hAnsi="Liberation Sans"/>
          <w:b/>
          <w:i w:val="0"/>
          <w:color w:val="193A63"/>
          <w:sz w:val="24"/>
        </w:rPr>
        <w:t>Case Lab 3A: Postpartum Intrusive Thoughts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Four weeks after childbirth, Elena reports depressed mood, severe sleep loss, repeated unwanted images of dropping the baby, and fear that having the images means she is dangerous. She finds the thoughts horrifying, avoids being alone with the baby, seeks reassurance, and retains insight. A relative had postpartum psychosis.</w:t>
            </w:r>
          </w:p>
        </w:tc>
      </w:tr>
    </w:tbl>
    <w:p>
      <w:pPr>
        <w:spacing w:after="0"/>
      </w:pPr>
    </w:p>
    <w:p>
      <w:pPr>
        <w:pStyle w:val="ListBullet"/>
        <w:spacing w:before="0" w:after="40" w:line="245" w:lineRule="auto"/>
      </w:pPr>
      <w:r>
        <w:rPr>
          <w:rFonts w:ascii="Liberation Sans" w:hAnsi="Liberation Sans"/>
          <w:b w:val="0"/>
          <w:i w:val="0"/>
          <w:color w:val="1F2937"/>
          <w:sz w:val="17"/>
        </w:rPr>
        <w:t>Which features suggest ego-dystonic intrusive thoughts rather than intent or fixed psychotic belief?</w:t>
      </w:r>
    </w:p>
    <w:p>
      <w:pPr>
        <w:pStyle w:val="ListBullet"/>
        <w:spacing w:before="0" w:after="40" w:line="245" w:lineRule="auto"/>
      </w:pPr>
      <w:r>
        <w:rPr>
          <w:rFonts w:ascii="Liberation Sans" w:hAnsi="Liberation Sans"/>
          <w:b w:val="0"/>
          <w:i w:val="0"/>
          <w:color w:val="1F2937"/>
          <w:sz w:val="17"/>
        </w:rPr>
        <w:t>What safety, mood, activation, psychosis, sleep, medication, and medical questions are still required?</w:t>
      </w:r>
    </w:p>
    <w:p>
      <w:pPr>
        <w:pStyle w:val="ListBullet"/>
        <w:spacing w:before="0" w:after="40" w:line="245" w:lineRule="auto"/>
      </w:pPr>
      <w:r>
        <w:rPr>
          <w:rFonts w:ascii="Liberation Sans" w:hAnsi="Liberation Sans"/>
          <w:b w:val="0"/>
          <w:i w:val="0"/>
          <w:color w:val="1F2937"/>
          <w:sz w:val="17"/>
        </w:rPr>
        <w:t>How should family history affect assessment without determining the diagnosis?</w:t>
      </w:r>
    </w:p>
    <w:p>
      <w:pPr>
        <w:pStyle w:val="ListBullet"/>
        <w:spacing w:before="0" w:after="40" w:line="245" w:lineRule="auto"/>
      </w:pPr>
      <w:r>
        <w:rPr>
          <w:rFonts w:ascii="Liberation Sans" w:hAnsi="Liberation Sans"/>
          <w:b w:val="0"/>
          <w:i w:val="0"/>
          <w:color w:val="1F2937"/>
          <w:sz w:val="17"/>
        </w:rPr>
        <w:t>What level of coordination or urgent evaluation may be needed if insight, organization, or safety changes?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Assess the content, meaning, distress, insight, intent, planning, reality testing, organization, sleep, functioning, support, and ability to care for self and infant. Intrusive thoughts that are unwanted and resisted differ from intent or delusional conviction, but they still require direct safety assessment. Preserve diagnostic uncertainty, coordinate medical or psychiatric evaluation when indicated, and monitor for rapid change.</w:t>
            </w:r>
          </w:p>
        </w:tc>
      </w:tr>
    </w:tbl>
    <w:p>
      <w:pPr>
        <w:spacing w:after="0"/>
      </w:pPr>
    </w:p>
    <w:p>
      <w:pPr>
        <w:keepNext/>
        <w:spacing w:before="100" w:after="60" w:line="247" w:lineRule="auto"/>
        <w:jc w:val="left"/>
      </w:pPr>
      <w:r>
        <w:rPr>
          <w:rFonts w:ascii="Liberation Sans" w:hAnsi="Liberation Sans"/>
          <w:b/>
          <w:i w:val="0"/>
          <w:color w:val="193A63"/>
          <w:sz w:val="24"/>
        </w:rPr>
        <w:t>Case Lab 3B: Activation After Medication and Stimulants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After an antidepressant dose increase and several weeks of heavy energy-drink use, Devon sleeps two to three hours without feeling tired, speaks rapidly, starts multiple projects, spends excessively, becomes irritable, and insists performance is better than ever. A partner reports no similar history before the medication change.</w:t>
            </w:r>
          </w:p>
        </w:tc>
      </w:tr>
    </w:tbl>
    <w:p>
      <w:pPr>
        <w:spacing w:after="0"/>
      </w:pPr>
    </w:p>
    <w:p>
      <w:pPr>
        <w:pStyle w:val="ListBullet"/>
        <w:spacing w:before="0" w:after="40" w:line="245" w:lineRule="auto"/>
      </w:pPr>
      <w:r>
        <w:rPr>
          <w:rFonts w:ascii="Liberation Sans" w:hAnsi="Liberation Sans"/>
          <w:b w:val="0"/>
          <w:i w:val="0"/>
          <w:color w:val="1F2937"/>
          <w:sz w:val="17"/>
        </w:rPr>
        <w:t>Which facts suggest activation, and which facts are needed to determine baseline and prior episodes?</w:t>
      </w:r>
    </w:p>
    <w:p>
      <w:pPr>
        <w:pStyle w:val="ListBullet"/>
        <w:spacing w:before="0" w:after="40" w:line="245" w:lineRule="auto"/>
      </w:pPr>
      <w:r>
        <w:rPr>
          <w:rFonts w:ascii="Liberation Sans" w:hAnsi="Liberation Sans"/>
          <w:b w:val="0"/>
          <w:i w:val="0"/>
          <w:color w:val="1F2937"/>
          <w:sz w:val="17"/>
        </w:rPr>
        <w:t>How should medication, stimulants, sleep loss, substance use, bipolar-spectrum illness, psychosis, and medical causes be compared?</w:t>
      </w:r>
    </w:p>
    <w:p>
      <w:pPr>
        <w:pStyle w:val="ListBullet"/>
        <w:spacing w:before="0" w:after="40" w:line="245" w:lineRule="auto"/>
      </w:pPr>
      <w:r>
        <w:rPr>
          <w:rFonts w:ascii="Liberation Sans" w:hAnsi="Liberation Sans"/>
          <w:b w:val="0"/>
          <w:i w:val="0"/>
          <w:color w:val="1F2937"/>
          <w:sz w:val="17"/>
        </w:rPr>
        <w:t>What is the first appropriate coordination step?</w:t>
      </w:r>
    </w:p>
    <w:p>
      <w:pPr>
        <w:pStyle w:val="ListBullet"/>
        <w:spacing w:before="0" w:after="40" w:line="245" w:lineRule="auto"/>
      </w:pPr>
      <w:r>
        <w:rPr>
          <w:rFonts w:ascii="Liberation Sans" w:hAnsi="Liberation Sans"/>
          <w:b w:val="0"/>
          <w:i w:val="0"/>
          <w:color w:val="1F2937"/>
          <w:sz w:val="17"/>
        </w:rPr>
        <w:t>Why is routine couple communication work insufficient as the initial response?</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Treat the marked change from baseline and reduced need for sleep as decision-critical. Clarify chronology, prior episodes, substances, medication changes, psychotic features, safety, and functioning. Coordinate prompt psychiatric or medical evaluation rather than advising a medication change. A substance- or medication-related explanation and a bipolar-spectrum episode may both remain open until the timeline and clinical evaluation clarify the presentation.</w:t>
            </w:r>
          </w:p>
        </w:tc>
      </w:tr>
    </w:tbl>
    <w:p>
      <w:pPr>
        <w:spacing w:after="0"/>
      </w:pPr>
    </w:p>
    <w:p>
      <w:pPr>
        <w:keepNext/>
        <w:spacing w:before="140" w:after="80" w:line="247" w:lineRule="auto"/>
        <w:jc w:val="left"/>
      </w:pPr>
      <w:r>
        <w:rPr>
          <w:rFonts w:ascii="Liberation Sans" w:hAnsi="Liberation Sans"/>
          <w:b/>
          <w:i w:val="0"/>
          <w:color w:val="193A63"/>
          <w:sz w:val="24"/>
        </w:rPr>
        <w:t>DIFF Practice Worksheet</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cantSplit/>
          <w:tblHeader w:val="true"/>
        </w:trPr>
        <w:tc>
          <w:tcPr>
            <w:tcW w:type="dxa" w:w="223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Prompt</w:t>
            </w:r>
          </w:p>
        </w:tc>
        <w:tc>
          <w:tcPr>
            <w:tcW w:type="dxa" w:w="406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Explanation 1 / Evidence</w:t>
            </w:r>
          </w:p>
        </w:tc>
        <w:tc>
          <w:tcPr>
            <w:tcW w:type="dxa" w:w="406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Explanation 2 / Evidence</w:t>
            </w:r>
          </w:p>
        </w:tc>
      </w:tr>
      <w:tr>
        <w:trPr>
          <w:cantSplit/>
        </w:trPr>
        <w:tc>
          <w:tcPr>
            <w:tcW w:type="dxa" w:w="223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Candidate explanation</w:t>
            </w:r>
          </w:p>
        </w:tc>
        <w:tc>
          <w:tcPr>
            <w:tcW w:type="dxa" w:w="40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____________________________</w:t>
            </w:r>
          </w:p>
        </w:tc>
        <w:tc>
          <w:tcPr>
            <w:tcW w:type="dxa" w:w="40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____________________________</w:t>
            </w:r>
          </w:p>
        </w:tc>
      </w:tr>
      <w:tr>
        <w:trPr>
          <w:cantSplit/>
        </w:trPr>
        <w:tc>
          <w:tcPr>
            <w:tcW w:type="dxa" w:w="223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Evidence for</w:t>
            </w:r>
          </w:p>
        </w:tc>
        <w:tc>
          <w:tcPr>
            <w:tcW w:type="dxa" w:w="40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____________________________</w:t>
              <w:br/>
              <w:t>____________________________</w:t>
            </w:r>
          </w:p>
        </w:tc>
        <w:tc>
          <w:tcPr>
            <w:tcW w:type="dxa" w:w="40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____________________________</w:t>
              <w:br/>
              <w:t>____________________________</w:t>
            </w:r>
          </w:p>
        </w:tc>
      </w:tr>
      <w:tr>
        <w:trPr>
          <w:cantSplit/>
        </w:trPr>
        <w:tc>
          <w:tcPr>
            <w:tcW w:type="dxa" w:w="223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Evidence against</w:t>
            </w:r>
          </w:p>
        </w:tc>
        <w:tc>
          <w:tcPr>
            <w:tcW w:type="dxa" w:w="40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____________________________</w:t>
              <w:br/>
              <w:t>____________________________</w:t>
            </w:r>
          </w:p>
        </w:tc>
        <w:tc>
          <w:tcPr>
            <w:tcW w:type="dxa" w:w="40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____________________________</w:t>
              <w:br/>
              <w:t>____________________________</w:t>
            </w:r>
          </w:p>
        </w:tc>
      </w:tr>
      <w:tr>
        <w:trPr>
          <w:cantSplit/>
        </w:trPr>
        <w:tc>
          <w:tcPr>
            <w:tcW w:type="dxa" w:w="223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Missing discriminator</w:t>
            </w:r>
          </w:p>
        </w:tc>
        <w:tc>
          <w:tcPr>
            <w:tcW w:type="dxa" w:w="40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____________________________</w:t>
            </w:r>
          </w:p>
        </w:tc>
        <w:tc>
          <w:tcPr>
            <w:tcW w:type="dxa" w:w="40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____________________________</w:t>
            </w:r>
          </w:p>
        </w:tc>
      </w:tr>
      <w:tr>
        <w:trPr>
          <w:cantSplit/>
        </w:trPr>
        <w:tc>
          <w:tcPr>
            <w:tcW w:type="dxa" w:w="223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Urgency / referral need</w:t>
            </w:r>
          </w:p>
        </w:tc>
        <w:tc>
          <w:tcPr>
            <w:tcW w:type="dxa" w:w="40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____________________________</w:t>
            </w:r>
          </w:p>
        </w:tc>
        <w:tc>
          <w:tcPr>
            <w:tcW w:type="dxa" w:w="40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____________________________</w:t>
            </w:r>
          </w:p>
        </w:tc>
      </w:tr>
      <w:tr>
        <w:trPr>
          <w:cantSplit/>
        </w:trPr>
        <w:tc>
          <w:tcPr>
            <w:tcW w:type="dxa" w:w="223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Systemic effects</w:t>
            </w:r>
          </w:p>
        </w:tc>
        <w:tc>
          <w:tcPr>
            <w:tcW w:type="dxa" w:w="40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____________________________</w:t>
            </w:r>
          </w:p>
        </w:tc>
        <w:tc>
          <w:tcPr>
            <w:tcW w:type="dxa" w:w="40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CLINICAL TAKEAWAY</w:t>
              <w:br/>
            </w:r>
            <w:r>
              <w:rPr>
                <w:rFonts w:ascii="Liberation Sans" w:hAnsi="Liberation Sans"/>
                <w:b w:val="0"/>
                <w:i w:val="0"/>
                <w:color w:val="1F2937"/>
                <w:sz w:val="17"/>
              </w:rPr>
              <w:t>Differential diagnosis is an active comparison. The strongest answer identifies the discriminator and does not delay evaluation when medical, substance-related, psychotic, nutritional, or safety conditions may control the sequence.</w:t>
            </w:r>
          </w:p>
        </w:tc>
      </w:tr>
    </w:tbl>
    <w:p>
      <w:pPr>
        <w:spacing w:after="0"/>
      </w:pPr>
    </w:p>
    <w:p>
      <w:pPr>
        <w:pStyle w:val="ListBullet"/>
        <w:spacing w:before="0" w:after="40" w:line="245" w:lineRule="auto"/>
      </w:pPr>
      <w:r>
        <w:rPr>
          <w:rFonts w:ascii="Liberation Sans" w:hAnsi="Liberation Sans"/>
          <w:b w:val="0"/>
          <w:i w:val="0"/>
          <w:color w:val="1F2937"/>
          <w:sz w:val="17"/>
        </w:rPr>
        <w:t>Compare mechanism and course, not only symptom overlap.</w:t>
      </w:r>
    </w:p>
    <w:p>
      <w:pPr>
        <w:pStyle w:val="ListBullet"/>
        <w:spacing w:before="0" w:after="40" w:line="245" w:lineRule="auto"/>
      </w:pPr>
      <w:r>
        <w:rPr>
          <w:rFonts w:ascii="Liberation Sans" w:hAnsi="Liberation Sans"/>
          <w:b w:val="0"/>
          <w:i w:val="0"/>
          <w:color w:val="1F2937"/>
          <w:sz w:val="17"/>
        </w:rPr>
        <w:t>Assess medical, medication, substance, sleep, and nutritional factors.</w:t>
      </w:r>
    </w:p>
    <w:p>
      <w:pPr>
        <w:pStyle w:val="ListBullet"/>
        <w:spacing w:before="0" w:after="40" w:line="245" w:lineRule="auto"/>
      </w:pPr>
      <w:r>
        <w:rPr>
          <w:rFonts w:ascii="Liberation Sans" w:hAnsi="Liberation Sans"/>
          <w:b w:val="0"/>
          <w:i w:val="0"/>
          <w:color w:val="1F2937"/>
          <w:sz w:val="17"/>
        </w:rPr>
        <w:t>Separate intrusive thoughts from intent and fixed belief.</w:t>
      </w:r>
    </w:p>
    <w:p>
      <w:pPr>
        <w:pStyle w:val="ListBullet"/>
        <w:spacing w:before="0" w:after="40" w:line="245" w:lineRule="auto"/>
      </w:pPr>
      <w:r>
        <w:rPr>
          <w:rFonts w:ascii="Liberation Sans" w:hAnsi="Liberation Sans"/>
          <w:b w:val="0"/>
          <w:i w:val="0"/>
          <w:color w:val="1F2937"/>
          <w:sz w:val="17"/>
        </w:rPr>
        <w:t>Coordinate rather than prescribe or exceed scope.</w:t>
      </w:r>
    </w:p>
    <w:p>
      <w:pPr>
        <w:pStyle w:val="ListBullet"/>
        <w:spacing w:before="0" w:after="40" w:line="245" w:lineRule="auto"/>
      </w:pPr>
      <w:r>
        <w:rPr>
          <w:rFonts w:ascii="Liberation Sans" w:hAnsi="Liberation Sans"/>
          <w:b w:val="0"/>
          <w:i w:val="0"/>
          <w:color w:val="1F2937"/>
          <w:sz w:val="17"/>
        </w:rPr>
        <w:t>Keep continuity while specialty evaluation occurs.</w:t>
      </w:r>
    </w:p>
    <w:p>
      <w:r>
        <w:br w:type="page"/>
      </w:r>
    </w:p>
    <w:tbl>
      <w:tblPr>
        <w:tblStyle w:val="TableGrid"/>
        <w:tblW w:type="auto" w:w="0"/>
        <w:jc w:val="center"/>
        <w:tblLayout w:type="fixed"/>
        <w:tblLook w:firstColumn="1" w:firstRow="1" w:lastColumn="0" w:lastRow="0" w:noHBand="0" w:noVBand="1" w:val="04A0"/>
      </w:tblPr>
      <w:tblGrid>
        <w:gridCol w:w="10570"/>
      </w:tblGrid>
      <w:tr>
        <w:trPr>
          <w:tblHeader w:val="true"/>
        </w:trPr>
        <w:tc>
          <w:tcPr>
            <w:tcW w:type="dxa" w:w="10570"/>
            <w:shd w:fill="193A63"/>
            <w:tcMar>
              <w:top w:w="120" w:type="dxa"/>
              <w:start w:w="120" w:type="dxa"/>
              <w:bottom w:w="120" w:type="dxa"/>
              <w:end w:w="120" w:type="dxa"/>
            </w:tcMar>
          </w:tcPr>
          <w:p>
            <w:pPr>
              <w:spacing w:before="0" w:after="0" w:line="240" w:lineRule="auto"/>
              <w:jc w:val="center"/>
            </w:pPr>
            <w:r>
              <w:rPr>
                <w:rFonts w:ascii="Liberation Sans" w:hAnsi="Liberation Sans"/>
                <w:b/>
                <w:i w:val="0"/>
                <w:color w:val="009C95"/>
                <w:sz w:val="22"/>
              </w:rPr>
              <w:t>CHAPTER 4</w:t>
              <w:br/>
            </w:r>
            <w:r>
              <w:rPr>
                <w:rFonts w:ascii="Liberation Sans" w:hAnsi="Liberation Sans"/>
                <w:b/>
                <w:i w:val="0"/>
                <w:color w:val="FFFFFF"/>
                <w:sz w:val="33"/>
              </w:rPr>
              <w:t>Standardized Instruments, Measurement, and Diagnostic Confidence</w:t>
            </w:r>
          </w:p>
        </w:tc>
      </w:tr>
      <w:tr>
        <w:tc>
          <w:tcPr>
            <w:tcW w:type="dxa" w:w="10570"/>
            <w:shd w:fill="EDF3FA"/>
            <w:tcMar>
              <w:top w:w="105" w:type="dxa"/>
              <w:start w:w="120" w:type="dxa"/>
              <w:bottom w:w="105" w:type="dxa"/>
              <w:end w:w="120" w:type="dxa"/>
            </w:tcMar>
          </w:tcPr>
          <w:p>
            <w:pPr>
              <w:spacing w:before="0" w:after="0" w:line="245" w:lineRule="auto"/>
            </w:pPr>
            <w:r>
              <w:rPr>
                <w:rFonts w:ascii="Liberation Sans" w:hAnsi="Liberation Sans"/>
                <w:b/>
                <w:i w:val="0"/>
                <w:color w:val="193A63"/>
                <w:sz w:val="18"/>
              </w:rPr>
              <w:t xml:space="preserve">BIG IDEA  </w:t>
            </w:r>
            <w:r>
              <w:rPr>
                <w:rFonts w:ascii="Liberation Sans" w:hAnsi="Liberation Sans"/>
                <w:b w:val="0"/>
                <w:i w:val="0"/>
                <w:color w:val="1F2937"/>
                <w:sz w:val="18"/>
              </w:rPr>
              <w:t>An instrument answers a defined question under specific conditions. It improves reasoning when used within purpose and limits; it becomes unsafe when a score is treated as a diagnosis.</w:t>
            </w:r>
          </w:p>
        </w:tc>
      </w:tr>
    </w:tbl>
    <w:p>
      <w:pPr>
        <w:spacing w:after="0"/>
      </w:pPr>
    </w:p>
    <w:p>
      <w:pPr>
        <w:keepNext w:val="0"/>
        <w:spacing w:before="0" w:after="80" w:line="247" w:lineRule="auto"/>
        <w:jc w:val="left"/>
      </w:pPr>
      <w:r>
        <w:rPr>
          <w:rFonts w:ascii="Liberation Sans" w:hAnsi="Liberation Sans"/>
          <w:b w:val="0"/>
          <w:i w:val="0"/>
          <w:color w:val="1F2937"/>
          <w:sz w:val="18"/>
        </w:rPr>
        <w:t>Assessment instruments can structure symptom inquiry, estimate severity, monitor change, or support a specialty evaluation. The therapist must still consider fit, administration conditions, norms, reliability, validity, measurement error, language, culture, accessibility, competence, and the consequences of false positives and false negatives.</w:t>
      </w:r>
    </w:p>
    <w:p>
      <w:pPr>
        <w:keepNext/>
        <w:spacing w:before="140" w:after="80" w:line="247" w:lineRule="auto"/>
        <w:jc w:val="left"/>
      </w:pPr>
      <w:r>
        <w:rPr>
          <w:rFonts w:ascii="Liberation Sans" w:hAnsi="Liberation Sans"/>
          <w:b/>
          <w:i w:val="0"/>
          <w:color w:val="193A63"/>
          <w:sz w:val="25"/>
        </w:rPr>
        <w:t>The MEASURE Instrument-Use Check</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59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Step</w:t>
            </w:r>
          </w:p>
        </w:tc>
        <w:tc>
          <w:tcPr>
            <w:tcW w:type="dxa" w:w="777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Instrument Control</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M - Match</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Match the tool to the unresolved clinical question; do not administer it merely because it is available.</w:t>
            </w:r>
          </w:p>
        </w:tc>
      </w:tr>
      <w:tr>
        <w:trPr>
          <w:cantSplit/>
        </w:trPr>
        <w:tc>
          <w:tcPr>
            <w:tcW w:type="dxa" w:w="25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E - Evaluate evidence</w:t>
            </w:r>
          </w:p>
        </w:tc>
        <w:tc>
          <w:tcPr>
            <w:tcW w:type="dxa" w:w="77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Review norms, reliability, validity, measurement error, and limits for the population and purpose.</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 - Assess access</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Consider language, culture, literacy, disability, technology access, and accommodation needs.</w:t>
            </w:r>
          </w:p>
        </w:tc>
      </w:tr>
      <w:tr>
        <w:trPr>
          <w:cantSplit/>
        </w:trPr>
        <w:tc>
          <w:tcPr>
            <w:tcW w:type="dxa" w:w="25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S - Stay within competence</w:t>
            </w:r>
          </w:p>
        </w:tc>
        <w:tc>
          <w:tcPr>
            <w:tcW w:type="dxa" w:w="77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Use only within training, scope, scoring authority, licensing rules, and permitted use.</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 - Use multiple data</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Combine results with interview, observation, collateral, records, context, and judgment.</w:t>
            </w:r>
          </w:p>
        </w:tc>
      </w:tr>
      <w:tr>
        <w:trPr>
          <w:cantSplit/>
        </w:trPr>
        <w:tc>
          <w:tcPr>
            <w:tcW w:type="dxa" w:w="25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R - Review collaboratively</w:t>
            </w:r>
          </w:p>
        </w:tc>
        <w:tc>
          <w:tcPr>
            <w:tcW w:type="dxa" w:w="77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Explain what the result supports, what it does not establish, and how the client system understands it.</w:t>
            </w:r>
          </w:p>
        </w:tc>
      </w:tr>
      <w:tr>
        <w:trPr>
          <w:cantSplit/>
        </w:trPr>
        <w:tc>
          <w:tcPr>
            <w:tcW w:type="dxa" w:w="25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E - Explain and document</w:t>
            </w:r>
          </w:p>
        </w:tc>
        <w:tc>
          <w:tcPr>
            <w:tcW w:type="dxa" w:w="77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Record purpose, consent, conditions, limitations, interpretation, consultation, and next step.</w:t>
            </w:r>
          </w:p>
        </w:tc>
      </w:tr>
    </w:tbl>
    <w:p>
      <w:pPr>
        <w:spacing w:after="0"/>
      </w:pPr>
    </w:p>
    <w:p>
      <w:pPr>
        <w:keepNext/>
        <w:spacing w:before="140" w:after="80" w:line="247" w:lineRule="auto"/>
        <w:jc w:val="left"/>
      </w:pPr>
      <w:r>
        <w:rPr>
          <w:rFonts w:ascii="Liberation Sans" w:hAnsi="Liberation Sans"/>
          <w:b/>
          <w:i w:val="0"/>
          <w:color w:val="193A63"/>
          <w:sz w:val="25"/>
        </w:rPr>
        <w:t>Psychometric Concepts in Plain Language</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cantSplit/>
          <w:tblHeader w:val="true"/>
        </w:trPr>
        <w:tc>
          <w:tcPr>
            <w:tcW w:type="dxa" w:w="180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Concept</w:t>
            </w:r>
          </w:p>
        </w:tc>
        <w:tc>
          <w:tcPr>
            <w:tcW w:type="dxa" w:w="511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Practical Meaning</w:t>
            </w:r>
          </w:p>
        </w:tc>
        <w:tc>
          <w:tcPr>
            <w:tcW w:type="dxa" w:w="345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Exam Control</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Reliability</w:t>
            </w:r>
          </w:p>
        </w:tc>
        <w:tc>
          <w:tcPr>
            <w:tcW w:type="dxa" w:w="511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How consistently a measure performs under similar conditions.</w:t>
            </w:r>
          </w:p>
        </w:tc>
        <w:tc>
          <w:tcPr>
            <w:tcW w:type="dxa" w:w="345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A consistent tool can still measure the wrong construct.</w:t>
            </w:r>
          </w:p>
        </w:tc>
      </w:tr>
      <w:tr>
        <w:trPr>
          <w:cantSplit/>
        </w:trPr>
        <w:tc>
          <w:tcPr>
            <w:tcW w:type="dxa" w:w="180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Validity</w:t>
            </w:r>
          </w:p>
        </w:tc>
        <w:tc>
          <w:tcPr>
            <w:tcW w:type="dxa" w:w="511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How well evidence supports the interpretation and use of scores for the intended purpose.</w:t>
            </w:r>
          </w:p>
        </w:tc>
        <w:tc>
          <w:tcPr>
            <w:tcW w:type="dxa" w:w="345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Validity belongs to the interpretation and use, not the test name alone.</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Norms</w:t>
            </w:r>
          </w:p>
        </w:tc>
        <w:tc>
          <w:tcPr>
            <w:tcW w:type="dxa" w:w="511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Reference data used to compare a score with a defined group.</w:t>
            </w:r>
          </w:p>
        </w:tc>
        <w:tc>
          <w:tcPr>
            <w:tcW w:type="dxa" w:w="345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Ask whether the comparison group fits the client and context.</w:t>
            </w:r>
          </w:p>
        </w:tc>
      </w:tr>
      <w:tr>
        <w:trPr>
          <w:cantSplit/>
        </w:trPr>
        <w:tc>
          <w:tcPr>
            <w:tcW w:type="dxa" w:w="180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Sensitivity</w:t>
            </w:r>
          </w:p>
        </w:tc>
        <w:tc>
          <w:tcPr>
            <w:tcW w:type="dxa" w:w="511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How often the tool identifies people who have the condition or concern.</w:t>
            </w:r>
          </w:p>
        </w:tc>
        <w:tc>
          <w:tcPr>
            <w:tcW w:type="dxa" w:w="345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Higher sensitivity may increase false positives.</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Specificity</w:t>
            </w:r>
          </w:p>
        </w:tc>
        <w:tc>
          <w:tcPr>
            <w:tcW w:type="dxa" w:w="511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How often the tool correctly excludes people who do not have the condition or concern.</w:t>
            </w:r>
          </w:p>
        </w:tc>
        <w:tc>
          <w:tcPr>
            <w:tcW w:type="dxa" w:w="345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Higher specificity may still miss cases if sensitivity is limited.</w:t>
            </w:r>
          </w:p>
        </w:tc>
      </w:tr>
      <w:tr>
        <w:trPr>
          <w:cantSplit/>
        </w:trPr>
        <w:tc>
          <w:tcPr>
            <w:tcW w:type="dxa" w:w="180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Cut score</w:t>
            </w:r>
          </w:p>
        </w:tc>
        <w:tc>
          <w:tcPr>
            <w:tcW w:type="dxa" w:w="511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A decision threshold chosen for a specific purpose.</w:t>
            </w:r>
          </w:p>
        </w:tc>
        <w:tc>
          <w:tcPr>
            <w:tcW w:type="dxa" w:w="345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A cut score is not a biological boundary or stand-alone diagnosis.</w:t>
            </w:r>
          </w:p>
        </w:tc>
      </w:tr>
      <w:tr>
        <w:trPr>
          <w:cantSplit/>
        </w:trPr>
        <w:tc>
          <w:tcPr>
            <w:tcW w:type="dxa" w:w="180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Measurement error</w:t>
            </w:r>
          </w:p>
        </w:tc>
        <w:tc>
          <w:tcPr>
            <w:tcW w:type="dxa" w:w="511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The expected uncertainty around a score.</w:t>
            </w:r>
          </w:p>
        </w:tc>
        <w:tc>
          <w:tcPr>
            <w:tcW w:type="dxa" w:w="345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Small score changes may not reflect meaningful clinical change.</w:t>
            </w:r>
          </w:p>
        </w:tc>
      </w:tr>
      <w:tr>
        <w:trPr>
          <w:cantSplit/>
        </w:trPr>
        <w:tc>
          <w:tcPr>
            <w:tcW w:type="dxa" w:w="180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Repeated measurement</w:t>
            </w:r>
          </w:p>
        </w:tc>
        <w:tc>
          <w:tcPr>
            <w:tcW w:type="dxa" w:w="511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Using the same or comparable measure over time.</w:t>
            </w:r>
          </w:p>
        </w:tc>
        <w:tc>
          <w:tcPr>
            <w:tcW w:type="dxa" w:w="345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Interpret trends with treatment, context, administration conditions, and client report.</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FFF5D6"/>
            <w:tcMar>
              <w:top w:w="110" w:type="dxa"/>
              <w:start w:w="130" w:type="dxa"/>
              <w:bottom w:w="110" w:type="dxa"/>
              <w:end w:w="130" w:type="dxa"/>
            </w:tcMar>
          </w:tcPr>
          <w:p>
            <w:pPr>
              <w:spacing w:before="0" w:after="0" w:line="245" w:lineRule="auto"/>
            </w:pPr>
            <w:r>
              <w:rPr>
                <w:rFonts w:ascii="Liberation Sans" w:hAnsi="Liberation Sans"/>
                <w:b/>
                <w:i w:val="0"/>
                <w:color w:val="9A6700"/>
                <w:sz w:val="20"/>
              </w:rPr>
              <w:t>SCREENING CONTROL</w:t>
              <w:br/>
            </w:r>
            <w:r>
              <w:rPr>
                <w:rFonts w:ascii="Liberation Sans" w:hAnsi="Liberation Sans"/>
                <w:b w:val="0"/>
                <w:i w:val="0"/>
                <w:color w:val="1F2937"/>
                <w:sz w:val="17"/>
              </w:rPr>
              <w:t>A positive screen means “assess further,” not “diagnosis confirmed.” A negative screen does not override direct clinical evidence, acute change, or a tool-population mismatch.</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AI AND TECHNOLOGY CONTROL</w:t>
              <w:br/>
            </w:r>
            <w:r>
              <w:rPr>
                <w:rFonts w:ascii="Liberation Sans" w:hAnsi="Liberation Sans"/>
                <w:b w:val="0"/>
                <w:i w:val="0"/>
                <w:color w:val="1F2937"/>
                <w:sz w:val="17"/>
              </w:rPr>
              <w:t>An AI-generated intake summary, score interpretation, or diagnostic suggestion must be verified by a qualified human. Review source data, omissions, bias, privacy, authorization, and clinical fit. Never delegate diagnosis or professional accountability to a tool.</w:t>
            </w:r>
          </w:p>
        </w:tc>
      </w:tr>
    </w:tbl>
    <w:p>
      <w:pPr>
        <w:spacing w:after="0"/>
      </w:pPr>
    </w:p>
    <w:p>
      <w:pPr>
        <w:keepNext/>
        <w:spacing w:before="140" w:after="80" w:line="247" w:lineRule="auto"/>
        <w:jc w:val="left"/>
      </w:pPr>
      <w:r>
        <w:rPr>
          <w:rFonts w:ascii="Liberation Sans" w:hAnsi="Liberation Sans"/>
          <w:b/>
          <w:i w:val="0"/>
          <w:color w:val="193A63"/>
          <w:sz w:val="24"/>
        </w:rPr>
        <w:t>Instrument Selection and Interpretation Lab</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671"/>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Mini-Vignette</w:t>
            </w:r>
          </w:p>
        </w:tc>
        <w:tc>
          <w:tcPr>
            <w:tcW w:type="dxa" w:w="669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Use MEASURE</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A brief depression screener is elevated during acute bereavement.</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Clarify the question, timeline, functioning, safety, and differential. Use the score to guide further assessment, not to establish a disorder.</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A translated measure is available, but no validation information is known for the client’s language community.</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Assess language access and cultural fit, locate evidence or consultation, explain limits, and avoid overprecision.</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An AI platform summarizes an intake and assigns diagnostic probabilities.</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Verify every source statement, identify missing data and bias, protect privacy, document human review, and treat output only as unverified decision support.</w:t>
            </w:r>
          </w:p>
        </w:tc>
      </w:tr>
    </w:tbl>
    <w:p>
      <w:pPr>
        <w:spacing w:after="0"/>
      </w:pPr>
    </w:p>
    <w:p>
      <w:pPr>
        <w:keepNext/>
        <w:spacing w:before="140" w:after="80" w:line="247" w:lineRule="auto"/>
        <w:jc w:val="left"/>
      </w:pPr>
      <w:r>
        <w:rPr>
          <w:rFonts w:ascii="Liberation Sans" w:hAnsi="Liberation Sans"/>
          <w:b/>
          <w:i w:val="0"/>
          <w:color w:val="193A63"/>
          <w:sz w:val="24"/>
        </w:rPr>
        <w:t>MEASURE Practice Worksheet</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671"/>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Prompt</w:t>
            </w:r>
          </w:p>
        </w:tc>
        <w:tc>
          <w:tcPr>
            <w:tcW w:type="dxa" w:w="669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My Notes</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Unresolved clinical question</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Purpose and population fit</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Reliability, validity, norms, limits</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Language, culture, access, burden</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Competence, permission, administration</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What result does / does not establish</w:t>
            </w:r>
          </w:p>
        </w:tc>
        <w:tc>
          <w:tcPr>
            <w:tcW w:type="dxa" w:w="669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671"/>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Collaborative feedback and next step</w:t>
            </w:r>
          </w:p>
        </w:tc>
        <w:tc>
          <w:tcPr>
            <w:tcW w:type="dxa" w:w="669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CLINICAL TAKEAWAY</w:t>
              <w:br/>
            </w:r>
            <w:r>
              <w:rPr>
                <w:rFonts w:ascii="Liberation Sans" w:hAnsi="Liberation Sans"/>
                <w:b w:val="0"/>
                <w:i w:val="0"/>
                <w:color w:val="1F2937"/>
                <w:sz w:val="17"/>
              </w:rPr>
              <w:t>Use instruments to sharpen a defined question. The instrument does not replace the therapist’s responsibility to integrate the full evidence and explain uncertainty.</w:t>
            </w:r>
          </w:p>
        </w:tc>
      </w:tr>
    </w:tbl>
    <w:p>
      <w:pPr>
        <w:spacing w:after="0"/>
      </w:pPr>
    </w:p>
    <w:p>
      <w:pPr>
        <w:pStyle w:val="ListBullet"/>
        <w:spacing w:before="0" w:after="40" w:line="245" w:lineRule="auto"/>
      </w:pPr>
      <w:r>
        <w:rPr>
          <w:rFonts w:ascii="Liberation Sans" w:hAnsi="Liberation Sans"/>
          <w:b w:val="0"/>
          <w:i w:val="0"/>
          <w:color w:val="1F2937"/>
          <w:sz w:val="17"/>
        </w:rPr>
        <w:t>Match the measure to the unresolved decision.</w:t>
      </w:r>
    </w:p>
    <w:p>
      <w:pPr>
        <w:pStyle w:val="ListBullet"/>
        <w:spacing w:before="0" w:after="40" w:line="245" w:lineRule="auto"/>
      </w:pPr>
      <w:r>
        <w:rPr>
          <w:rFonts w:ascii="Liberation Sans" w:hAnsi="Liberation Sans"/>
          <w:b w:val="0"/>
          <w:i w:val="0"/>
          <w:color w:val="1F2937"/>
          <w:sz w:val="17"/>
        </w:rPr>
        <w:t>Evaluate fit, evidence, access, and competence.</w:t>
      </w:r>
    </w:p>
    <w:p>
      <w:pPr>
        <w:pStyle w:val="ListBullet"/>
        <w:spacing w:before="0" w:after="40" w:line="245" w:lineRule="auto"/>
      </w:pPr>
      <w:r>
        <w:rPr>
          <w:rFonts w:ascii="Liberation Sans" w:hAnsi="Liberation Sans"/>
          <w:b w:val="0"/>
          <w:i w:val="0"/>
          <w:color w:val="1F2937"/>
          <w:sz w:val="17"/>
        </w:rPr>
        <w:t>Interpret scores with other data and context.</w:t>
      </w:r>
    </w:p>
    <w:p>
      <w:pPr>
        <w:pStyle w:val="ListBullet"/>
        <w:spacing w:before="0" w:after="40" w:line="245" w:lineRule="auto"/>
      </w:pPr>
      <w:r>
        <w:rPr>
          <w:rFonts w:ascii="Liberation Sans" w:hAnsi="Liberation Sans"/>
          <w:b w:val="0"/>
          <w:i w:val="0"/>
          <w:color w:val="1F2937"/>
          <w:sz w:val="17"/>
        </w:rPr>
        <w:t>Explain false-positive, false-negative, and measurement limits.</w:t>
      </w:r>
    </w:p>
    <w:p>
      <w:pPr>
        <w:pStyle w:val="ListBullet"/>
        <w:spacing w:before="0" w:after="40" w:line="245" w:lineRule="auto"/>
      </w:pPr>
      <w:r>
        <w:rPr>
          <w:rFonts w:ascii="Liberation Sans" w:hAnsi="Liberation Sans"/>
          <w:b w:val="0"/>
          <w:i w:val="0"/>
          <w:color w:val="1F2937"/>
          <w:sz w:val="17"/>
        </w:rPr>
        <w:t>Preserve human review and accountability in technology-assisted assessment.</w:t>
      </w:r>
    </w:p>
    <w:p>
      <w:r>
        <w:br w:type="page"/>
      </w:r>
    </w:p>
    <w:tbl>
      <w:tblPr>
        <w:tblStyle w:val="TableGrid"/>
        <w:tblW w:type="auto" w:w="0"/>
        <w:jc w:val="center"/>
        <w:tblLayout w:type="fixed"/>
        <w:tblLook w:firstColumn="1" w:firstRow="1" w:lastColumn="0" w:lastRow="0" w:noHBand="0" w:noVBand="1" w:val="04A0"/>
      </w:tblPr>
      <w:tblGrid>
        <w:gridCol w:w="10570"/>
      </w:tblGrid>
      <w:tr>
        <w:trPr>
          <w:tblHeader w:val="true"/>
        </w:trPr>
        <w:tc>
          <w:tcPr>
            <w:tcW w:type="dxa" w:w="10570"/>
            <w:shd w:fill="193A63"/>
            <w:tcMar>
              <w:top w:w="120" w:type="dxa"/>
              <w:start w:w="120" w:type="dxa"/>
              <w:bottom w:w="120" w:type="dxa"/>
              <w:end w:w="120" w:type="dxa"/>
            </w:tcMar>
          </w:tcPr>
          <w:p>
            <w:pPr>
              <w:spacing w:before="0" w:after="0" w:line="240" w:lineRule="auto"/>
              <w:jc w:val="center"/>
            </w:pPr>
            <w:r>
              <w:rPr>
                <w:rFonts w:ascii="Liberation Sans" w:hAnsi="Liberation Sans"/>
                <w:b/>
                <w:i w:val="0"/>
                <w:color w:val="009C95"/>
                <w:sz w:val="22"/>
              </w:rPr>
              <w:t>CHAPTER 5</w:t>
              <w:br/>
            </w:r>
            <w:r>
              <w:rPr>
                <w:rFonts w:ascii="Liberation Sans" w:hAnsi="Liberation Sans"/>
                <w:b/>
                <w:i w:val="0"/>
                <w:color w:val="FFFFFF"/>
                <w:sz w:val="33"/>
              </w:rPr>
              <w:t>High-Yield Diagnostic Families and Complex Presentations</w:t>
            </w:r>
          </w:p>
        </w:tc>
      </w:tr>
      <w:tr>
        <w:tc>
          <w:tcPr>
            <w:tcW w:type="dxa" w:w="10570"/>
            <w:shd w:fill="EDF3FA"/>
            <w:tcMar>
              <w:top w:w="105" w:type="dxa"/>
              <w:start w:w="120" w:type="dxa"/>
              <w:bottom w:w="105" w:type="dxa"/>
              <w:end w:w="120" w:type="dxa"/>
            </w:tcMar>
          </w:tcPr>
          <w:p>
            <w:pPr>
              <w:spacing w:before="0" w:after="0" w:line="245" w:lineRule="auto"/>
            </w:pPr>
            <w:r>
              <w:rPr>
                <w:rFonts w:ascii="Liberation Sans" w:hAnsi="Liberation Sans"/>
                <w:b/>
                <w:i w:val="0"/>
                <w:color w:val="193A63"/>
                <w:sz w:val="18"/>
              </w:rPr>
              <w:t xml:space="preserve">BIG IDEA  </w:t>
            </w:r>
            <w:r>
              <w:rPr>
                <w:rFonts w:ascii="Liberation Sans" w:hAnsi="Liberation Sans"/>
                <w:b w:val="0"/>
                <w:i w:val="0"/>
                <w:color w:val="1F2937"/>
                <w:sz w:val="18"/>
              </w:rPr>
              <w:t>High-yield diagnosis depends on discriminators: timeline, mechanism, insight, reality testing, baseline, cross-setting pattern, functional impact, and relation to substances, medication, sleep, health, development, and context.</w:t>
            </w:r>
          </w:p>
        </w:tc>
      </w:tr>
    </w:tbl>
    <w:p>
      <w:pPr>
        <w:spacing w:after="0"/>
      </w:pPr>
    </w:p>
    <w:p>
      <w:pPr>
        <w:keepNext w:val="0"/>
        <w:spacing w:before="0" w:after="80" w:line="247" w:lineRule="auto"/>
        <w:jc w:val="left"/>
      </w:pPr>
      <w:r>
        <w:rPr>
          <w:rFonts w:ascii="Liberation Sans" w:hAnsi="Liberation Sans"/>
          <w:b w:val="0"/>
          <w:i w:val="0"/>
          <w:color w:val="1F2937"/>
          <w:sz w:val="18"/>
        </w:rPr>
        <w:t>The AMFTRB examination does not require memorizing every criterion in isolation. It requires selecting the next supported assessment or professional action when several explanations fit part of the presentation. Use the following comparisons as reasoning prompts, not as one-to-one diagnostic rules.</w:t>
      </w:r>
    </w:p>
    <w:p>
      <w:pPr>
        <w:keepNext/>
        <w:spacing w:before="140" w:after="80" w:line="247" w:lineRule="auto"/>
        <w:jc w:val="left"/>
      </w:pPr>
      <w:r>
        <w:rPr>
          <w:rFonts w:ascii="Liberation Sans" w:hAnsi="Liberation Sans"/>
          <w:b/>
          <w:i w:val="0"/>
          <w:color w:val="193A63"/>
          <w:sz w:val="25"/>
        </w:rPr>
        <w:t>COMPARE Matrix</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52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Presentation Area</w:t>
            </w:r>
          </w:p>
        </w:tc>
        <w:tc>
          <w:tcPr>
            <w:tcW w:type="dxa" w:w="784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Decision-Critical Comparisons</w:t>
            </w:r>
          </w:p>
        </w:tc>
      </w:tr>
      <w:tr>
        <w:trPr>
          <w:cantSplit/>
        </w:trPr>
        <w:tc>
          <w:tcPr>
            <w:tcW w:type="dxa" w:w="25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Mood and bipolar</w:t>
            </w:r>
          </w:p>
        </w:tc>
        <w:tc>
          <w:tcPr>
            <w:tcW w:type="dxa" w:w="784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Episode versus trait; depressed mood versus grief or adjustment; decreased need for sleep versus insomnia; activation versus anxiety, ADHD baseline, substances, medication, or sleep loss.</w:t>
            </w:r>
          </w:p>
        </w:tc>
      </w:tr>
      <w:tr>
        <w:trPr>
          <w:cantSplit/>
        </w:trPr>
        <w:tc>
          <w:tcPr>
            <w:tcW w:type="dxa" w:w="252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Anxiety and OCD</w:t>
            </w:r>
          </w:p>
        </w:tc>
        <w:tc>
          <w:tcPr>
            <w:tcW w:type="dxa" w:w="784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Generalized worry, panic, obsessions, compulsions, intrusive thoughts, trauma cues, health concerns, and avoidance; assess insight, function, intent, and reinforcement.</w:t>
            </w:r>
          </w:p>
        </w:tc>
      </w:tr>
      <w:tr>
        <w:trPr>
          <w:cantSplit/>
        </w:trPr>
        <w:tc>
          <w:tcPr>
            <w:tcW w:type="dxa" w:w="25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Trauma, dissociation, and psychosis</w:t>
            </w:r>
          </w:p>
        </w:tc>
        <w:tc>
          <w:tcPr>
            <w:tcW w:type="dxa" w:w="784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Intrusion, flashback, hypervigilance, depersonalization, derealization, fixed belief, hallucination, disorganization, delirium, substance effects, and cultural or spiritual meaning.</w:t>
            </w:r>
          </w:p>
        </w:tc>
      </w:tr>
      <w:tr>
        <w:trPr>
          <w:cantSplit/>
        </w:trPr>
        <w:tc>
          <w:tcPr>
            <w:tcW w:type="dxa" w:w="252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Substance, medication, and sleep</w:t>
            </w:r>
          </w:p>
        </w:tc>
        <w:tc>
          <w:tcPr>
            <w:tcW w:type="dxa" w:w="784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Intoxication, withdrawal, side effects, misuse, interactions, adherence, periods of abstinence, circadian disruption, and change from baseline.</w:t>
            </w:r>
          </w:p>
        </w:tc>
      </w:tr>
      <w:tr>
        <w:trPr>
          <w:cantSplit/>
        </w:trPr>
        <w:tc>
          <w:tcPr>
            <w:tcW w:type="dxa" w:w="25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Neurodevelopmental and learning</w:t>
            </w:r>
          </w:p>
        </w:tc>
        <w:tc>
          <w:tcPr>
            <w:tcW w:type="dxa" w:w="784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Developmental onset, cross-setting pattern, educational history, language, sensory factors, sleep, anxiety, trauma, mood, medical issues, and collateral consistency.</w:t>
            </w:r>
          </w:p>
        </w:tc>
      </w:tr>
      <w:tr>
        <w:trPr>
          <w:cantSplit/>
        </w:trPr>
        <w:tc>
          <w:tcPr>
            <w:tcW w:type="dxa" w:w="252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Personality and enduring patterns</w:t>
            </w:r>
          </w:p>
        </w:tc>
        <w:tc>
          <w:tcPr>
            <w:tcW w:type="dxa" w:w="784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Longitudinal, pervasive, inflexible, cross-context pattern versus trauma adaptation, attachment response, mood episode, neurodevelopment, substance effect, or situational rupture.</w:t>
            </w:r>
          </w:p>
        </w:tc>
      </w:tr>
      <w:tr>
        <w:trPr>
          <w:cantSplit/>
        </w:trPr>
        <w:tc>
          <w:tcPr>
            <w:tcW w:type="dxa" w:w="252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Eating, somatic, sleep, and sexual</w:t>
            </w:r>
          </w:p>
        </w:tc>
        <w:tc>
          <w:tcPr>
            <w:tcW w:type="dxa" w:w="784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Medical stability, restriction, exercise, body image, pain, health anxiety, sleep disorders, medication effects, trauma, consent, culture, identity, diversity, and specialty referral.</w:t>
            </w:r>
          </w:p>
        </w:tc>
      </w:tr>
    </w:tbl>
    <w:p>
      <w:pPr>
        <w:spacing w:after="0"/>
      </w:pPr>
    </w:p>
    <w:p>
      <w:pPr>
        <w:keepNext/>
        <w:spacing w:before="100" w:after="60" w:line="247" w:lineRule="auto"/>
        <w:jc w:val="left"/>
      </w:pPr>
      <w:r>
        <w:rPr>
          <w:rFonts w:ascii="Liberation Sans" w:hAnsi="Liberation Sans"/>
          <w:b/>
          <w:i w:val="0"/>
          <w:color w:val="193A63"/>
          <w:sz w:val="24"/>
        </w:rPr>
        <w:t>Case Lab 5A: School Refusal and Cross-Setting Inattention</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Ten-year-old Sam has morning stomachaches, school refusal, distractibility, and declining grades. A teacher reports inattention mainly during reading. A caregiver reports no problems during preferred activities. Sam describes bullying and difficulty understanding written assignments. Sleep is irregular because of late-night gaming.</w:t>
            </w:r>
          </w:p>
        </w:tc>
      </w:tr>
    </w:tbl>
    <w:p>
      <w:pPr>
        <w:spacing w:after="0"/>
      </w:pPr>
    </w:p>
    <w:p>
      <w:pPr>
        <w:pStyle w:val="ListBullet"/>
        <w:spacing w:before="0" w:after="40" w:line="245" w:lineRule="auto"/>
      </w:pPr>
      <w:r>
        <w:rPr>
          <w:rFonts w:ascii="Liberation Sans" w:hAnsi="Liberation Sans"/>
          <w:b w:val="0"/>
          <w:i w:val="0"/>
          <w:color w:val="1F2937"/>
          <w:sz w:val="17"/>
        </w:rPr>
        <w:t>Which data support anxiety, ADHD, learning, sleep, trauma, medical, or contextual explanations?</w:t>
      </w:r>
    </w:p>
    <w:p>
      <w:pPr>
        <w:pStyle w:val="ListBullet"/>
        <w:spacing w:before="0" w:after="40" w:line="245" w:lineRule="auto"/>
      </w:pPr>
      <w:r>
        <w:rPr>
          <w:rFonts w:ascii="Liberation Sans" w:hAnsi="Liberation Sans"/>
          <w:b w:val="0"/>
          <w:i w:val="0"/>
          <w:color w:val="1F2937"/>
          <w:sz w:val="17"/>
        </w:rPr>
        <w:t>What developmental, school, medical, and cross-setting information would discriminate among them?</w:t>
      </w:r>
    </w:p>
    <w:p>
      <w:pPr>
        <w:pStyle w:val="ListBullet"/>
        <w:spacing w:before="0" w:after="40" w:line="245" w:lineRule="auto"/>
      </w:pPr>
      <w:r>
        <w:rPr>
          <w:rFonts w:ascii="Liberation Sans" w:hAnsi="Liberation Sans"/>
          <w:b w:val="0"/>
          <w:i w:val="0"/>
          <w:color w:val="1F2937"/>
          <w:sz w:val="17"/>
        </w:rPr>
        <w:t>Why would one informant or one behavior be insufficient?</w:t>
      </w:r>
    </w:p>
    <w:p>
      <w:pPr>
        <w:pStyle w:val="ListBullet"/>
        <w:spacing w:before="0" w:after="40" w:line="245" w:lineRule="auto"/>
      </w:pPr>
      <w:r>
        <w:rPr>
          <w:rFonts w:ascii="Liberation Sans" w:hAnsi="Liberation Sans"/>
          <w:b w:val="0"/>
          <w:i w:val="0"/>
          <w:color w:val="1F2937"/>
          <w:sz w:val="17"/>
        </w:rPr>
        <w:t>What referral questions may be appropriate?</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Require developmental history, cross-setting evidence, functional impact, academic skill data, sleep assessment, bullying and safety inquiry, medical review, and collaboration with school and caregivers. Inattention limited to specific tasks may reflect learning difficulty, anxiety, or context rather than a pervasive attention disorder. Keep multiple explanations open and write precise referral questions.</w:t>
            </w:r>
          </w:p>
        </w:tc>
      </w:tr>
    </w:tbl>
    <w:p>
      <w:pPr>
        <w:spacing w:after="0"/>
      </w:pPr>
    </w:p>
    <w:p>
      <w:pPr>
        <w:keepNext/>
        <w:spacing w:before="100" w:after="60" w:line="247" w:lineRule="auto"/>
        <w:jc w:val="left"/>
      </w:pPr>
      <w:r>
        <w:rPr>
          <w:rFonts w:ascii="Liberation Sans" w:hAnsi="Liberation Sans"/>
          <w:b/>
          <w:i w:val="0"/>
          <w:color w:val="193A63"/>
          <w:sz w:val="24"/>
        </w:rPr>
        <w:t>Case Lab 5B: Trauma, Possible TBI, and Cannabis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A veteran reports nightmares, irritability, headaches, memory lapses, “zoning out” while driving, heavy cannabis use, and access to firearms. A partner describes a recent increase in confusion after a fall. The client attributes all symptoms to PTSD and wants trauma processing immediately.</w:t>
            </w:r>
          </w:p>
        </w:tc>
      </w:tr>
    </w:tbl>
    <w:p>
      <w:pPr>
        <w:spacing w:after="0"/>
      </w:pPr>
    </w:p>
    <w:p>
      <w:pPr>
        <w:pStyle w:val="ListBullet"/>
        <w:spacing w:before="0" w:after="40" w:line="245" w:lineRule="auto"/>
      </w:pPr>
      <w:r>
        <w:rPr>
          <w:rFonts w:ascii="Liberation Sans" w:hAnsi="Liberation Sans"/>
          <w:b w:val="0"/>
          <w:i w:val="0"/>
          <w:color w:val="1F2937"/>
          <w:sz w:val="17"/>
        </w:rPr>
        <w:t>Which conditions require urgent routing before routine trauma treatment?</w:t>
      </w:r>
    </w:p>
    <w:p>
      <w:pPr>
        <w:pStyle w:val="ListBullet"/>
        <w:spacing w:before="0" w:after="40" w:line="245" w:lineRule="auto"/>
      </w:pPr>
      <w:r>
        <w:rPr>
          <w:rFonts w:ascii="Liberation Sans" w:hAnsi="Liberation Sans"/>
          <w:b w:val="0"/>
          <w:i w:val="0"/>
          <w:color w:val="1F2937"/>
          <w:sz w:val="17"/>
        </w:rPr>
        <w:t>How should PTSD, TBI, substance effects, depression, sleep disorder, dissociation, and bipolar-spectrum explanations be compared?</w:t>
      </w:r>
    </w:p>
    <w:p>
      <w:pPr>
        <w:pStyle w:val="ListBullet"/>
        <w:spacing w:before="0" w:after="40" w:line="245" w:lineRule="auto"/>
      </w:pPr>
      <w:r>
        <w:rPr>
          <w:rFonts w:ascii="Liberation Sans" w:hAnsi="Liberation Sans"/>
          <w:b w:val="0"/>
          <w:i w:val="0"/>
          <w:color w:val="1F2937"/>
          <w:sz w:val="17"/>
        </w:rPr>
        <w:t>What safety and medical questions are decision-critical?</w:t>
      </w:r>
    </w:p>
    <w:p>
      <w:pPr>
        <w:pStyle w:val="ListBullet"/>
        <w:spacing w:before="0" w:after="40" w:line="245" w:lineRule="auto"/>
      </w:pPr>
      <w:r>
        <w:rPr>
          <w:rFonts w:ascii="Liberation Sans" w:hAnsi="Liberation Sans"/>
          <w:b w:val="0"/>
          <w:i w:val="0"/>
          <w:color w:val="1F2937"/>
          <w:sz w:val="17"/>
        </w:rPr>
        <w:t>How can the therapist maintain continuity while coordinating evaluation?</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New confusion after a fall, driving episodes, heavy substance use, sleep disruption, and firearm access require direct safety assessment and prompt medical or neurological evaluation. PTSD may remain relevant, but it cannot explain every feature without comparison. Do not begin intensive trauma processing before clarifying physiological stability, cognitive change, substance effects, and current safety.</w:t>
            </w:r>
          </w:p>
        </w:tc>
      </w:tr>
    </w:tbl>
    <w:p>
      <w:pPr>
        <w:spacing w:after="0"/>
      </w:pPr>
    </w:p>
    <w:p>
      <w:pPr>
        <w:keepNext/>
        <w:spacing w:before="100" w:after="60" w:line="247" w:lineRule="auto"/>
        <w:jc w:val="left"/>
      </w:pPr>
      <w:r>
        <w:rPr>
          <w:rFonts w:ascii="Liberation Sans" w:hAnsi="Liberation Sans"/>
          <w:b/>
          <w:i w:val="0"/>
          <w:color w:val="193A63"/>
          <w:sz w:val="24"/>
        </w:rPr>
        <w:t>Case Lab 5C: Restrictive Eating and Athlete Identity</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A collegiate athlete reports severe restriction, dizziness, missed menstrual periods, compulsive exercise, a stress fracture, and fear that reduced training will cost a scholarship. The client’s weight is not visibly low and a coach praises discipline.</w:t>
            </w:r>
          </w:p>
        </w:tc>
      </w:tr>
    </w:tbl>
    <w:p>
      <w:pPr>
        <w:spacing w:after="0"/>
      </w:pPr>
    </w:p>
    <w:p>
      <w:pPr>
        <w:pStyle w:val="ListBullet"/>
        <w:spacing w:before="0" w:after="40" w:line="245" w:lineRule="auto"/>
      </w:pPr>
      <w:r>
        <w:rPr>
          <w:rFonts w:ascii="Liberation Sans" w:hAnsi="Liberation Sans"/>
          <w:b w:val="0"/>
          <w:i w:val="0"/>
          <w:color w:val="1F2937"/>
          <w:sz w:val="17"/>
        </w:rPr>
        <w:t>Which red flags indicate that medical evaluation controls the sequence?</w:t>
      </w:r>
    </w:p>
    <w:p>
      <w:pPr>
        <w:pStyle w:val="ListBullet"/>
        <w:spacing w:before="0" w:after="40" w:line="245" w:lineRule="auto"/>
      </w:pPr>
      <w:r>
        <w:rPr>
          <w:rFonts w:ascii="Liberation Sans" w:hAnsi="Liberation Sans"/>
          <w:b w:val="0"/>
          <w:i w:val="0"/>
          <w:color w:val="1F2937"/>
          <w:sz w:val="17"/>
        </w:rPr>
        <w:t>What eating, anxiety/OCD, mood, medical, sport-energy, identity, and cultural factors require assessment?</w:t>
      </w:r>
    </w:p>
    <w:p>
      <w:pPr>
        <w:pStyle w:val="ListBullet"/>
        <w:spacing w:before="0" w:after="40" w:line="245" w:lineRule="auto"/>
      </w:pPr>
      <w:r>
        <w:rPr>
          <w:rFonts w:ascii="Liberation Sans" w:hAnsi="Liberation Sans"/>
          <w:b w:val="0"/>
          <w:i w:val="0"/>
          <w:color w:val="1F2937"/>
          <w:sz w:val="17"/>
        </w:rPr>
        <w:t>Why are appearance and weight alone inadequate indicators?</w:t>
      </w:r>
    </w:p>
    <w:p>
      <w:pPr>
        <w:pStyle w:val="ListBullet"/>
        <w:spacing w:before="0" w:after="40" w:line="245" w:lineRule="auto"/>
      </w:pPr>
      <w:r>
        <w:rPr>
          <w:rFonts w:ascii="Liberation Sans" w:hAnsi="Liberation Sans"/>
          <w:b w:val="0"/>
          <w:i w:val="0"/>
          <w:color w:val="1F2937"/>
          <w:sz w:val="17"/>
        </w:rPr>
        <w:t>What multidisciplinary coordination and continuity are needed?</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Dizziness, menstrual disruption, restriction, compulsive exercise, and stress fracture indicate possible physiological compromise regardless of visible weight. Arrange prompt medical and specialty evaluation while assessing safety, eating-disorder features, mood, anxiety, exercise function, scholarship pressure, identity, and support. Maintain therapeutic continuity and avoid reinforcing performance-based minimization.</w:t>
            </w:r>
          </w:p>
        </w:tc>
      </w:tr>
    </w:tbl>
    <w:p>
      <w:pPr>
        <w:spacing w:after="0"/>
      </w:pPr>
    </w:p>
    <w:p>
      <w:pPr>
        <w:keepNext/>
        <w:spacing w:before="100" w:after="60" w:line="247" w:lineRule="auto"/>
        <w:jc w:val="left"/>
      </w:pPr>
      <w:r>
        <w:rPr>
          <w:rFonts w:ascii="Liberation Sans" w:hAnsi="Liberation Sans"/>
          <w:b/>
          <w:i w:val="0"/>
          <w:color w:val="193A63"/>
          <w:sz w:val="24"/>
        </w:rPr>
        <w:t>Case Lab 5D: NSSI, Relational Instability, and Diagnostic Closure</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Taylor has a history of nonsuicidal self-injury, intense fear of abandonment, episodic crisis messages, alcohol misuse, rapid shifts in closeness and anger, and strong provider reactions. A recent breakup triggered renewed cutting, but Taylor denies current suicidal intent and has never had a sustained period of elevated mood.</w:t>
            </w:r>
          </w:p>
        </w:tc>
      </w:tr>
    </w:tbl>
    <w:p>
      <w:pPr>
        <w:spacing w:after="0"/>
      </w:pPr>
    </w:p>
    <w:p>
      <w:pPr>
        <w:pStyle w:val="ListBullet"/>
        <w:spacing w:before="0" w:after="40" w:line="245" w:lineRule="auto"/>
      </w:pPr>
      <w:r>
        <w:rPr>
          <w:rFonts w:ascii="Liberation Sans" w:hAnsi="Liberation Sans"/>
          <w:b w:val="0"/>
          <w:i w:val="0"/>
          <w:color w:val="1F2937"/>
          <w:sz w:val="17"/>
        </w:rPr>
        <w:t>How should NSSI and current suicide risk be assessed separately?</w:t>
      </w:r>
    </w:p>
    <w:p>
      <w:pPr>
        <w:pStyle w:val="ListBullet"/>
        <w:spacing w:before="0" w:after="40" w:line="245" w:lineRule="auto"/>
      </w:pPr>
      <w:r>
        <w:rPr>
          <w:rFonts w:ascii="Liberation Sans" w:hAnsi="Liberation Sans"/>
          <w:b w:val="0"/>
          <w:i w:val="0"/>
          <w:color w:val="1F2937"/>
          <w:sz w:val="17"/>
        </w:rPr>
        <w:t>What longitudinal evidence is needed before a personality diagnosis?</w:t>
      </w:r>
    </w:p>
    <w:p>
      <w:pPr>
        <w:pStyle w:val="ListBullet"/>
        <w:spacing w:before="0" w:after="40" w:line="245" w:lineRule="auto"/>
      </w:pPr>
      <w:r>
        <w:rPr>
          <w:rFonts w:ascii="Liberation Sans" w:hAnsi="Liberation Sans"/>
          <w:b w:val="0"/>
          <w:i w:val="0"/>
          <w:color w:val="1F2937"/>
          <w:sz w:val="17"/>
        </w:rPr>
        <w:t>How should trauma, bipolar disorder, substance use, ADHD, attachment responses, and situational rupture remain in the differential?</w:t>
      </w:r>
    </w:p>
    <w:p>
      <w:pPr>
        <w:pStyle w:val="ListBullet"/>
        <w:spacing w:before="0" w:after="40" w:line="245" w:lineRule="auto"/>
      </w:pPr>
      <w:r>
        <w:rPr>
          <w:rFonts w:ascii="Liberation Sans" w:hAnsi="Liberation Sans"/>
          <w:b w:val="0"/>
          <w:i w:val="0"/>
          <w:color w:val="1F2937"/>
          <w:sz w:val="17"/>
        </w:rPr>
        <w:t>How do provider reactions and treatment-frame problems affect formulation without becoming diagnostic proof?</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Assess current suicide risk directly while recognizing that NSSI and suicidal intent are not identical. Use longitudinal, pervasive, cross-context evidence before assigning an enduring personality diagnosis. Compare trauma adaptations, attachment responses, substance effects, neurodevelopment, mood episodes, and situational rupture. Include the treatment relationship and provider response in systemic formulation while maintaining boundaries, consultation, and a clear treatment frame.</w:t>
            </w:r>
          </w:p>
        </w:tc>
      </w:tr>
    </w:tbl>
    <w:p>
      <w:pPr>
        <w:spacing w:after="0"/>
      </w:pPr>
    </w:p>
    <w:p>
      <w:pPr>
        <w:keepNext/>
        <w:spacing w:before="140" w:after="80" w:line="247" w:lineRule="auto"/>
        <w:jc w:val="left"/>
      </w:pPr>
      <w:r>
        <w:rPr>
          <w:rFonts w:ascii="Liberation Sans" w:hAnsi="Liberation Sans"/>
          <w:b/>
          <w:i w:val="0"/>
          <w:color w:val="193A63"/>
          <w:sz w:val="24"/>
        </w:rPr>
        <w:t>Complex Differential Worksheet</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96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Prompt</w:t>
            </w:r>
          </w:p>
        </w:tc>
        <w:tc>
          <w:tcPr>
            <w:tcW w:type="dxa" w:w="640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My Notes</w:t>
            </w:r>
          </w:p>
        </w:tc>
      </w:tr>
      <w:tr>
        <w:trPr>
          <w:cantSplit/>
        </w:trPr>
        <w:tc>
          <w:tcPr>
            <w:tcW w:type="dxa" w:w="39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Leading explanation and supporting evidence</w:t>
            </w:r>
          </w:p>
        </w:tc>
        <w:tc>
          <w:tcPr>
            <w:tcW w:type="dxa" w:w="64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9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Closest competing explanation</w:t>
            </w:r>
          </w:p>
        </w:tc>
        <w:tc>
          <w:tcPr>
            <w:tcW w:type="dxa" w:w="64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9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Timeline or mechanism discriminator</w:t>
            </w:r>
          </w:p>
        </w:tc>
        <w:tc>
          <w:tcPr>
            <w:tcW w:type="dxa" w:w="64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9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Medical / medication / substance / sleep factors</w:t>
            </w:r>
          </w:p>
        </w:tc>
        <w:tc>
          <w:tcPr>
            <w:tcW w:type="dxa" w:w="64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9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Developmental / cultural / relational context</w:t>
            </w:r>
          </w:p>
        </w:tc>
        <w:tc>
          <w:tcPr>
            <w:tcW w:type="dxa" w:w="64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9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Urgency, specialty evaluation, or care-level need</w:t>
            </w:r>
          </w:p>
        </w:tc>
        <w:tc>
          <w:tcPr>
            <w:tcW w:type="dxa" w:w="64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CLINICAL TAKEAWAY</w:t>
              <w:br/>
            </w:r>
            <w:r>
              <w:rPr>
                <w:rFonts w:ascii="Liberation Sans" w:hAnsi="Liberation Sans"/>
                <w:b w:val="0"/>
                <w:i w:val="0"/>
                <w:color w:val="1F2937"/>
                <w:sz w:val="17"/>
              </w:rPr>
              <w:t>High-yield differential diagnosis uses discriminators and routing. A complex presentation may require more than one diagnosis, a contextual condition, and a specialty or medical evaluation.</w:t>
            </w:r>
          </w:p>
        </w:tc>
      </w:tr>
    </w:tbl>
    <w:p>
      <w:pPr>
        <w:spacing w:after="0"/>
      </w:pPr>
    </w:p>
    <w:p>
      <w:pPr>
        <w:pStyle w:val="ListBullet"/>
        <w:spacing w:before="0" w:after="40" w:line="245" w:lineRule="auto"/>
      </w:pPr>
      <w:r>
        <w:rPr>
          <w:rFonts w:ascii="Liberation Sans" w:hAnsi="Liberation Sans"/>
          <w:b w:val="0"/>
          <w:i w:val="0"/>
          <w:color w:val="1F2937"/>
          <w:sz w:val="17"/>
        </w:rPr>
        <w:t>Use longitudinal and cross-setting evidence.</w:t>
      </w:r>
    </w:p>
    <w:p>
      <w:pPr>
        <w:pStyle w:val="ListBullet"/>
        <w:spacing w:before="0" w:after="40" w:line="245" w:lineRule="auto"/>
      </w:pPr>
      <w:r>
        <w:rPr>
          <w:rFonts w:ascii="Liberation Sans" w:hAnsi="Liberation Sans"/>
          <w:b w:val="0"/>
          <w:i w:val="0"/>
          <w:color w:val="1F2937"/>
          <w:sz w:val="17"/>
        </w:rPr>
        <w:t>Separate intrusive thoughts, NSSI, psychosis, dissociation, and intent.</w:t>
      </w:r>
    </w:p>
    <w:p>
      <w:pPr>
        <w:pStyle w:val="ListBullet"/>
        <w:spacing w:before="0" w:after="40" w:line="245" w:lineRule="auto"/>
      </w:pPr>
      <w:r>
        <w:rPr>
          <w:rFonts w:ascii="Liberation Sans" w:hAnsi="Liberation Sans"/>
          <w:b w:val="0"/>
          <w:i w:val="0"/>
          <w:color w:val="1F2937"/>
          <w:sz w:val="17"/>
        </w:rPr>
        <w:t>Do not diagnose personality from one rupture or provider reaction.</w:t>
      </w:r>
    </w:p>
    <w:p>
      <w:pPr>
        <w:pStyle w:val="ListBullet"/>
        <w:spacing w:before="0" w:after="40" w:line="245" w:lineRule="auto"/>
      </w:pPr>
      <w:r>
        <w:rPr>
          <w:rFonts w:ascii="Liberation Sans" w:hAnsi="Liberation Sans"/>
          <w:b w:val="0"/>
          <w:i w:val="0"/>
          <w:color w:val="1F2937"/>
          <w:sz w:val="17"/>
        </w:rPr>
        <w:t>Treat medical instability and acute cognitive change as sequence-changing.</w:t>
      </w:r>
    </w:p>
    <w:p>
      <w:pPr>
        <w:pStyle w:val="ListBullet"/>
        <w:spacing w:before="0" w:after="40" w:line="245" w:lineRule="auto"/>
      </w:pPr>
      <w:r>
        <w:rPr>
          <w:rFonts w:ascii="Liberation Sans" w:hAnsi="Liberation Sans"/>
          <w:b w:val="0"/>
          <w:i w:val="0"/>
          <w:color w:val="1F2937"/>
          <w:sz w:val="17"/>
        </w:rPr>
        <w:t>Use culture and identity to improve meaning, not to stereotype.</w:t>
      </w:r>
    </w:p>
    <w:p>
      <w:r>
        <w:br w:type="page"/>
      </w:r>
    </w:p>
    <w:tbl>
      <w:tblPr>
        <w:tblStyle w:val="TableGrid"/>
        <w:tblW w:type="auto" w:w="0"/>
        <w:jc w:val="center"/>
        <w:tblLayout w:type="fixed"/>
        <w:tblLook w:firstColumn="1" w:firstRow="1" w:lastColumn="0" w:lastRow="0" w:noHBand="0" w:noVBand="1" w:val="04A0"/>
      </w:tblPr>
      <w:tblGrid>
        <w:gridCol w:w="10570"/>
      </w:tblGrid>
      <w:tr>
        <w:trPr>
          <w:tblHeader w:val="true"/>
        </w:trPr>
        <w:tc>
          <w:tcPr>
            <w:tcW w:type="dxa" w:w="10570"/>
            <w:shd w:fill="193A63"/>
            <w:tcMar>
              <w:top w:w="120" w:type="dxa"/>
              <w:start w:w="120" w:type="dxa"/>
              <w:bottom w:w="120" w:type="dxa"/>
              <w:end w:w="120" w:type="dxa"/>
            </w:tcMar>
          </w:tcPr>
          <w:p>
            <w:pPr>
              <w:spacing w:before="0" w:after="0" w:line="240" w:lineRule="auto"/>
              <w:jc w:val="center"/>
            </w:pPr>
            <w:r>
              <w:rPr>
                <w:rFonts w:ascii="Liberation Sans" w:hAnsi="Liberation Sans"/>
                <w:b/>
                <w:i w:val="0"/>
                <w:color w:val="009C95"/>
                <w:sz w:val="22"/>
              </w:rPr>
              <w:t>CHAPTER 6</w:t>
              <w:br/>
            </w:r>
            <w:r>
              <w:rPr>
                <w:rFonts w:ascii="Liberation Sans" w:hAnsi="Liberation Sans"/>
                <w:b/>
                <w:i w:val="0"/>
                <w:color w:val="FFFFFF"/>
                <w:sz w:val="33"/>
              </w:rPr>
              <w:t>Integrated Systemic Case Formulation, Collaboration, and Referral</w:t>
            </w:r>
          </w:p>
        </w:tc>
      </w:tr>
      <w:tr>
        <w:tc>
          <w:tcPr>
            <w:tcW w:type="dxa" w:w="10570"/>
            <w:shd w:fill="EDF3FA"/>
            <w:tcMar>
              <w:top w:w="105" w:type="dxa"/>
              <w:start w:w="120" w:type="dxa"/>
              <w:bottom w:w="105" w:type="dxa"/>
              <w:end w:w="120" w:type="dxa"/>
            </w:tcMar>
          </w:tcPr>
          <w:p>
            <w:pPr>
              <w:spacing w:before="0" w:after="0" w:line="245" w:lineRule="auto"/>
            </w:pPr>
            <w:r>
              <w:rPr>
                <w:rFonts w:ascii="Liberation Sans" w:hAnsi="Liberation Sans"/>
                <w:b/>
                <w:i w:val="0"/>
                <w:color w:val="193A63"/>
                <w:sz w:val="18"/>
              </w:rPr>
              <w:t xml:space="preserve">BIG IDEA  </w:t>
            </w:r>
            <w:r>
              <w:rPr>
                <w:rFonts w:ascii="Liberation Sans" w:hAnsi="Liberation Sans"/>
                <w:b w:val="0"/>
                <w:i w:val="0"/>
                <w:color w:val="1F2937"/>
                <w:sz w:val="18"/>
              </w:rPr>
              <w:t>A complete formulation states the current diagnostic impression, competing explanations, reciprocal pattern, context, strengths, treatment unit, missing data, referral needs, and conditions for revision.</w:t>
            </w:r>
          </w:p>
        </w:tc>
      </w:tr>
    </w:tbl>
    <w:p>
      <w:pPr>
        <w:spacing w:after="0"/>
      </w:pPr>
    </w:p>
    <w:p>
      <w:pPr>
        <w:keepNext w:val="0"/>
        <w:spacing w:before="0" w:after="80" w:line="247" w:lineRule="auto"/>
        <w:jc w:val="left"/>
      </w:pPr>
      <w:r>
        <w:rPr>
          <w:rFonts w:ascii="Liberation Sans" w:hAnsi="Liberation Sans"/>
          <w:b w:val="0"/>
          <w:i w:val="0"/>
          <w:color w:val="1F2937"/>
          <w:sz w:val="18"/>
        </w:rPr>
        <w:t>The formulation is the bridge from assessment to treatment design. It should be brief enough to guide action and specific enough to show how the therapist reached the conclusion. It must also be collaborative: the client system should be able to understand, question, and refine the therapist’s explanation.</w:t>
      </w:r>
    </w:p>
    <w:p>
      <w:pPr>
        <w:keepNext/>
        <w:spacing w:before="140" w:after="80" w:line="247" w:lineRule="auto"/>
        <w:jc w:val="left"/>
      </w:pPr>
      <w:r>
        <w:rPr>
          <w:rFonts w:ascii="Liberation Sans" w:hAnsi="Liberation Sans"/>
          <w:b/>
          <w:i w:val="0"/>
          <w:color w:val="193A63"/>
          <w:sz w:val="25"/>
        </w:rPr>
        <w:t>The FORMULATE Integrated Case Statement</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88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Step</w:t>
            </w:r>
          </w:p>
        </w:tc>
        <w:tc>
          <w:tcPr>
            <w:tcW w:type="dxa" w:w="748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Required Content</w:t>
            </w:r>
          </w:p>
        </w:tc>
      </w:tr>
      <w:tr>
        <w:trPr>
          <w:cantSplit/>
        </w:trPr>
        <w:tc>
          <w:tcPr>
            <w:tcW w:type="dxa" w:w="28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F - Facts and impression</w:t>
            </w:r>
          </w:p>
        </w:tc>
        <w:tc>
          <w:tcPr>
            <w:tcW w:type="dxa" w:w="74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State the supported pattern, timeline, functional impact, and current diagnostic certainty.</w:t>
            </w:r>
          </w:p>
        </w:tc>
      </w:tr>
      <w:tr>
        <w:trPr>
          <w:cantSplit/>
        </w:trPr>
        <w:tc>
          <w:tcPr>
            <w:tcW w:type="dxa" w:w="28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O - Other explanations</w:t>
            </w:r>
          </w:p>
        </w:tc>
        <w:tc>
          <w:tcPr>
            <w:tcW w:type="dxa" w:w="74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Name the most important competing explanations and missing discriminators.</w:t>
            </w:r>
          </w:p>
        </w:tc>
      </w:tr>
      <w:tr>
        <w:trPr>
          <w:cantSplit/>
        </w:trPr>
        <w:tc>
          <w:tcPr>
            <w:tcW w:type="dxa" w:w="28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 - Relational cycle and treatment unit</w:t>
            </w:r>
          </w:p>
        </w:tc>
        <w:tc>
          <w:tcPr>
            <w:tcW w:type="dxa" w:w="74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Describe reciprocal responses, roles, boundaries, meanings, and who should participate now.</w:t>
            </w:r>
          </w:p>
        </w:tc>
      </w:tr>
      <w:tr>
        <w:trPr>
          <w:cantSplit/>
        </w:trPr>
        <w:tc>
          <w:tcPr>
            <w:tcW w:type="dxa" w:w="28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M - Medical, medication, substance, sleep, and safety</w:t>
            </w:r>
          </w:p>
        </w:tc>
        <w:tc>
          <w:tcPr>
            <w:tcW w:type="dxa" w:w="74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State what must be coordinated, referred, monitored, or escalated.</w:t>
            </w:r>
          </w:p>
        </w:tc>
      </w:tr>
      <w:tr>
        <w:trPr>
          <w:cantSplit/>
        </w:trPr>
        <w:tc>
          <w:tcPr>
            <w:tcW w:type="dxa" w:w="28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 - Unique context and strengths</w:t>
            </w:r>
          </w:p>
        </w:tc>
        <w:tc>
          <w:tcPr>
            <w:tcW w:type="dxa" w:w="74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Integrate culture, identity, development, spirituality, power, access, resources, and protective factors.</w:t>
            </w:r>
          </w:p>
        </w:tc>
      </w:tr>
      <w:tr>
        <w:trPr>
          <w:cantSplit/>
        </w:trPr>
        <w:tc>
          <w:tcPr>
            <w:tcW w:type="dxa" w:w="28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L - Likely priorities</w:t>
            </w:r>
          </w:p>
        </w:tc>
        <w:tc>
          <w:tcPr>
            <w:tcW w:type="dxa" w:w="74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Identify immediate treatment priorities without prematurely choosing a detailed treatment model.</w:t>
            </w:r>
          </w:p>
        </w:tc>
      </w:tr>
      <w:tr>
        <w:trPr>
          <w:cantSplit/>
        </w:trPr>
        <w:tc>
          <w:tcPr>
            <w:tcW w:type="dxa" w:w="28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 - Actions, collaboration, and referral</w:t>
            </w:r>
          </w:p>
        </w:tc>
        <w:tc>
          <w:tcPr>
            <w:tcW w:type="dxa" w:w="74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Name the next action, referral question, continuity plan, and documentation need.</w:t>
            </w:r>
          </w:p>
        </w:tc>
      </w:tr>
      <w:tr>
        <w:trPr>
          <w:cantSplit/>
        </w:trPr>
        <w:tc>
          <w:tcPr>
            <w:tcW w:type="dxa" w:w="28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T - Track and revise</w:t>
            </w:r>
          </w:p>
        </w:tc>
        <w:tc>
          <w:tcPr>
            <w:tcW w:type="dxa" w:w="748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Identify outcomes or evidence that would change diagnosis, treatment unit, care level, or plan.</w:t>
            </w:r>
          </w:p>
        </w:tc>
      </w:tr>
      <w:tr>
        <w:trPr>
          <w:cantSplit/>
        </w:trPr>
        <w:tc>
          <w:tcPr>
            <w:tcW w:type="dxa" w:w="28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E - Explain collaboratively</w:t>
            </w:r>
          </w:p>
        </w:tc>
        <w:tc>
          <w:tcPr>
            <w:tcW w:type="dxa" w:w="748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Use clear, nonstigmatizing language and invite correction or refinement from the client system.</w:t>
            </w:r>
          </w:p>
        </w:tc>
      </w:tr>
    </w:tbl>
    <w:p>
      <w:pPr>
        <w:spacing w:after="0"/>
      </w:pPr>
    </w:p>
    <w:p>
      <w:pPr>
        <w:keepNext/>
        <w:spacing w:before="140" w:after="80" w:line="247" w:lineRule="auto"/>
        <w:jc w:val="left"/>
      </w:pPr>
      <w:r>
        <w:rPr>
          <w:rFonts w:ascii="Liberation Sans" w:hAnsi="Liberation Sans"/>
          <w:b/>
          <w:i w:val="0"/>
          <w:color w:val="193A63"/>
          <w:sz w:val="25"/>
        </w:rPr>
        <w:t>Referral Questions That Improve Continuity</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024"/>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Weak Referral</w:t>
            </w:r>
          </w:p>
        </w:tc>
        <w:tc>
          <w:tcPr>
            <w:tcW w:type="dxa" w:w="7343"/>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Stronger Referral Question</w:t>
            </w:r>
          </w:p>
        </w:tc>
      </w:tr>
      <w:tr>
        <w:trPr>
          <w:cantSplit/>
        </w:trPr>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“Rule out medical causes.”</w:t>
            </w:r>
          </w:p>
        </w:tc>
        <w:tc>
          <w:tcPr>
            <w:tcW w:type="dxa" w:w="734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Evaluate whether recent cognitive change, headaches, and sleep disruption may reflect neurological or other medical conditions that alter psychiatric formulation and treatment safety.</w:t>
            </w:r>
          </w:p>
        </w:tc>
      </w:tr>
      <w:tr>
        <w:trPr>
          <w:cantSplit/>
        </w:trPr>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“Assess for ADHD.”</w:t>
            </w:r>
          </w:p>
        </w:tc>
        <w:tc>
          <w:tcPr>
            <w:tcW w:type="dxa" w:w="734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Clarify developmental onset, cross-setting attention and executive-function pattern, learning factors, sleep, anxiety, and functional impairment.</w:t>
            </w:r>
          </w:p>
        </w:tc>
      </w:tr>
      <w:tr>
        <w:trPr>
          <w:cantSplit/>
        </w:trPr>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“Medication evaluation.”</w:t>
            </w:r>
          </w:p>
        </w:tc>
        <w:tc>
          <w:tcPr>
            <w:tcW w:type="dxa" w:w="7343"/>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Review whether medication changes, side effects, adherence, interactions, or activation could account for the recent change from baseline.</w:t>
            </w:r>
          </w:p>
        </w:tc>
      </w:tr>
      <w:tr>
        <w:trPr>
          <w:cantSplit/>
        </w:trPr>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“Eating disorder referral.”</w:t>
            </w:r>
          </w:p>
        </w:tc>
        <w:tc>
          <w:tcPr>
            <w:tcW w:type="dxa" w:w="7343"/>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Assess medical stability, restrictive intake, exercise pattern, bone and reproductive health, and appropriate level of specialty care while coordinating ongoing psychotherapy.</w:t>
            </w:r>
          </w:p>
        </w:tc>
      </w:tr>
    </w:tbl>
    <w:p>
      <w:pPr>
        <w:spacing w:after="0"/>
      </w:pPr>
    </w:p>
    <w:p>
      <w:pPr>
        <w:keepNext/>
        <w:spacing w:before="100" w:after="60" w:line="247" w:lineRule="auto"/>
        <w:jc w:val="left"/>
      </w:pPr>
      <w:r>
        <w:rPr>
          <w:rFonts w:ascii="Liberation Sans" w:hAnsi="Liberation Sans"/>
          <w:b/>
          <w:i w:val="0"/>
          <w:color w:val="193A63"/>
          <w:sz w:val="24"/>
        </w:rPr>
        <w:t>Integrated Formulation Lab</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CASE LAB</w:t>
              <w:br/>
            </w:r>
            <w:r>
              <w:rPr>
                <w:rFonts w:ascii="Liberation Sans" w:hAnsi="Liberation Sans"/>
                <w:b w:val="0"/>
                <w:i w:val="0"/>
                <w:color w:val="1F2937"/>
                <w:sz w:val="17"/>
              </w:rPr>
              <w:t>Alex, age 36, seeks help for panic, irritability, poor concentration, and escalating conflict with a spouse. Symptoms intensified after rotating-shift work began. Alex sleeps four hours, uses increasing alcohol to fall asleep, had one prior episode of increased energy after a medication change, and recently stopped attending a faith community. The spouse responds to panic by repeatedly checking, arranging tasks, and discouraging independent activity; Alex then becomes more avoidant and ashamed. A brief anxiety screener is elevated.</w:t>
            </w:r>
          </w:p>
        </w:tc>
      </w:tr>
    </w:tbl>
    <w:p>
      <w:pPr>
        <w:spacing w:after="0"/>
      </w:pPr>
    </w:p>
    <w:p>
      <w:pPr>
        <w:pStyle w:val="ListBullet"/>
        <w:spacing w:before="0" w:after="40" w:line="245" w:lineRule="auto"/>
      </w:pPr>
      <w:r>
        <w:rPr>
          <w:rFonts w:ascii="Liberation Sans" w:hAnsi="Liberation Sans"/>
          <w:b w:val="0"/>
          <w:i w:val="0"/>
          <w:color w:val="1F2937"/>
          <w:sz w:val="17"/>
        </w:rPr>
        <w:t>Use DIAGNOSE and PTI to state the current pattern, timeline, impact, and status.</w:t>
      </w:r>
    </w:p>
    <w:p>
      <w:pPr>
        <w:pStyle w:val="ListBullet"/>
        <w:spacing w:before="0" w:after="40" w:line="245" w:lineRule="auto"/>
      </w:pPr>
      <w:r>
        <w:rPr>
          <w:rFonts w:ascii="Liberation Sans" w:hAnsi="Liberation Sans"/>
          <w:b w:val="0"/>
          <w:i w:val="0"/>
          <w:color w:val="1F2937"/>
          <w:sz w:val="17"/>
        </w:rPr>
        <w:t>Use DIFF to compare panic, sleep/circadian disruption, alcohol effects, medication-related activation, mood disorder, and medical factors.</w:t>
      </w:r>
    </w:p>
    <w:p>
      <w:pPr>
        <w:pStyle w:val="ListBullet"/>
        <w:spacing w:before="0" w:after="40" w:line="245" w:lineRule="auto"/>
      </w:pPr>
      <w:r>
        <w:rPr>
          <w:rFonts w:ascii="Liberation Sans" w:hAnsi="Liberation Sans"/>
          <w:b w:val="0"/>
          <w:i w:val="0"/>
          <w:color w:val="1F2937"/>
          <w:sz w:val="17"/>
        </w:rPr>
        <w:t>Use MEASURE to state what the screening result does and does not establish.</w:t>
      </w:r>
    </w:p>
    <w:p>
      <w:pPr>
        <w:pStyle w:val="ListBullet"/>
        <w:spacing w:before="0" w:after="40" w:line="245" w:lineRule="auto"/>
      </w:pPr>
      <w:r>
        <w:rPr>
          <w:rFonts w:ascii="Liberation Sans" w:hAnsi="Liberation Sans"/>
          <w:b w:val="0"/>
          <w:i w:val="0"/>
          <w:color w:val="1F2937"/>
          <w:sz w:val="17"/>
        </w:rPr>
        <w:t>Use FORMULATE to describe the reciprocal cycle, context, strengths, treatment unit, referral questions, and revision plan.</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MODEL REASONING</w:t>
              <w:br/>
            </w:r>
            <w:r>
              <w:rPr>
                <w:rFonts w:ascii="Liberation Sans" w:hAnsi="Liberation Sans"/>
                <w:b w:val="0"/>
                <w:i w:val="0"/>
                <w:color w:val="1F2937"/>
                <w:sz w:val="17"/>
              </w:rPr>
              <w:t>A working formulation may include panic symptoms, severe sleep disruption, alcohol-related effects, occupational strain, loss of support, and a checking-avoidance cycle. The elevated screener supports further assessment but not a final diagnosis. Clarify prior activation, medication history, substance pattern, medical factors, safety, and functional impairment. Coordinate medical or prescriber evaluation as needed, preserve couple or individual treatment only if safe and appropriate, and review the formulation after sleep, substance, and medical information become clearer.</w:t>
            </w:r>
          </w:p>
        </w:tc>
      </w:tr>
    </w:tbl>
    <w:p>
      <w:pPr>
        <w:spacing w:after="0"/>
      </w:pPr>
    </w:p>
    <w:p>
      <w:pPr>
        <w:keepNext/>
        <w:spacing w:before="140" w:after="80" w:line="247" w:lineRule="auto"/>
        <w:jc w:val="left"/>
      </w:pPr>
      <w:r>
        <w:rPr>
          <w:rFonts w:ascii="Liberation Sans" w:hAnsi="Liberation Sans"/>
          <w:b/>
          <w:i w:val="0"/>
          <w:color w:val="193A63"/>
          <w:sz w:val="24"/>
        </w:rPr>
        <w:t>Integrated Systemic Diagnostic Formulation</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381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Prompt</w:t>
            </w:r>
          </w:p>
        </w:tc>
        <w:tc>
          <w:tcPr>
            <w:tcW w:type="dxa" w:w="655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My Notes</w:t>
            </w:r>
          </w:p>
        </w:tc>
      </w:tr>
      <w:tr>
        <w:trPr>
          <w:cantSplit/>
        </w:trPr>
        <w:tc>
          <w:tcPr>
            <w:tcW w:type="dxa" w:w="381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Facts, pattern, timeline, impact</w:t>
            </w:r>
          </w:p>
        </w:tc>
        <w:tc>
          <w:tcPr>
            <w:tcW w:type="dxa" w:w="65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Current diagnostic impression and certainty</w:t>
            </w:r>
          </w:p>
        </w:tc>
        <w:tc>
          <w:tcPr>
            <w:tcW w:type="dxa" w:w="65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Competing explanations / exclusions</w:t>
            </w:r>
          </w:p>
        </w:tc>
        <w:tc>
          <w:tcPr>
            <w:tcW w:type="dxa" w:w="65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Reciprocal relational cycle / treatment unit</w:t>
            </w:r>
          </w:p>
        </w:tc>
        <w:tc>
          <w:tcPr>
            <w:tcW w:type="dxa" w:w="65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Culture, development, power, access, strengths</w:t>
            </w:r>
          </w:p>
        </w:tc>
        <w:tc>
          <w:tcPr>
            <w:tcW w:type="dxa" w:w="65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Medical, medication, substance, sleep, safety</w:t>
            </w:r>
          </w:p>
        </w:tc>
        <w:tc>
          <w:tcPr>
            <w:tcW w:type="dxa" w:w="65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Treatment priorities and referral questions</w:t>
            </w:r>
          </w:p>
        </w:tc>
        <w:tc>
          <w:tcPr>
            <w:tcW w:type="dxa" w:w="65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r>
        <w:trPr>
          <w:cantSplit/>
        </w:trPr>
        <w:tc>
          <w:tcPr>
            <w:tcW w:type="dxa" w:w="381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Evidence that would change the formulation</w:t>
            </w:r>
          </w:p>
        </w:tc>
        <w:tc>
          <w:tcPr>
            <w:tcW w:type="dxa" w:w="65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____________________________________________________________</w:t>
              <w:br/>
              <w:t>____________________________________________________________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CLINICAL TAKEAWAY</w:t>
              <w:br/>
            </w:r>
            <w:r>
              <w:rPr>
                <w:rFonts w:ascii="Liberation Sans" w:hAnsi="Liberation Sans"/>
                <w:b w:val="0"/>
                <w:i w:val="0"/>
                <w:color w:val="1F2937"/>
                <w:sz w:val="17"/>
              </w:rPr>
              <w:t>A useful formulation is transparent and revisable. It tells the client system what the therapist currently understands, what remains uncertain, what will happen next, and how progress or new evidence will change the plan.</w:t>
            </w:r>
          </w:p>
        </w:tc>
      </w:tr>
    </w:tbl>
    <w:p>
      <w:pPr>
        <w:spacing w:after="0"/>
      </w:pPr>
    </w:p>
    <w:p>
      <w:pPr>
        <w:pStyle w:val="ListBullet"/>
        <w:spacing w:before="0" w:after="40" w:line="245" w:lineRule="auto"/>
      </w:pPr>
      <w:r>
        <w:rPr>
          <w:rFonts w:ascii="Liberation Sans" w:hAnsi="Liberation Sans"/>
          <w:b w:val="0"/>
          <w:i w:val="0"/>
          <w:color w:val="1F2937"/>
          <w:sz w:val="17"/>
        </w:rPr>
        <w:t>Write the evidence before the label.</w:t>
      </w:r>
    </w:p>
    <w:p>
      <w:pPr>
        <w:pStyle w:val="ListBullet"/>
        <w:spacing w:before="0" w:after="40" w:line="245" w:lineRule="auto"/>
      </w:pPr>
      <w:r>
        <w:rPr>
          <w:rFonts w:ascii="Liberation Sans" w:hAnsi="Liberation Sans"/>
          <w:b w:val="0"/>
          <w:i w:val="0"/>
          <w:color w:val="1F2937"/>
          <w:sz w:val="17"/>
        </w:rPr>
        <w:t>Include competing explanations and missing data.</w:t>
      </w:r>
    </w:p>
    <w:p>
      <w:pPr>
        <w:pStyle w:val="ListBullet"/>
        <w:spacing w:before="0" w:after="40" w:line="245" w:lineRule="auto"/>
      </w:pPr>
      <w:r>
        <w:rPr>
          <w:rFonts w:ascii="Liberation Sans" w:hAnsi="Liberation Sans"/>
          <w:b w:val="0"/>
          <w:i w:val="0"/>
          <w:color w:val="1F2937"/>
          <w:sz w:val="17"/>
        </w:rPr>
        <w:t>Integrate reciprocal patterns, context, and strengths.</w:t>
      </w:r>
    </w:p>
    <w:p>
      <w:pPr>
        <w:pStyle w:val="ListBullet"/>
        <w:spacing w:before="0" w:after="40" w:line="245" w:lineRule="auto"/>
      </w:pPr>
      <w:r>
        <w:rPr>
          <w:rFonts w:ascii="Liberation Sans" w:hAnsi="Liberation Sans"/>
          <w:b w:val="0"/>
          <w:i w:val="0"/>
          <w:color w:val="1F2937"/>
          <w:sz w:val="17"/>
        </w:rPr>
        <w:t>Use referral with a clear question and continuity plan.</w:t>
      </w:r>
    </w:p>
    <w:p>
      <w:pPr>
        <w:pStyle w:val="ListBullet"/>
        <w:spacing w:before="0" w:after="40" w:line="245" w:lineRule="auto"/>
      </w:pPr>
      <w:r>
        <w:rPr>
          <w:rFonts w:ascii="Liberation Sans" w:hAnsi="Liberation Sans"/>
          <w:b w:val="0"/>
          <w:i w:val="0"/>
          <w:color w:val="1F2937"/>
          <w:sz w:val="17"/>
        </w:rPr>
        <w:t>Document rationale, consultation, feedback, and revision.</w:t>
      </w:r>
    </w:p>
    <w:p>
      <w:r>
        <w:br w:type="page"/>
      </w:r>
    </w:p>
    <w:p>
      <w:pPr>
        <w:keepNext/>
        <w:spacing w:before="140" w:after="80" w:line="247" w:lineRule="auto"/>
        <w:jc w:val="left"/>
      </w:pPr>
      <w:r>
        <w:rPr>
          <w:rFonts w:ascii="Liberation Sans" w:hAnsi="Liberation Sans"/>
          <w:b/>
          <w:i w:val="0"/>
          <w:color w:val="193A63"/>
          <w:sz w:val="32"/>
        </w:rPr>
        <w:t>Workbook 4 Knowledge Check</w:t>
      </w:r>
    </w:p>
    <w:p>
      <w:pPr>
        <w:keepNext w:val="0"/>
        <w:spacing w:before="0" w:after="100" w:line="247" w:lineRule="auto"/>
        <w:jc w:val="left"/>
      </w:pPr>
      <w:r>
        <w:rPr>
          <w:rFonts w:ascii="Liberation Sans" w:hAnsi="Liberation Sans"/>
          <w:b w:val="0"/>
          <w:i w:val="0"/>
          <w:color w:val="1F2937"/>
          <w:sz w:val="18"/>
        </w:rPr>
        <w:t>Select the one best answer. Complete the questions before reviewing the answer key. Record confidence from 1 (guess) to 4 (high confidence).</w:t>
      </w:r>
    </w:p>
    <w:p>
      <w:pPr>
        <w:keepNext/>
        <w:spacing w:before="40" w:after="20" w:line="247" w:lineRule="auto"/>
        <w:jc w:val="left"/>
      </w:pPr>
      <w:r>
        <w:rPr>
          <w:rFonts w:ascii="Liberation Sans" w:hAnsi="Liberation Sans"/>
          <w:b/>
          <w:i w:val="0"/>
          <w:color w:val="193A63"/>
          <w:sz w:val="18"/>
        </w:rPr>
        <w:t>1. Which statement BEST distinguishes a diagnosis from a systemic hypothesis?</w:t>
      </w:r>
    </w:p>
    <w:p>
      <w:pPr>
        <w:keepNext w:val="0"/>
        <w:spacing w:before="0" w:after="20" w:line="247" w:lineRule="auto"/>
        <w:jc w:val="left"/>
      </w:pPr>
      <w:r>
        <w:rPr>
          <w:rFonts w:ascii="Liberation Sans" w:hAnsi="Liberation Sans"/>
          <w:b w:val="0"/>
          <w:i w:val="0"/>
          <w:color w:val="1F2937"/>
          <w:sz w:val="17"/>
        </w:rPr>
        <w:t>A. A diagnosis explains all relevant relational and contextual factors, while a systemic hypothesis only lists symptoms.</w:t>
      </w:r>
    </w:p>
    <w:p>
      <w:pPr>
        <w:keepNext w:val="0"/>
        <w:spacing w:before="0" w:after="20" w:line="247" w:lineRule="auto"/>
        <w:jc w:val="left"/>
      </w:pPr>
      <w:r>
        <w:rPr>
          <w:rFonts w:ascii="Liberation Sans" w:hAnsi="Liberation Sans"/>
          <w:b w:val="0"/>
          <w:i w:val="0"/>
          <w:color w:val="1F2937"/>
          <w:sz w:val="17"/>
        </w:rPr>
        <w:t>B. A diagnosis classifies a supported clinical pattern, while a systemic hypothesis tentatively explains reciprocal and contextual influences.</w:t>
      </w:r>
    </w:p>
    <w:p>
      <w:pPr>
        <w:keepNext w:val="0"/>
        <w:spacing w:before="0" w:after="20" w:line="247" w:lineRule="auto"/>
        <w:jc w:val="left"/>
      </w:pPr>
      <w:r>
        <w:rPr>
          <w:rFonts w:ascii="Liberation Sans" w:hAnsi="Liberation Sans"/>
          <w:b w:val="0"/>
          <w:i w:val="0"/>
          <w:color w:val="1F2937"/>
          <w:sz w:val="17"/>
        </w:rPr>
        <w:t>C. A systemic hypothesis is more certain than a diagnosis because it includes family information.</w:t>
      </w:r>
    </w:p>
    <w:p>
      <w:pPr>
        <w:keepNext w:val="0"/>
        <w:spacing w:before="0" w:after="20" w:line="247" w:lineRule="auto"/>
        <w:jc w:val="left"/>
      </w:pPr>
      <w:r>
        <w:rPr>
          <w:rFonts w:ascii="Liberation Sans" w:hAnsi="Liberation Sans"/>
          <w:b w:val="0"/>
          <w:i w:val="0"/>
          <w:color w:val="1F2937"/>
          <w:sz w:val="17"/>
        </w:rPr>
        <w:t>D. The terms are interchangeable when the therapist uses a systemic model.</w:t>
      </w:r>
    </w:p>
    <w:p>
      <w:pPr>
        <w:keepNext/>
        <w:spacing w:before="40" w:after="20" w:line="247" w:lineRule="auto"/>
        <w:jc w:val="left"/>
      </w:pPr>
      <w:r>
        <w:rPr>
          <w:rFonts w:ascii="Liberation Sans" w:hAnsi="Liberation Sans"/>
          <w:b/>
          <w:i w:val="0"/>
          <w:color w:val="193A63"/>
          <w:sz w:val="18"/>
        </w:rPr>
        <w:t>2. A client scores above the recommended threshold on a brief anxiety screener. What is the BEST interpretation?</w:t>
      </w:r>
    </w:p>
    <w:p>
      <w:pPr>
        <w:keepNext w:val="0"/>
        <w:spacing w:before="0" w:after="20" w:line="247" w:lineRule="auto"/>
        <w:jc w:val="left"/>
      </w:pPr>
      <w:r>
        <w:rPr>
          <w:rFonts w:ascii="Liberation Sans" w:hAnsi="Liberation Sans"/>
          <w:b w:val="0"/>
          <w:i w:val="0"/>
          <w:color w:val="1F2937"/>
          <w:sz w:val="17"/>
        </w:rPr>
        <w:t>A. The client meets diagnostic criteria for an anxiety disorder.</w:t>
      </w:r>
    </w:p>
    <w:p>
      <w:pPr>
        <w:keepNext w:val="0"/>
        <w:spacing w:before="0" w:after="20" w:line="247" w:lineRule="auto"/>
        <w:jc w:val="left"/>
      </w:pPr>
      <w:r>
        <w:rPr>
          <w:rFonts w:ascii="Liberation Sans" w:hAnsi="Liberation Sans"/>
          <w:b w:val="0"/>
          <w:i w:val="0"/>
          <w:color w:val="1F2937"/>
          <w:sz w:val="17"/>
        </w:rPr>
        <w:t>B. The score determines which treatment model should be used.</w:t>
      </w:r>
    </w:p>
    <w:p>
      <w:pPr>
        <w:keepNext w:val="0"/>
        <w:spacing w:before="0" w:after="20" w:line="247" w:lineRule="auto"/>
        <w:jc w:val="left"/>
      </w:pPr>
      <w:r>
        <w:rPr>
          <w:rFonts w:ascii="Liberation Sans" w:hAnsi="Liberation Sans"/>
          <w:b w:val="0"/>
          <w:i w:val="0"/>
          <w:color w:val="1F2937"/>
          <w:sz w:val="17"/>
        </w:rPr>
        <w:t>C. The result supports further assessment and must be interpreted with history, impairment, exclusions, and context.</w:t>
      </w:r>
    </w:p>
    <w:p>
      <w:pPr>
        <w:keepNext w:val="0"/>
        <w:spacing w:before="0" w:after="20" w:line="247" w:lineRule="auto"/>
        <w:jc w:val="left"/>
      </w:pPr>
      <w:r>
        <w:rPr>
          <w:rFonts w:ascii="Liberation Sans" w:hAnsi="Liberation Sans"/>
          <w:b w:val="0"/>
          <w:i w:val="0"/>
          <w:color w:val="1F2937"/>
          <w:sz w:val="17"/>
        </w:rPr>
        <w:t>D. The score is invalid because screening tools cannot contribute to diagnosis.</w:t>
      </w:r>
    </w:p>
    <w:p>
      <w:pPr>
        <w:keepNext/>
        <w:spacing w:before="40" w:after="20" w:line="247" w:lineRule="auto"/>
        <w:jc w:val="left"/>
      </w:pPr>
      <w:r>
        <w:rPr>
          <w:rFonts w:ascii="Liberation Sans" w:hAnsi="Liberation Sans"/>
          <w:b/>
          <w:i w:val="0"/>
          <w:color w:val="193A63"/>
          <w:sz w:val="18"/>
        </w:rPr>
        <w:t>3. Which finding MOST directly supports moving from a symptom description toward a disorder-level conclusion?</w:t>
      </w:r>
    </w:p>
    <w:p>
      <w:pPr>
        <w:keepNext w:val="0"/>
        <w:spacing w:before="0" w:after="20" w:line="247" w:lineRule="auto"/>
        <w:jc w:val="left"/>
      </w:pPr>
      <w:r>
        <w:rPr>
          <w:rFonts w:ascii="Liberation Sans" w:hAnsi="Liberation Sans"/>
          <w:b w:val="0"/>
          <w:i w:val="0"/>
          <w:color w:val="1F2937"/>
          <w:sz w:val="17"/>
        </w:rPr>
        <w:t>A. A persistent pattern with the required duration, distress or impairment, and exclusions adequately assessed.</w:t>
      </w:r>
    </w:p>
    <w:p>
      <w:pPr>
        <w:keepNext w:val="0"/>
        <w:spacing w:before="0" w:after="20" w:line="247" w:lineRule="auto"/>
        <w:jc w:val="left"/>
      </w:pPr>
      <w:r>
        <w:rPr>
          <w:rFonts w:ascii="Liberation Sans" w:hAnsi="Liberation Sans"/>
          <w:b w:val="0"/>
          <w:i w:val="0"/>
          <w:color w:val="1F2937"/>
          <w:sz w:val="17"/>
        </w:rPr>
        <w:t>B. One highly distressing symptom reported during a single session.</w:t>
      </w:r>
    </w:p>
    <w:p>
      <w:pPr>
        <w:keepNext w:val="0"/>
        <w:spacing w:before="0" w:after="20" w:line="247" w:lineRule="auto"/>
        <w:jc w:val="left"/>
      </w:pPr>
      <w:r>
        <w:rPr>
          <w:rFonts w:ascii="Liberation Sans" w:hAnsi="Liberation Sans"/>
          <w:b w:val="0"/>
          <w:i w:val="0"/>
          <w:color w:val="1F2937"/>
          <w:sz w:val="17"/>
        </w:rPr>
        <w:t>C. A family member’s certainty that the client has the disorder.</w:t>
      </w:r>
    </w:p>
    <w:p>
      <w:pPr>
        <w:keepNext w:val="0"/>
        <w:spacing w:before="0" w:after="20" w:line="247" w:lineRule="auto"/>
        <w:jc w:val="left"/>
      </w:pPr>
      <w:r>
        <w:rPr>
          <w:rFonts w:ascii="Liberation Sans" w:hAnsi="Liberation Sans"/>
          <w:b w:val="0"/>
          <w:i w:val="0"/>
          <w:color w:val="1F2937"/>
          <w:sz w:val="17"/>
        </w:rPr>
        <w:t>D. A high score on one measure without review of administration conditions.</w:t>
      </w:r>
    </w:p>
    <w:p>
      <w:pPr>
        <w:keepNext/>
        <w:spacing w:before="40" w:after="20" w:line="247" w:lineRule="auto"/>
        <w:jc w:val="left"/>
      </w:pPr>
      <w:r>
        <w:rPr>
          <w:rFonts w:ascii="Liberation Sans" w:hAnsi="Liberation Sans"/>
          <w:b/>
          <w:i w:val="0"/>
          <w:color w:val="193A63"/>
          <w:sz w:val="18"/>
        </w:rPr>
        <w:t>4. A therapist has substantial evidence for a disorder but lacks enough longitudinal information to confirm the expected course. Which documentation is MOST appropriate?</w:t>
      </w:r>
    </w:p>
    <w:p>
      <w:pPr>
        <w:keepNext w:val="0"/>
        <w:spacing w:before="0" w:after="20" w:line="247" w:lineRule="auto"/>
        <w:jc w:val="left"/>
      </w:pPr>
      <w:r>
        <w:rPr>
          <w:rFonts w:ascii="Liberation Sans" w:hAnsi="Liberation Sans"/>
          <w:b w:val="0"/>
          <w:i w:val="0"/>
          <w:color w:val="1F2937"/>
          <w:sz w:val="17"/>
        </w:rPr>
        <w:t>A. Record the diagnosis as definitive to avoid confusing the client.</w:t>
      </w:r>
    </w:p>
    <w:p>
      <w:pPr>
        <w:keepNext w:val="0"/>
        <w:spacing w:before="0" w:after="20" w:line="247" w:lineRule="auto"/>
        <w:jc w:val="left"/>
      </w:pPr>
      <w:r>
        <w:rPr>
          <w:rFonts w:ascii="Liberation Sans" w:hAnsi="Liberation Sans"/>
          <w:b w:val="0"/>
          <w:i w:val="0"/>
          <w:color w:val="1F2937"/>
          <w:sz w:val="17"/>
        </w:rPr>
        <w:t>B. List several diagnoses as confirmed so none are missed.</w:t>
      </w:r>
    </w:p>
    <w:p>
      <w:pPr>
        <w:keepNext w:val="0"/>
        <w:spacing w:before="0" w:after="20" w:line="247" w:lineRule="auto"/>
        <w:jc w:val="left"/>
      </w:pPr>
      <w:r>
        <w:rPr>
          <w:rFonts w:ascii="Liberation Sans" w:hAnsi="Liberation Sans"/>
          <w:b w:val="0"/>
          <w:i w:val="0"/>
          <w:color w:val="1F2937"/>
          <w:sz w:val="17"/>
        </w:rPr>
        <w:t>C. Avoid documenting any impression until every uncertainty is resolved.</w:t>
      </w:r>
    </w:p>
    <w:p>
      <w:pPr>
        <w:keepNext w:val="0"/>
        <w:spacing w:before="0" w:after="20" w:line="247" w:lineRule="auto"/>
        <w:jc w:val="left"/>
      </w:pPr>
      <w:r>
        <w:rPr>
          <w:rFonts w:ascii="Liberation Sans" w:hAnsi="Liberation Sans"/>
          <w:b w:val="0"/>
          <w:i w:val="0"/>
          <w:color w:val="1F2937"/>
          <w:sz w:val="17"/>
        </w:rPr>
        <w:t>D. Use appropriately cautious working or provisional language and identify what information is still needed.</w:t>
      </w:r>
    </w:p>
    <w:p>
      <w:pPr>
        <w:keepNext/>
        <w:spacing w:before="40" w:after="20" w:line="247" w:lineRule="auto"/>
        <w:jc w:val="left"/>
      </w:pPr>
      <w:r>
        <w:rPr>
          <w:rFonts w:ascii="Liberation Sans" w:hAnsi="Liberation Sans"/>
          <w:b/>
          <w:i w:val="0"/>
          <w:color w:val="193A63"/>
          <w:sz w:val="18"/>
        </w:rPr>
        <w:t>5. A client develops reduced need for sleep, pressured speech, grandiosity, and excessive spending after a medication increase and heavy stimulant use. What should the therapist do FIRST?</w:t>
      </w:r>
    </w:p>
    <w:p>
      <w:pPr>
        <w:keepNext w:val="0"/>
        <w:spacing w:before="0" w:after="20" w:line="247" w:lineRule="auto"/>
        <w:jc w:val="left"/>
      </w:pPr>
      <w:r>
        <w:rPr>
          <w:rFonts w:ascii="Liberation Sans" w:hAnsi="Liberation Sans"/>
          <w:b w:val="0"/>
          <w:i w:val="0"/>
          <w:color w:val="1F2937"/>
          <w:sz w:val="17"/>
        </w:rPr>
        <w:t>A. Diagnose bipolar I disorder because grandiosity is present.</w:t>
      </w:r>
    </w:p>
    <w:p>
      <w:pPr>
        <w:keepNext w:val="0"/>
        <w:spacing w:before="0" w:after="20" w:line="247" w:lineRule="auto"/>
        <w:jc w:val="left"/>
      </w:pPr>
      <w:r>
        <w:rPr>
          <w:rFonts w:ascii="Liberation Sans" w:hAnsi="Liberation Sans"/>
          <w:b w:val="0"/>
          <w:i w:val="0"/>
          <w:color w:val="1F2937"/>
          <w:sz w:val="17"/>
        </w:rPr>
        <w:t>B. Assess chronology, prior episodes, substances, medication effects, safety, and need for prompt prescriber or psychiatric evaluation.</w:t>
      </w:r>
    </w:p>
    <w:p>
      <w:pPr>
        <w:keepNext w:val="0"/>
        <w:spacing w:before="0" w:after="20" w:line="247" w:lineRule="auto"/>
        <w:jc w:val="left"/>
      </w:pPr>
      <w:r>
        <w:rPr>
          <w:rFonts w:ascii="Liberation Sans" w:hAnsi="Liberation Sans"/>
          <w:b w:val="0"/>
          <w:i w:val="0"/>
          <w:color w:val="1F2937"/>
          <w:sz w:val="17"/>
        </w:rPr>
        <w:t>C. Begin behavioral activation to channel the increased energy.</w:t>
      </w:r>
    </w:p>
    <w:p>
      <w:pPr>
        <w:keepNext w:val="0"/>
        <w:spacing w:before="0" w:after="20" w:line="247" w:lineRule="auto"/>
        <w:jc w:val="left"/>
      </w:pPr>
      <w:r>
        <w:rPr>
          <w:rFonts w:ascii="Liberation Sans" w:hAnsi="Liberation Sans"/>
          <w:b w:val="0"/>
          <w:i w:val="0"/>
          <w:color w:val="1F2937"/>
          <w:sz w:val="17"/>
        </w:rPr>
        <w:t>D. Ask the partner to supervise all medication use without consulting the prescriber.</w:t>
      </w:r>
    </w:p>
    <w:p>
      <w:pPr>
        <w:keepNext/>
        <w:spacing w:before="40" w:after="20" w:line="247" w:lineRule="auto"/>
        <w:jc w:val="left"/>
      </w:pPr>
      <w:r>
        <w:rPr>
          <w:rFonts w:ascii="Liberation Sans" w:hAnsi="Liberation Sans"/>
          <w:b/>
          <w:i w:val="0"/>
          <w:color w:val="193A63"/>
          <w:sz w:val="18"/>
        </w:rPr>
        <w:t>6. A trauma survivor reports hearing the abuser’s voice during vivid flashbacks but has intact reality testing outside reminders. Which response is BEST?</w:t>
      </w:r>
    </w:p>
    <w:p>
      <w:pPr>
        <w:keepNext w:val="0"/>
        <w:spacing w:before="0" w:after="20" w:line="247" w:lineRule="auto"/>
        <w:jc w:val="left"/>
      </w:pPr>
      <w:r>
        <w:rPr>
          <w:rFonts w:ascii="Liberation Sans" w:hAnsi="Liberation Sans"/>
          <w:b w:val="0"/>
          <w:i w:val="0"/>
          <w:color w:val="1F2937"/>
          <w:sz w:val="17"/>
        </w:rPr>
        <w:t>A. Assume a primary psychotic disorder because a voice is reported.</w:t>
      </w:r>
    </w:p>
    <w:p>
      <w:pPr>
        <w:keepNext w:val="0"/>
        <w:spacing w:before="0" w:after="20" w:line="247" w:lineRule="auto"/>
        <w:jc w:val="left"/>
      </w:pPr>
      <w:r>
        <w:rPr>
          <w:rFonts w:ascii="Liberation Sans" w:hAnsi="Liberation Sans"/>
          <w:b w:val="0"/>
          <w:i w:val="0"/>
          <w:color w:val="1F2937"/>
          <w:sz w:val="17"/>
        </w:rPr>
        <w:t>B. Assume the experience is culturally normative without further assessment.</w:t>
      </w:r>
    </w:p>
    <w:p>
      <w:pPr>
        <w:keepNext w:val="0"/>
        <w:spacing w:before="0" w:after="20" w:line="247" w:lineRule="auto"/>
        <w:jc w:val="left"/>
      </w:pPr>
      <w:r>
        <w:rPr>
          <w:rFonts w:ascii="Liberation Sans" w:hAnsi="Liberation Sans"/>
          <w:b w:val="0"/>
          <w:i w:val="0"/>
          <w:color w:val="1F2937"/>
          <w:sz w:val="17"/>
        </w:rPr>
        <w:t>C. Clarify trauma cues, dissociation, reality testing, organization, substances, medical factors, cultural meaning, and functional impact before deciding.</w:t>
      </w:r>
    </w:p>
    <w:p>
      <w:pPr>
        <w:keepNext w:val="0"/>
        <w:spacing w:before="0" w:after="20" w:line="247" w:lineRule="auto"/>
        <w:jc w:val="left"/>
      </w:pPr>
      <w:r>
        <w:rPr>
          <w:rFonts w:ascii="Liberation Sans" w:hAnsi="Liberation Sans"/>
          <w:b w:val="0"/>
          <w:i w:val="0"/>
          <w:color w:val="1F2937"/>
          <w:sz w:val="17"/>
        </w:rPr>
        <w:t>D. Avoid asking about the experience because discussion may worsen symptoms.</w:t>
      </w:r>
    </w:p>
    <w:p>
      <w:pPr>
        <w:keepNext/>
        <w:spacing w:before="40" w:after="20" w:line="247" w:lineRule="auto"/>
        <w:jc w:val="left"/>
      </w:pPr>
      <w:r>
        <w:rPr>
          <w:rFonts w:ascii="Liberation Sans" w:hAnsi="Liberation Sans"/>
          <w:b/>
          <w:i w:val="0"/>
          <w:color w:val="193A63"/>
          <w:sz w:val="18"/>
        </w:rPr>
        <w:t>7. Which use of a standardized instrument is MOST defensible?</w:t>
      </w:r>
    </w:p>
    <w:p>
      <w:pPr>
        <w:keepNext w:val="0"/>
        <w:spacing w:before="0" w:after="20" w:line="247" w:lineRule="auto"/>
        <w:jc w:val="left"/>
      </w:pPr>
      <w:r>
        <w:rPr>
          <w:rFonts w:ascii="Liberation Sans" w:hAnsi="Liberation Sans"/>
          <w:b w:val="0"/>
          <w:i w:val="0"/>
          <w:color w:val="1F2937"/>
          <w:sz w:val="17"/>
        </w:rPr>
        <w:t>A. Selecting a measure that fits the clinical question and client population, explaining limits, and integrating results with other evidence.</w:t>
      </w:r>
    </w:p>
    <w:p>
      <w:pPr>
        <w:keepNext w:val="0"/>
        <w:spacing w:before="0" w:after="20" w:line="247" w:lineRule="auto"/>
        <w:jc w:val="left"/>
      </w:pPr>
      <w:r>
        <w:rPr>
          <w:rFonts w:ascii="Liberation Sans" w:hAnsi="Liberation Sans"/>
          <w:b w:val="0"/>
          <w:i w:val="0"/>
          <w:color w:val="1F2937"/>
          <w:sz w:val="17"/>
        </w:rPr>
        <w:t>B. Using the same measure for every client because it allows comparison.</w:t>
      </w:r>
    </w:p>
    <w:p>
      <w:pPr>
        <w:keepNext w:val="0"/>
        <w:spacing w:before="0" w:after="20" w:line="247" w:lineRule="auto"/>
        <w:jc w:val="left"/>
      </w:pPr>
      <w:r>
        <w:rPr>
          <w:rFonts w:ascii="Liberation Sans" w:hAnsi="Liberation Sans"/>
          <w:b w:val="0"/>
          <w:i w:val="0"/>
          <w:color w:val="1F2937"/>
          <w:sz w:val="17"/>
        </w:rPr>
        <w:t>C. Treating the cut score as proof of diagnosis when the client agrees with it.</w:t>
      </w:r>
    </w:p>
    <w:p>
      <w:pPr>
        <w:keepNext w:val="0"/>
        <w:spacing w:before="0" w:after="20" w:line="247" w:lineRule="auto"/>
        <w:jc w:val="left"/>
      </w:pPr>
      <w:r>
        <w:rPr>
          <w:rFonts w:ascii="Liberation Sans" w:hAnsi="Liberation Sans"/>
          <w:b w:val="0"/>
          <w:i w:val="0"/>
          <w:color w:val="1F2937"/>
          <w:sz w:val="17"/>
        </w:rPr>
        <w:t>D. Using an unverified translation because any language access is better than none.</w:t>
      </w:r>
    </w:p>
    <w:p>
      <w:pPr>
        <w:keepNext/>
        <w:spacing w:before="40" w:after="20" w:line="247" w:lineRule="auto"/>
        <w:jc w:val="left"/>
      </w:pPr>
      <w:r>
        <w:rPr>
          <w:rFonts w:ascii="Liberation Sans" w:hAnsi="Liberation Sans"/>
          <w:b/>
          <w:i w:val="0"/>
          <w:color w:val="193A63"/>
          <w:sz w:val="18"/>
        </w:rPr>
        <w:t>8. Which formulation BEST reflects systemic diagnostic reasoning?</w:t>
      </w:r>
    </w:p>
    <w:p>
      <w:pPr>
        <w:keepNext w:val="0"/>
        <w:spacing w:before="0" w:after="20" w:line="247" w:lineRule="auto"/>
        <w:jc w:val="left"/>
      </w:pPr>
      <w:r>
        <w:rPr>
          <w:rFonts w:ascii="Liberation Sans" w:hAnsi="Liberation Sans"/>
          <w:b w:val="0"/>
          <w:i w:val="0"/>
          <w:color w:val="1F2937"/>
          <w:sz w:val="17"/>
        </w:rPr>
        <w:t>A. The client is depressed because the spouse is critical.</w:t>
      </w:r>
    </w:p>
    <w:p>
      <w:pPr>
        <w:keepNext w:val="0"/>
        <w:spacing w:before="0" w:after="20" w:line="247" w:lineRule="auto"/>
        <w:jc w:val="left"/>
      </w:pPr>
      <w:r>
        <w:rPr>
          <w:rFonts w:ascii="Liberation Sans" w:hAnsi="Liberation Sans"/>
          <w:b w:val="0"/>
          <w:i w:val="0"/>
          <w:color w:val="1F2937"/>
          <w:sz w:val="17"/>
        </w:rPr>
        <w:t>B. The couple is enmeshed, so individual diagnosis is unnecessary.</w:t>
      </w:r>
    </w:p>
    <w:p>
      <w:pPr>
        <w:keepNext w:val="0"/>
        <w:spacing w:before="0" w:after="20" w:line="247" w:lineRule="auto"/>
        <w:jc w:val="left"/>
      </w:pPr>
      <w:r>
        <w:rPr>
          <w:rFonts w:ascii="Liberation Sans" w:hAnsi="Liberation Sans"/>
          <w:b w:val="0"/>
          <w:i w:val="0"/>
          <w:color w:val="1F2937"/>
          <w:sz w:val="17"/>
        </w:rPr>
        <w:t>C. The diagnosis explains the conflict; relational assessment can wait.</w:t>
      </w:r>
    </w:p>
    <w:p>
      <w:pPr>
        <w:keepNext w:val="0"/>
        <w:spacing w:before="0" w:after="20" w:line="247" w:lineRule="auto"/>
        <w:jc w:val="left"/>
      </w:pPr>
      <w:r>
        <w:rPr>
          <w:rFonts w:ascii="Liberation Sans" w:hAnsi="Liberation Sans"/>
          <w:b w:val="0"/>
          <w:i w:val="0"/>
          <w:color w:val="1F2937"/>
          <w:sz w:val="17"/>
        </w:rPr>
        <w:t>D. A depressive presentation may be interacting with sleep loss, occupational stress, and a criticism-withdrawal cycle; substance and medical factors still require clarification.</w:t>
      </w:r>
    </w:p>
    <w:p>
      <w:pPr>
        <w:keepNext/>
        <w:spacing w:before="40" w:after="20" w:line="247" w:lineRule="auto"/>
        <w:jc w:val="left"/>
      </w:pPr>
      <w:r>
        <w:rPr>
          <w:rFonts w:ascii="Liberation Sans" w:hAnsi="Liberation Sans"/>
          <w:b/>
          <w:i w:val="0"/>
          <w:color w:val="193A63"/>
          <w:sz w:val="18"/>
        </w:rPr>
        <w:t>9. A collegiate athlete reports severe restriction, dizziness, missed menstrual periods, compulsive exercise, and a stress fracture. What is the BEST initial response?</w:t>
      </w:r>
    </w:p>
    <w:p>
      <w:pPr>
        <w:keepNext w:val="0"/>
        <w:spacing w:before="0" w:after="20" w:line="247" w:lineRule="auto"/>
        <w:jc w:val="left"/>
      </w:pPr>
      <w:r>
        <w:rPr>
          <w:rFonts w:ascii="Liberation Sans" w:hAnsi="Liberation Sans"/>
          <w:b w:val="0"/>
          <w:i w:val="0"/>
          <w:color w:val="1F2937"/>
          <w:sz w:val="17"/>
        </w:rPr>
        <w:t>A. Continue outpatient diagnosis until the exact eating-disorder category is confirmed.</w:t>
      </w:r>
    </w:p>
    <w:p>
      <w:pPr>
        <w:keepNext w:val="0"/>
        <w:spacing w:before="0" w:after="20" w:line="247" w:lineRule="auto"/>
        <w:jc w:val="left"/>
      </w:pPr>
      <w:r>
        <w:rPr>
          <w:rFonts w:ascii="Liberation Sans" w:hAnsi="Liberation Sans"/>
          <w:b w:val="0"/>
          <w:i w:val="0"/>
          <w:color w:val="1F2937"/>
          <w:sz w:val="17"/>
        </w:rPr>
        <w:t>B. Arrange prompt medical and specialty evaluation while assessing safety and maintaining continuity.</w:t>
      </w:r>
    </w:p>
    <w:p>
      <w:pPr>
        <w:keepNext w:val="0"/>
        <w:spacing w:before="0" w:after="20" w:line="247" w:lineRule="auto"/>
        <w:jc w:val="left"/>
      </w:pPr>
      <w:r>
        <w:rPr>
          <w:rFonts w:ascii="Liberation Sans" w:hAnsi="Liberation Sans"/>
          <w:b w:val="0"/>
          <w:i w:val="0"/>
          <w:color w:val="1F2937"/>
          <w:sz w:val="17"/>
        </w:rPr>
        <w:t>C. Use body weight alone to decide whether medical concern is present.</w:t>
      </w:r>
    </w:p>
    <w:p>
      <w:pPr>
        <w:keepNext w:val="0"/>
        <w:spacing w:before="0" w:after="20" w:line="247" w:lineRule="auto"/>
        <w:jc w:val="left"/>
      </w:pPr>
      <w:r>
        <w:rPr>
          <w:rFonts w:ascii="Liberation Sans" w:hAnsi="Liberation Sans"/>
          <w:b w:val="0"/>
          <w:i w:val="0"/>
          <w:color w:val="1F2937"/>
          <w:sz w:val="17"/>
        </w:rPr>
        <w:t>D. Focus first on performance anxiety because the client fears losing a scholarship.</w:t>
      </w:r>
    </w:p>
    <w:p>
      <w:pPr>
        <w:keepNext/>
        <w:spacing w:before="40" w:after="20" w:line="247" w:lineRule="auto"/>
        <w:jc w:val="left"/>
      </w:pPr>
      <w:r>
        <w:rPr>
          <w:rFonts w:ascii="Liberation Sans" w:hAnsi="Liberation Sans"/>
          <w:b/>
          <w:i w:val="0"/>
          <w:color w:val="193A63"/>
          <w:sz w:val="18"/>
        </w:rPr>
        <w:t>10. Conflicting client, family, and record data leave the diagnosis uncertain, and specialty testing may exceed the therapist’s competence. What should the therapist do NEXT?</w:t>
      </w:r>
    </w:p>
    <w:p>
      <w:pPr>
        <w:keepNext w:val="0"/>
        <w:spacing w:before="0" w:after="20" w:line="247" w:lineRule="auto"/>
        <w:jc w:val="left"/>
      </w:pPr>
      <w:r>
        <w:rPr>
          <w:rFonts w:ascii="Liberation Sans" w:hAnsi="Liberation Sans"/>
          <w:b w:val="0"/>
          <w:i w:val="0"/>
          <w:color w:val="1F2937"/>
          <w:sz w:val="17"/>
        </w:rPr>
        <w:t>A. Choose the source that appears most credible and finalize the diagnosis.</w:t>
      </w:r>
    </w:p>
    <w:p>
      <w:pPr>
        <w:keepNext w:val="0"/>
        <w:spacing w:before="0" w:after="20" w:line="247" w:lineRule="auto"/>
        <w:jc w:val="left"/>
      </w:pPr>
      <w:r>
        <w:rPr>
          <w:rFonts w:ascii="Liberation Sans" w:hAnsi="Liberation Sans"/>
          <w:b w:val="0"/>
          <w:i w:val="0"/>
          <w:color w:val="1F2937"/>
          <w:sz w:val="17"/>
        </w:rPr>
        <w:t>B. Refer the client out and end treatment immediately.</w:t>
      </w:r>
    </w:p>
    <w:p>
      <w:pPr>
        <w:keepNext w:val="0"/>
        <w:spacing w:before="0" w:after="20" w:line="247" w:lineRule="auto"/>
        <w:jc w:val="left"/>
      </w:pPr>
      <w:r>
        <w:rPr>
          <w:rFonts w:ascii="Liberation Sans" w:hAnsi="Liberation Sans"/>
          <w:b w:val="0"/>
          <w:i w:val="0"/>
          <w:color w:val="1F2937"/>
          <w:sz w:val="17"/>
        </w:rPr>
        <w:t>C. Document the discrepancy and current status, obtain consultation, define the referral question, coordinate within authorization, and preserve continuity.</w:t>
      </w:r>
    </w:p>
    <w:p>
      <w:pPr>
        <w:keepNext w:val="0"/>
        <w:spacing w:before="0" w:after="20" w:line="247" w:lineRule="auto"/>
        <w:jc w:val="left"/>
      </w:pPr>
      <w:r>
        <w:rPr>
          <w:rFonts w:ascii="Liberation Sans" w:hAnsi="Liberation Sans"/>
          <w:b w:val="0"/>
          <w:i w:val="0"/>
          <w:color w:val="1F2937"/>
          <w:sz w:val="17"/>
        </w:rPr>
        <w:t>D. Delay all treatment until every diagnostic question is answered.</w:t>
      </w:r>
    </w:p>
    <w:p>
      <w:r>
        <w:br w:type="page"/>
      </w:r>
    </w:p>
    <w:p>
      <w:pPr>
        <w:keepNext/>
        <w:spacing w:before="140" w:after="80" w:line="247" w:lineRule="auto"/>
        <w:jc w:val="left"/>
      </w:pPr>
      <w:r>
        <w:rPr>
          <w:rFonts w:ascii="Liberation Sans" w:hAnsi="Liberation Sans"/>
          <w:b/>
          <w:i w:val="0"/>
          <w:color w:val="193A63"/>
          <w:sz w:val="30"/>
        </w:rPr>
        <w:t>Knowledge Check Reflection and Repair</w:t>
      </w:r>
    </w:p>
    <w:p>
      <w:pPr>
        <w:keepNext w:val="0"/>
        <w:spacing w:before="0" w:after="80" w:line="247" w:lineRule="auto"/>
        <w:jc w:val="left"/>
      </w:pPr>
      <w:r>
        <w:rPr>
          <w:rFonts w:ascii="Liberation Sans" w:hAnsi="Liberation Sans"/>
          <w:b w:val="0"/>
          <w:i w:val="0"/>
          <w:color w:val="1F2937"/>
          <w:sz w:val="18"/>
        </w:rPr>
        <w:t>Before reviewing the rationales, identify where your reasoning changed. For each missed or low-confidence item, name the first unsupported step and write the rule you will use on the next case.</w:t>
      </w: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cantSplit/>
          <w:tblHeader w:val="true"/>
        </w:trPr>
        <w:tc>
          <w:tcPr>
            <w:tcW w:type="dxa" w:w="108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Question</w:t>
            </w:r>
          </w:p>
        </w:tc>
        <w:tc>
          <w:tcPr>
            <w:tcW w:type="dxa" w:w="1655"/>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Confidence 1-4</w:t>
            </w:r>
          </w:p>
        </w:tc>
        <w:tc>
          <w:tcPr>
            <w:tcW w:type="dxa" w:w="1655"/>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Error Code</w:t>
            </w:r>
          </w:p>
        </w:tc>
        <w:tc>
          <w:tcPr>
            <w:tcW w:type="dxa" w:w="597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Corrected Rule</w:t>
            </w:r>
          </w:p>
        </w:tc>
      </w:tr>
      <w:tr>
        <w:trPr>
          <w:cantSplit/>
        </w:trPr>
        <w:tc>
          <w:tcPr>
            <w:tcW w:type="dxa" w:w="1080"/>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1</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2</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3</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4</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5</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6</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7</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8</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9</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____________________________________________</w:t>
            </w:r>
          </w:p>
        </w:tc>
      </w:tr>
      <w:tr>
        <w:trPr>
          <w:cantSplit/>
        </w:trPr>
        <w:tc>
          <w:tcPr>
            <w:tcW w:type="dxa" w:w="1080"/>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10</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w:t>
            </w:r>
          </w:p>
        </w:tc>
        <w:tc>
          <w:tcPr>
            <w:tcW w:type="dxa" w:w="1655"/>
            <w:vAlign w:val="center"/>
            <w:tcMar>
              <w:top w:w="85" w:type="dxa"/>
              <w:start w:w="95" w:type="dxa"/>
              <w:bottom w:w="85" w:type="dxa"/>
              <w:end w:w="95" w:type="dxa"/>
            </w:tcMar>
            <w:shd w:fill="F3F4F6"/>
          </w:tcPr>
          <w:p>
            <w:pPr>
              <w:spacing w:before="0" w:after="0" w:line="240" w:lineRule="auto"/>
              <w:jc w:val="center"/>
            </w:pPr>
            <w:r>
              <w:rPr>
                <w:rFonts w:ascii="Liberation Sans" w:hAnsi="Liberation Sans"/>
                <w:b w:val="0"/>
                <w:i w:val="0"/>
                <w:color w:val="1F2937"/>
                <w:sz w:val="16"/>
              </w:rPr>
              <w:t>________</w:t>
            </w:r>
          </w:p>
        </w:tc>
        <w:tc>
          <w:tcPr>
            <w:tcW w:type="dxa" w:w="59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F3F4F6"/>
            <w:tcMar>
              <w:top w:w="110" w:type="dxa"/>
              <w:start w:w="130" w:type="dxa"/>
              <w:bottom w:w="110" w:type="dxa"/>
              <w:end w:w="130" w:type="dxa"/>
            </w:tcMar>
          </w:tcPr>
          <w:p>
            <w:pPr>
              <w:spacing w:before="0" w:after="0" w:line="245" w:lineRule="auto"/>
            </w:pPr>
            <w:r>
              <w:rPr>
                <w:rFonts w:ascii="Liberation Sans" w:hAnsi="Liberation Sans"/>
                <w:b/>
                <w:i w:val="0"/>
                <w:color w:val="193A63"/>
                <w:sz w:val="20"/>
              </w:rPr>
              <w:t>SCORE REFLECTION</w:t>
              <w:br/>
            </w:r>
            <w:r>
              <w:rPr>
                <w:rFonts w:ascii="Liberation Sans" w:hAnsi="Liberation Sans"/>
                <w:b w:val="0"/>
                <w:i w:val="0"/>
                <w:color w:val="1F2937"/>
                <w:sz w:val="17"/>
              </w:rPr>
              <w:t>Raw score: ____ / 10    High-confidence misses: ____    Primary error code: ____    One rule I will apply next time: ______________________________________________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REPAIR BEFORE REVIEW</w:t>
              <w:br/>
            </w:r>
            <w:r>
              <w:rPr>
                <w:rFonts w:ascii="Liberation Sans" w:hAnsi="Liberation Sans"/>
                <w:b w:val="0"/>
                <w:i w:val="0"/>
                <w:color w:val="1F2937"/>
                <w:sz w:val="17"/>
              </w:rPr>
              <w:t>Re-answer each missed item without looking at the options. State the task, the missing evidence or discriminator, the appropriate level of certainty, and the next professional action. Then compare your reasoning with the detailed rationale.</w:t>
            </w:r>
          </w:p>
        </w:tc>
      </w:tr>
    </w:tbl>
    <w:p>
      <w:pPr>
        <w:spacing w:after="0"/>
      </w:pPr>
    </w:p>
    <w:p>
      <w:r>
        <w:br w:type="page"/>
      </w:r>
    </w:p>
    <w:p>
      <w:pPr>
        <w:keepNext/>
        <w:spacing w:before="140" w:after="80" w:line="247" w:lineRule="auto"/>
        <w:jc w:val="left"/>
      </w:pPr>
      <w:r>
        <w:rPr>
          <w:rFonts w:ascii="Liberation Sans" w:hAnsi="Liberation Sans"/>
          <w:b/>
          <w:i w:val="0"/>
          <w:color w:val="193A63"/>
          <w:sz w:val="32"/>
        </w:rPr>
        <w:t>Answer Key and Detailed Rationales</w:t>
      </w:r>
    </w:p>
    <w:p>
      <w:pPr>
        <w:keepNext w:val="0"/>
        <w:spacing w:before="0" w:after="80" w:line="247" w:lineRule="auto"/>
        <w:jc w:val="left"/>
      </w:pPr>
      <w:r>
        <w:rPr>
          <w:rFonts w:ascii="Liberation Sans" w:hAnsi="Liberation Sans"/>
          <w:b w:val="0"/>
          <w:i w:val="0"/>
          <w:color w:val="1F2937"/>
          <w:sz w:val="18"/>
        </w:rPr>
        <w:t>Review the reasoning, not only the correct letter. For each miss, identify the diagnostic task, the missing evidence or discriminator, the level of certainty supported, and the earliest professional correction.</w:t>
      </w:r>
    </w:p>
    <w:p>
      <w:pPr>
        <w:keepNext/>
        <w:spacing w:before="80" w:after="20" w:line="247" w:lineRule="auto"/>
        <w:jc w:val="left"/>
      </w:pPr>
      <w:r>
        <w:rPr>
          <w:rFonts w:ascii="Liberation Sans" w:hAnsi="Liberation Sans"/>
          <w:b/>
          <w:i w:val="0"/>
          <w:color w:val="193A63"/>
          <w:sz w:val="18"/>
        </w:rPr>
        <w:t>1. Correct Answer: B</w:t>
      </w:r>
    </w:p>
    <w:p>
      <w:pPr>
        <w:keepNext w:val="0"/>
        <w:spacing w:before="0" w:after="20" w:line="247" w:lineRule="auto"/>
        <w:jc w:val="left"/>
      </w:pPr>
      <w:r>
        <w:rPr>
          <w:rFonts w:ascii="Liberation Sans" w:hAnsi="Liberation Sans"/>
          <w:b w:val="0"/>
          <w:i w:val="0"/>
          <w:color w:val="1F2937"/>
          <w:sz w:val="17"/>
        </w:rPr>
        <w:t>Why B is correct: Diagnosis classifies a supported clinical pattern; a systemic hypothesis tentatively explains reciprocal, developmental, cultural, and contextual influences and remains open to revision.</w:t>
      </w:r>
    </w:p>
    <w:p>
      <w:pPr>
        <w:keepNext w:val="0"/>
        <w:spacing w:before="0" w:after="20" w:line="247" w:lineRule="auto"/>
        <w:jc w:val="left"/>
      </w:pPr>
      <w:r>
        <w:rPr>
          <w:rFonts w:ascii="Liberation Sans" w:hAnsi="Liberation Sans"/>
          <w:b w:val="0"/>
          <w:i w:val="0"/>
          <w:color w:val="1F2937"/>
          <w:sz w:val="17"/>
        </w:rPr>
        <w:t>Why A is not best: A diagnosis does not explain every contextual or relational factor, and a systemic hypothesis is more than a symptom list.</w:t>
      </w:r>
    </w:p>
    <w:p>
      <w:pPr>
        <w:keepNext w:val="0"/>
        <w:spacing w:before="0" w:after="20" w:line="247" w:lineRule="auto"/>
        <w:jc w:val="left"/>
      </w:pPr>
      <w:r>
        <w:rPr>
          <w:rFonts w:ascii="Liberation Sans" w:hAnsi="Liberation Sans"/>
          <w:b w:val="0"/>
          <w:i w:val="0"/>
          <w:color w:val="1F2937"/>
          <w:sz w:val="17"/>
        </w:rPr>
        <w:t>Why C is not best: Including family information does not automatically make a hypothesis more certain.</w:t>
      </w:r>
    </w:p>
    <w:p>
      <w:pPr>
        <w:keepNext w:val="0"/>
        <w:spacing w:before="0" w:after="20" w:line="247" w:lineRule="auto"/>
        <w:jc w:val="left"/>
      </w:pPr>
      <w:r>
        <w:rPr>
          <w:rFonts w:ascii="Liberation Sans" w:hAnsi="Liberation Sans"/>
          <w:b w:val="0"/>
          <w:i w:val="0"/>
          <w:color w:val="1F2937"/>
          <w:sz w:val="17"/>
        </w:rPr>
        <w:t>Why D is not best: The terms serve different functions and should not be used interchangeably.</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Keep classification and formulation separate. The strongest answer can use both without allowing either to replace the other.</w:t>
            </w:r>
          </w:p>
        </w:tc>
      </w:tr>
    </w:tbl>
    <w:p>
      <w:pPr>
        <w:spacing w:after="0"/>
      </w:pPr>
    </w:p>
    <w:p>
      <w:pPr>
        <w:keepNext/>
        <w:spacing w:before="80" w:after="20" w:line="247" w:lineRule="auto"/>
        <w:jc w:val="left"/>
      </w:pPr>
      <w:r>
        <w:rPr>
          <w:rFonts w:ascii="Liberation Sans" w:hAnsi="Liberation Sans"/>
          <w:b/>
          <w:i w:val="0"/>
          <w:color w:val="193A63"/>
          <w:sz w:val="18"/>
        </w:rPr>
        <w:t>2. Correct Answer: C</w:t>
      </w:r>
    </w:p>
    <w:p>
      <w:pPr>
        <w:keepNext w:val="0"/>
        <w:spacing w:before="0" w:after="20" w:line="247" w:lineRule="auto"/>
        <w:jc w:val="left"/>
      </w:pPr>
      <w:r>
        <w:rPr>
          <w:rFonts w:ascii="Liberation Sans" w:hAnsi="Liberation Sans"/>
          <w:b w:val="0"/>
          <w:i w:val="0"/>
          <w:color w:val="1F2937"/>
          <w:sz w:val="17"/>
        </w:rPr>
        <w:t>Why C is correct: A screening result estimates concern or severity and guides further evaluation. It must be integrated with interview, history, impairment, exclusions, context, and professional judgment.</w:t>
      </w:r>
    </w:p>
    <w:p>
      <w:pPr>
        <w:keepNext w:val="0"/>
        <w:spacing w:before="0" w:after="20" w:line="247" w:lineRule="auto"/>
        <w:jc w:val="left"/>
      </w:pPr>
      <w:r>
        <w:rPr>
          <w:rFonts w:ascii="Liberation Sans" w:hAnsi="Liberation Sans"/>
          <w:b w:val="0"/>
          <w:i w:val="0"/>
          <w:color w:val="1F2937"/>
          <w:sz w:val="17"/>
        </w:rPr>
        <w:t>Why A is not best: A cut score does not establish full diagnostic criteria.</w:t>
      </w:r>
    </w:p>
    <w:p>
      <w:pPr>
        <w:keepNext w:val="0"/>
        <w:spacing w:before="0" w:after="20" w:line="247" w:lineRule="auto"/>
        <w:jc w:val="left"/>
      </w:pPr>
      <w:r>
        <w:rPr>
          <w:rFonts w:ascii="Liberation Sans" w:hAnsi="Liberation Sans"/>
          <w:b w:val="0"/>
          <w:i w:val="0"/>
          <w:color w:val="1F2937"/>
          <w:sz w:val="17"/>
        </w:rPr>
        <w:t>Why B is not best: Treatment selection requires broader formulation and client-system information.</w:t>
      </w:r>
    </w:p>
    <w:p>
      <w:pPr>
        <w:keepNext w:val="0"/>
        <w:spacing w:before="0" w:after="20" w:line="247" w:lineRule="auto"/>
        <w:jc w:val="left"/>
      </w:pPr>
      <w:r>
        <w:rPr>
          <w:rFonts w:ascii="Liberation Sans" w:hAnsi="Liberation Sans"/>
          <w:b w:val="0"/>
          <w:i w:val="0"/>
          <w:color w:val="1F2937"/>
          <w:sz w:val="17"/>
        </w:rPr>
        <w:t>Why D is not best: Screeners can contribute useful information when used within purpose and limits.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Screen to assess further. Do not convert a score into a diagnosis or dismiss a useful measure because it is not diagnostic by itself.</w:t>
            </w:r>
          </w:p>
        </w:tc>
      </w:tr>
    </w:tbl>
    <w:p>
      <w:pPr>
        <w:spacing w:after="0"/>
      </w:pPr>
    </w:p>
    <w:p>
      <w:pPr>
        <w:keepNext/>
        <w:spacing w:before="80" w:after="20" w:line="247" w:lineRule="auto"/>
        <w:jc w:val="left"/>
      </w:pPr>
      <w:r>
        <w:rPr>
          <w:rFonts w:ascii="Liberation Sans" w:hAnsi="Liberation Sans"/>
          <w:b/>
          <w:i w:val="0"/>
          <w:color w:val="193A63"/>
          <w:sz w:val="18"/>
        </w:rPr>
        <w:t>3. Correct Answer: A</w:t>
      </w:r>
    </w:p>
    <w:p>
      <w:pPr>
        <w:keepNext w:val="0"/>
        <w:spacing w:before="0" w:after="20" w:line="247" w:lineRule="auto"/>
        <w:jc w:val="left"/>
      </w:pPr>
      <w:r>
        <w:rPr>
          <w:rFonts w:ascii="Liberation Sans" w:hAnsi="Liberation Sans"/>
          <w:b w:val="0"/>
          <w:i w:val="0"/>
          <w:color w:val="1F2937"/>
          <w:sz w:val="17"/>
        </w:rPr>
        <w:t>Why A is correct: A disorder-level conclusion requires a supported pattern, appropriate duration or course, clinically meaningful distress or impairment, and adequate attention to exclusions.</w:t>
      </w:r>
    </w:p>
    <w:p>
      <w:pPr>
        <w:keepNext w:val="0"/>
        <w:spacing w:before="0" w:after="20" w:line="247" w:lineRule="auto"/>
        <w:jc w:val="left"/>
      </w:pPr>
      <w:r>
        <w:rPr>
          <w:rFonts w:ascii="Liberation Sans" w:hAnsi="Liberation Sans"/>
          <w:b w:val="0"/>
          <w:i w:val="0"/>
          <w:color w:val="1F2937"/>
          <w:sz w:val="17"/>
        </w:rPr>
        <w:t>Why B is not best: One symptom may be important but does not establish the full pattern or threshold.</w:t>
      </w:r>
    </w:p>
    <w:p>
      <w:pPr>
        <w:keepNext w:val="0"/>
        <w:spacing w:before="0" w:after="20" w:line="247" w:lineRule="auto"/>
        <w:jc w:val="left"/>
      </w:pPr>
      <w:r>
        <w:rPr>
          <w:rFonts w:ascii="Liberation Sans" w:hAnsi="Liberation Sans"/>
          <w:b w:val="0"/>
          <w:i w:val="0"/>
          <w:color w:val="1F2937"/>
          <w:sz w:val="17"/>
        </w:rPr>
        <w:t>Why C is not best: Family certainty is collateral information, not diagnostic proof.</w:t>
      </w:r>
    </w:p>
    <w:p>
      <w:pPr>
        <w:keepNext w:val="0"/>
        <w:spacing w:before="0" w:after="20" w:line="247" w:lineRule="auto"/>
        <w:jc w:val="left"/>
      </w:pPr>
      <w:r>
        <w:rPr>
          <w:rFonts w:ascii="Liberation Sans" w:hAnsi="Liberation Sans"/>
          <w:b w:val="0"/>
          <w:i w:val="0"/>
          <w:color w:val="1F2937"/>
          <w:sz w:val="17"/>
        </w:rPr>
        <w:t>Why D is not best: One score without administration and context review is incomplete evidence.</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Use PTI: pattern, timeline, threshold, impact, and status before diagnostic closure.</w:t>
            </w:r>
          </w:p>
        </w:tc>
      </w:tr>
    </w:tbl>
    <w:p>
      <w:pPr>
        <w:spacing w:after="0"/>
      </w:pPr>
    </w:p>
    <w:p>
      <w:pPr>
        <w:keepNext/>
        <w:spacing w:before="80" w:after="20" w:line="247" w:lineRule="auto"/>
        <w:jc w:val="left"/>
      </w:pPr>
      <w:r>
        <w:rPr>
          <w:rFonts w:ascii="Liberation Sans" w:hAnsi="Liberation Sans"/>
          <w:b/>
          <w:i w:val="0"/>
          <w:color w:val="193A63"/>
          <w:sz w:val="18"/>
        </w:rPr>
        <w:t>4. Correct Answer: D</w:t>
      </w:r>
    </w:p>
    <w:p>
      <w:pPr>
        <w:keepNext w:val="0"/>
        <w:spacing w:before="0" w:after="20" w:line="247" w:lineRule="auto"/>
        <w:jc w:val="left"/>
      </w:pPr>
      <w:r>
        <w:rPr>
          <w:rFonts w:ascii="Liberation Sans" w:hAnsi="Liberation Sans"/>
          <w:b w:val="0"/>
          <w:i w:val="0"/>
          <w:color w:val="1F2937"/>
          <w:sz w:val="17"/>
        </w:rPr>
        <w:t>Why D is correct: Cautious working or provisional language communicates the leading impression while making missing longitudinal evidence and the review plan explicit.</w:t>
      </w:r>
    </w:p>
    <w:p>
      <w:pPr>
        <w:keepNext w:val="0"/>
        <w:spacing w:before="0" w:after="20" w:line="247" w:lineRule="auto"/>
        <w:jc w:val="left"/>
      </w:pPr>
      <w:r>
        <w:rPr>
          <w:rFonts w:ascii="Liberation Sans" w:hAnsi="Liberation Sans"/>
          <w:b w:val="0"/>
          <w:i w:val="0"/>
          <w:color w:val="1F2937"/>
          <w:sz w:val="17"/>
        </w:rPr>
        <w:t>Why A is not best: Definitive language overstates the evidence.</w:t>
      </w:r>
    </w:p>
    <w:p>
      <w:pPr>
        <w:keepNext w:val="0"/>
        <w:spacing w:before="0" w:after="20" w:line="247" w:lineRule="auto"/>
        <w:jc w:val="left"/>
      </w:pPr>
      <w:r>
        <w:rPr>
          <w:rFonts w:ascii="Liberation Sans" w:hAnsi="Liberation Sans"/>
          <w:b w:val="0"/>
          <w:i w:val="0"/>
          <w:color w:val="1F2937"/>
          <w:sz w:val="17"/>
        </w:rPr>
        <w:t>Why B is not best: Listing multiple diagnoses as confirmed creates inaccurate certainty rather than preserving a differential.</w:t>
      </w:r>
    </w:p>
    <w:p>
      <w:pPr>
        <w:keepNext w:val="0"/>
        <w:spacing w:before="0" w:after="20" w:line="247" w:lineRule="auto"/>
        <w:jc w:val="left"/>
      </w:pPr>
      <w:r>
        <w:rPr>
          <w:rFonts w:ascii="Liberation Sans" w:hAnsi="Liberation Sans"/>
          <w:b w:val="0"/>
          <w:i w:val="0"/>
          <w:color w:val="1F2937"/>
          <w:sz w:val="17"/>
        </w:rPr>
        <w:t>Why C is not best: A clinician can document a responsible current impression without pretending all uncertainty is resolved.</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Match status language to evidence. State what is known, what is missing, and when the formulation will be reviewed.</w:t>
            </w:r>
          </w:p>
        </w:tc>
      </w:tr>
    </w:tbl>
    <w:p>
      <w:pPr>
        <w:spacing w:after="0"/>
      </w:pPr>
    </w:p>
    <w:p>
      <w:pPr>
        <w:keepNext/>
        <w:spacing w:before="80" w:after="20" w:line="247" w:lineRule="auto"/>
        <w:jc w:val="left"/>
      </w:pPr>
      <w:r>
        <w:rPr>
          <w:rFonts w:ascii="Liberation Sans" w:hAnsi="Liberation Sans"/>
          <w:b/>
          <w:i w:val="0"/>
          <w:color w:val="193A63"/>
          <w:sz w:val="18"/>
        </w:rPr>
        <w:t>5. Correct Answer: B</w:t>
      </w:r>
    </w:p>
    <w:p>
      <w:pPr>
        <w:keepNext w:val="0"/>
        <w:spacing w:before="0" w:after="20" w:line="247" w:lineRule="auto"/>
        <w:jc w:val="left"/>
      </w:pPr>
      <w:r>
        <w:rPr>
          <w:rFonts w:ascii="Liberation Sans" w:hAnsi="Liberation Sans"/>
          <w:b w:val="0"/>
          <w:i w:val="0"/>
          <w:color w:val="1F2937"/>
          <w:sz w:val="17"/>
        </w:rPr>
        <w:t>Why B is correct: The marked change after medication and stimulant exposure requires chronology, prior-episode assessment, substance and medical review, safety evaluation, and prompt coordination with a prescriber or psychiatric provider.</w:t>
      </w:r>
    </w:p>
    <w:p>
      <w:pPr>
        <w:keepNext w:val="0"/>
        <w:spacing w:before="0" w:after="20" w:line="247" w:lineRule="auto"/>
        <w:jc w:val="left"/>
      </w:pPr>
      <w:r>
        <w:rPr>
          <w:rFonts w:ascii="Liberation Sans" w:hAnsi="Liberation Sans"/>
          <w:b w:val="0"/>
          <w:i w:val="0"/>
          <w:color w:val="1F2937"/>
          <w:sz w:val="17"/>
        </w:rPr>
        <w:t>Why A is not best: Grandiosity is important but does not by itself distinguish primary bipolar illness from medication- or substance-related activation.</w:t>
      </w:r>
    </w:p>
    <w:p>
      <w:pPr>
        <w:keepNext w:val="0"/>
        <w:spacing w:before="0" w:after="20" w:line="247" w:lineRule="auto"/>
        <w:jc w:val="left"/>
      </w:pPr>
      <w:r>
        <w:rPr>
          <w:rFonts w:ascii="Liberation Sans" w:hAnsi="Liberation Sans"/>
          <w:b w:val="0"/>
          <w:i w:val="0"/>
          <w:color w:val="1F2937"/>
          <w:sz w:val="17"/>
        </w:rPr>
        <w:t>Why C is not best: Behavioral activation may worsen risk and does not address the diagnostic urgency.</w:t>
      </w:r>
    </w:p>
    <w:p>
      <w:pPr>
        <w:keepNext w:val="0"/>
        <w:spacing w:before="0" w:after="20" w:line="247" w:lineRule="auto"/>
        <w:jc w:val="left"/>
      </w:pPr>
      <w:r>
        <w:rPr>
          <w:rFonts w:ascii="Liberation Sans" w:hAnsi="Liberation Sans"/>
          <w:b w:val="0"/>
          <w:i w:val="0"/>
          <w:color w:val="1F2937"/>
          <w:sz w:val="17"/>
        </w:rPr>
        <w:t>Why D is not best: Partner supervision is not a substitute for professional assessment and prescriber coordination.</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When activation follows medication, substances, or severe sleep loss, assess timeline and route before choosing a definitive diagnosis or routine intervention.</w:t>
            </w:r>
          </w:p>
        </w:tc>
      </w:tr>
    </w:tbl>
    <w:p>
      <w:pPr>
        <w:spacing w:after="0"/>
      </w:pPr>
    </w:p>
    <w:p>
      <w:pPr>
        <w:keepNext/>
        <w:spacing w:before="80" w:after="20" w:line="247" w:lineRule="auto"/>
        <w:jc w:val="left"/>
      </w:pPr>
      <w:r>
        <w:rPr>
          <w:rFonts w:ascii="Liberation Sans" w:hAnsi="Liberation Sans"/>
          <w:b/>
          <w:i w:val="0"/>
          <w:color w:val="193A63"/>
          <w:sz w:val="18"/>
        </w:rPr>
        <w:t>6. Correct Answer: C</w:t>
      </w:r>
    </w:p>
    <w:p>
      <w:pPr>
        <w:keepNext w:val="0"/>
        <w:spacing w:before="0" w:after="20" w:line="247" w:lineRule="auto"/>
        <w:jc w:val="left"/>
      </w:pPr>
      <w:r>
        <w:rPr>
          <w:rFonts w:ascii="Liberation Sans" w:hAnsi="Liberation Sans"/>
          <w:b w:val="0"/>
          <w:i w:val="0"/>
          <w:color w:val="1F2937"/>
          <w:sz w:val="17"/>
        </w:rPr>
        <w:t>Why C is correct: The therapist must compare trauma-linked intrusion and dissociation with psychosis while assessing reality testing, organization, substances, medical factors, cultural meaning, and impairment.</w:t>
      </w:r>
    </w:p>
    <w:p>
      <w:pPr>
        <w:keepNext w:val="0"/>
        <w:spacing w:before="0" w:after="20" w:line="247" w:lineRule="auto"/>
        <w:jc w:val="left"/>
      </w:pPr>
      <w:r>
        <w:rPr>
          <w:rFonts w:ascii="Liberation Sans" w:hAnsi="Liberation Sans"/>
          <w:b w:val="0"/>
          <w:i w:val="0"/>
          <w:color w:val="1F2937"/>
          <w:sz w:val="17"/>
        </w:rPr>
        <w:t>Why A is not best: Hearing a voice-like experience does not automatically establish a primary psychotic disorder.</w:t>
      </w:r>
    </w:p>
    <w:p>
      <w:pPr>
        <w:keepNext w:val="0"/>
        <w:spacing w:before="0" w:after="20" w:line="247" w:lineRule="auto"/>
        <w:jc w:val="left"/>
      </w:pPr>
      <w:r>
        <w:rPr>
          <w:rFonts w:ascii="Liberation Sans" w:hAnsi="Liberation Sans"/>
          <w:b w:val="0"/>
          <w:i w:val="0"/>
          <w:color w:val="1F2937"/>
          <w:sz w:val="17"/>
        </w:rPr>
        <w:t>Why B is not best: Cultural meaning must be explored, not assumed.</w:t>
      </w:r>
    </w:p>
    <w:p>
      <w:pPr>
        <w:keepNext w:val="0"/>
        <w:spacing w:before="0" w:after="20" w:line="247" w:lineRule="auto"/>
        <w:jc w:val="left"/>
      </w:pPr>
      <w:r>
        <w:rPr>
          <w:rFonts w:ascii="Liberation Sans" w:hAnsi="Liberation Sans"/>
          <w:b w:val="0"/>
          <w:i w:val="0"/>
          <w:color w:val="1F2937"/>
          <w:sz w:val="17"/>
        </w:rPr>
        <w:t>Why D is not best: Avoidance prevents the assessment needed for safety and differential diagnosis.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Clarify form, context, insight, reality testing, and baseline before labeling an unusual experience.</w:t>
            </w:r>
          </w:p>
        </w:tc>
      </w:tr>
    </w:tbl>
    <w:p>
      <w:pPr>
        <w:spacing w:after="0"/>
      </w:pPr>
    </w:p>
    <w:p>
      <w:pPr>
        <w:keepNext/>
        <w:spacing w:before="80" w:after="20" w:line="247" w:lineRule="auto"/>
        <w:jc w:val="left"/>
      </w:pPr>
      <w:r>
        <w:rPr>
          <w:rFonts w:ascii="Liberation Sans" w:hAnsi="Liberation Sans"/>
          <w:b/>
          <w:i w:val="0"/>
          <w:color w:val="193A63"/>
          <w:sz w:val="18"/>
        </w:rPr>
        <w:t>7. Correct Answer: A</w:t>
      </w:r>
    </w:p>
    <w:p>
      <w:pPr>
        <w:keepNext w:val="0"/>
        <w:spacing w:before="0" w:after="20" w:line="247" w:lineRule="auto"/>
        <w:jc w:val="left"/>
      </w:pPr>
      <w:r>
        <w:rPr>
          <w:rFonts w:ascii="Liberation Sans" w:hAnsi="Liberation Sans"/>
          <w:b w:val="0"/>
          <w:i w:val="0"/>
          <w:color w:val="1F2937"/>
          <w:sz w:val="17"/>
        </w:rPr>
        <w:t>Why A is correct: The measure is matched to a defined question and client population, its limits are explained, and results are integrated with other evidence.</w:t>
      </w:r>
    </w:p>
    <w:p>
      <w:pPr>
        <w:keepNext w:val="0"/>
        <w:spacing w:before="0" w:after="20" w:line="247" w:lineRule="auto"/>
        <w:jc w:val="left"/>
      </w:pPr>
      <w:r>
        <w:rPr>
          <w:rFonts w:ascii="Liberation Sans" w:hAnsi="Liberation Sans"/>
          <w:b w:val="0"/>
          <w:i w:val="0"/>
          <w:color w:val="1F2937"/>
          <w:sz w:val="17"/>
        </w:rPr>
        <w:t>Why B is not best: Routine use without fit or purpose may create burden and misleading interpretation.</w:t>
      </w:r>
    </w:p>
    <w:p>
      <w:pPr>
        <w:keepNext w:val="0"/>
        <w:spacing w:before="0" w:after="20" w:line="247" w:lineRule="auto"/>
        <w:jc w:val="left"/>
      </w:pPr>
      <w:r>
        <w:rPr>
          <w:rFonts w:ascii="Liberation Sans" w:hAnsi="Liberation Sans"/>
          <w:b w:val="0"/>
          <w:i w:val="0"/>
          <w:color w:val="1F2937"/>
          <w:sz w:val="17"/>
        </w:rPr>
        <w:t>Why C is not best: Agreement and a cut score do not transform screening into diagnosis.</w:t>
      </w:r>
    </w:p>
    <w:p>
      <w:pPr>
        <w:keepNext w:val="0"/>
        <w:spacing w:before="0" w:after="20" w:line="247" w:lineRule="auto"/>
        <w:jc w:val="left"/>
      </w:pPr>
      <w:r>
        <w:rPr>
          <w:rFonts w:ascii="Liberation Sans" w:hAnsi="Liberation Sans"/>
          <w:b w:val="0"/>
          <w:i w:val="0"/>
          <w:color w:val="1F2937"/>
          <w:sz w:val="17"/>
        </w:rPr>
        <w:t>Why D is not best: An unverified translation may reduce accuracy and cannot be justified merely as better than nothing.</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Use MEASURE: match, evaluate, assess access, stay within competence, use multiple data, review collaboratively, and explain.</w:t>
            </w:r>
          </w:p>
        </w:tc>
      </w:tr>
    </w:tbl>
    <w:p>
      <w:pPr>
        <w:spacing w:after="0"/>
      </w:pPr>
    </w:p>
    <w:p>
      <w:pPr>
        <w:keepNext/>
        <w:spacing w:before="80" w:after="20" w:line="247" w:lineRule="auto"/>
        <w:jc w:val="left"/>
      </w:pPr>
      <w:r>
        <w:rPr>
          <w:rFonts w:ascii="Liberation Sans" w:hAnsi="Liberation Sans"/>
          <w:b/>
          <w:i w:val="0"/>
          <w:color w:val="193A63"/>
          <w:sz w:val="18"/>
        </w:rPr>
        <w:t>8. Correct Answer: D</w:t>
      </w:r>
    </w:p>
    <w:p>
      <w:pPr>
        <w:keepNext w:val="0"/>
        <w:spacing w:before="0" w:after="20" w:line="247" w:lineRule="auto"/>
        <w:jc w:val="left"/>
      </w:pPr>
      <w:r>
        <w:rPr>
          <w:rFonts w:ascii="Liberation Sans" w:hAnsi="Liberation Sans"/>
          <w:b w:val="0"/>
          <w:i w:val="0"/>
          <w:color w:val="1F2937"/>
          <w:sz w:val="17"/>
        </w:rPr>
        <w:t>Why D is correct: It integrates a possible diagnostic pattern with sleep, occupation, substance or medical clarification, and a reciprocal relational cycle while preserving uncertainty.</w:t>
      </w:r>
    </w:p>
    <w:p>
      <w:pPr>
        <w:keepNext w:val="0"/>
        <w:spacing w:before="0" w:after="20" w:line="247" w:lineRule="auto"/>
        <w:jc w:val="left"/>
      </w:pPr>
      <w:r>
        <w:rPr>
          <w:rFonts w:ascii="Liberation Sans" w:hAnsi="Liberation Sans"/>
          <w:b w:val="0"/>
          <w:i w:val="0"/>
          <w:color w:val="1F2937"/>
          <w:sz w:val="17"/>
        </w:rPr>
        <w:t>Why A is not best: It uses one-person causation and makes the spouse the cause.</w:t>
      </w:r>
    </w:p>
    <w:p>
      <w:pPr>
        <w:keepNext w:val="0"/>
        <w:spacing w:before="0" w:after="20" w:line="247" w:lineRule="auto"/>
        <w:jc w:val="left"/>
      </w:pPr>
      <w:r>
        <w:rPr>
          <w:rFonts w:ascii="Liberation Sans" w:hAnsi="Liberation Sans"/>
          <w:b w:val="0"/>
          <w:i w:val="0"/>
          <w:color w:val="1F2937"/>
          <w:sz w:val="17"/>
        </w:rPr>
        <w:t>Why B is not best: Systemic practice does not eliminate the legitimate role of diagnosis.</w:t>
      </w:r>
    </w:p>
    <w:p>
      <w:pPr>
        <w:keepNext w:val="0"/>
        <w:spacing w:before="0" w:after="20" w:line="247" w:lineRule="auto"/>
        <w:jc w:val="left"/>
      </w:pPr>
      <w:r>
        <w:rPr>
          <w:rFonts w:ascii="Liberation Sans" w:hAnsi="Liberation Sans"/>
          <w:b w:val="0"/>
          <w:i w:val="0"/>
          <w:color w:val="1F2937"/>
          <w:sz w:val="17"/>
        </w:rPr>
        <w:t>Why C is not best: Relational assessment is part of the formulation rather than a later optional step.</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A systemic formulation includes diagnosis without reducing the client system to the diagnosis.</w:t>
            </w:r>
          </w:p>
        </w:tc>
      </w:tr>
    </w:tbl>
    <w:p>
      <w:pPr>
        <w:spacing w:after="0"/>
      </w:pPr>
    </w:p>
    <w:p>
      <w:pPr>
        <w:keepNext/>
        <w:spacing w:before="80" w:after="20" w:line="247" w:lineRule="auto"/>
        <w:jc w:val="left"/>
      </w:pPr>
      <w:r>
        <w:rPr>
          <w:rFonts w:ascii="Liberation Sans" w:hAnsi="Liberation Sans"/>
          <w:b/>
          <w:i w:val="0"/>
          <w:color w:val="193A63"/>
          <w:sz w:val="18"/>
        </w:rPr>
        <w:t>9. Correct Answer: B</w:t>
      </w:r>
    </w:p>
    <w:p>
      <w:pPr>
        <w:keepNext w:val="0"/>
        <w:spacing w:before="0" w:after="20" w:line="247" w:lineRule="auto"/>
        <w:jc w:val="left"/>
      </w:pPr>
      <w:r>
        <w:rPr>
          <w:rFonts w:ascii="Liberation Sans" w:hAnsi="Liberation Sans"/>
          <w:b w:val="0"/>
          <w:i w:val="0"/>
          <w:color w:val="1F2937"/>
          <w:sz w:val="17"/>
        </w:rPr>
        <w:t>Why B is correct: The physiological red flags require prompt medical and specialty evaluation regardless of visible weight or the exact diagnostic category. Psychotherapy continuity and safety assessment should be maintained.</w:t>
      </w:r>
    </w:p>
    <w:p>
      <w:pPr>
        <w:keepNext w:val="0"/>
        <w:spacing w:before="0" w:after="20" w:line="247" w:lineRule="auto"/>
        <w:jc w:val="left"/>
      </w:pPr>
      <w:r>
        <w:rPr>
          <w:rFonts w:ascii="Liberation Sans" w:hAnsi="Liberation Sans"/>
          <w:b w:val="0"/>
          <w:i w:val="0"/>
          <w:color w:val="1F2937"/>
          <w:sz w:val="17"/>
        </w:rPr>
        <w:t>Why A is not best: Waiting for a perfect category may delay care for medical instability.</w:t>
      </w:r>
    </w:p>
    <w:p>
      <w:pPr>
        <w:keepNext w:val="0"/>
        <w:spacing w:before="0" w:after="20" w:line="247" w:lineRule="auto"/>
        <w:jc w:val="left"/>
      </w:pPr>
      <w:r>
        <w:rPr>
          <w:rFonts w:ascii="Liberation Sans" w:hAnsi="Liberation Sans"/>
          <w:b w:val="0"/>
          <w:i w:val="0"/>
          <w:color w:val="1F2937"/>
          <w:sz w:val="17"/>
        </w:rPr>
        <w:t>Why C is not best: Weight alone does not determine physiological risk.</w:t>
      </w:r>
    </w:p>
    <w:p>
      <w:pPr>
        <w:keepNext w:val="0"/>
        <w:spacing w:before="0" w:after="20" w:line="247" w:lineRule="auto"/>
        <w:jc w:val="left"/>
      </w:pPr>
      <w:r>
        <w:rPr>
          <w:rFonts w:ascii="Liberation Sans" w:hAnsi="Liberation Sans"/>
          <w:b w:val="0"/>
          <w:i w:val="0"/>
          <w:color w:val="1F2937"/>
          <w:sz w:val="17"/>
        </w:rPr>
        <w:t>Why D is not best: Performance anxiety may be relevant but does not control the initial sequence when medical compromise is possible.</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Medical stability before diagnostic precision. Route urgent concerns while preserving continuity and systemic assessment.</w:t>
            </w:r>
          </w:p>
        </w:tc>
      </w:tr>
    </w:tbl>
    <w:p>
      <w:pPr>
        <w:spacing w:after="0"/>
      </w:pPr>
    </w:p>
    <w:p>
      <w:pPr>
        <w:keepNext/>
        <w:spacing w:before="80" w:after="20" w:line="247" w:lineRule="auto"/>
        <w:jc w:val="left"/>
      </w:pPr>
      <w:r>
        <w:rPr>
          <w:rFonts w:ascii="Liberation Sans" w:hAnsi="Liberation Sans"/>
          <w:b/>
          <w:i w:val="0"/>
          <w:color w:val="193A63"/>
          <w:sz w:val="18"/>
        </w:rPr>
        <w:t>10. Correct Answer: C</w:t>
      </w:r>
    </w:p>
    <w:p>
      <w:pPr>
        <w:keepNext w:val="0"/>
        <w:spacing w:before="0" w:after="20" w:line="247" w:lineRule="auto"/>
        <w:jc w:val="left"/>
      </w:pPr>
      <w:r>
        <w:rPr>
          <w:rFonts w:ascii="Liberation Sans" w:hAnsi="Liberation Sans"/>
          <w:b w:val="0"/>
          <w:i w:val="0"/>
          <w:color w:val="1F2937"/>
          <w:sz w:val="17"/>
        </w:rPr>
        <w:t>Why C is correct: It preserves uncertainty accurately, uses consultation and specialty evaluation within competence, defines the referral question, coordinates appropriately, and avoids abandonment.</w:t>
      </w:r>
    </w:p>
    <w:p>
      <w:pPr>
        <w:keepNext w:val="0"/>
        <w:spacing w:before="0" w:after="20" w:line="247" w:lineRule="auto"/>
        <w:jc w:val="left"/>
      </w:pPr>
      <w:r>
        <w:rPr>
          <w:rFonts w:ascii="Liberation Sans" w:hAnsi="Liberation Sans"/>
          <w:b w:val="0"/>
          <w:i w:val="0"/>
          <w:color w:val="1F2937"/>
          <w:sz w:val="17"/>
        </w:rPr>
        <w:t>Why A is not best: Choosing one source creates a credibility contest and ignores the value and limits of conflicting data.</w:t>
      </w:r>
    </w:p>
    <w:p>
      <w:pPr>
        <w:keepNext w:val="0"/>
        <w:spacing w:before="0" w:after="20" w:line="247" w:lineRule="auto"/>
        <w:jc w:val="left"/>
      </w:pPr>
      <w:r>
        <w:rPr>
          <w:rFonts w:ascii="Liberation Sans" w:hAnsi="Liberation Sans"/>
          <w:b w:val="0"/>
          <w:i w:val="0"/>
          <w:color w:val="1F2937"/>
          <w:sz w:val="17"/>
        </w:rPr>
        <w:t>Why B is not best: Referral may be needed, but immediate termination can disrupt care and does not define the clinical question.</w:t>
      </w:r>
    </w:p>
    <w:p>
      <w:pPr>
        <w:keepNext w:val="0"/>
        <w:spacing w:before="0" w:after="20" w:line="247" w:lineRule="auto"/>
        <w:jc w:val="left"/>
      </w:pPr>
      <w:r>
        <w:rPr>
          <w:rFonts w:ascii="Liberation Sans" w:hAnsi="Liberation Sans"/>
          <w:b w:val="0"/>
          <w:i w:val="0"/>
          <w:color w:val="1F2937"/>
          <w:sz w:val="17"/>
        </w:rPr>
        <w:t>Why D is not best: Treatment and support do not always need to stop while diagnostic clarification continues.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CTA EXAM STRATEGY</w:t>
              <w:br/>
            </w:r>
            <w:r>
              <w:rPr>
                <w:rFonts w:ascii="Liberation Sans" w:hAnsi="Liberation Sans"/>
                <w:b w:val="0"/>
                <w:i w:val="0"/>
                <w:color w:val="1F2937"/>
                <w:sz w:val="16"/>
              </w:rPr>
              <w:t>Consult and refer with a question, authorization, documentation, and continuity. Do not outsource the case or wait for impossible certainty.</w:t>
            </w:r>
          </w:p>
        </w:tc>
      </w:tr>
    </w:tbl>
    <w:p>
      <w:pPr>
        <w:spacing w:after="0"/>
      </w:pPr>
    </w:p>
    <w:p>
      <w:r>
        <w:br w:type="page"/>
      </w:r>
    </w:p>
    <w:p>
      <w:pPr>
        <w:keepNext/>
        <w:spacing w:before="140" w:after="80" w:line="247" w:lineRule="auto"/>
        <w:jc w:val="left"/>
      </w:pPr>
      <w:r>
        <w:rPr>
          <w:rFonts w:ascii="Liberation Sans" w:hAnsi="Liberation Sans"/>
          <w:b/>
          <w:i w:val="0"/>
          <w:color w:val="193A63"/>
          <w:sz w:val="32"/>
        </w:rPr>
        <w:t>Remediation and Workbook 4 Readiness Plan</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cantSplit/>
          <w:tblHeader w:val="true"/>
        </w:trPr>
        <w:tc>
          <w:tcPr>
            <w:tcW w:type="dxa" w:w="115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Error Code</w:t>
            </w:r>
          </w:p>
        </w:tc>
        <w:tc>
          <w:tcPr>
            <w:tcW w:type="dxa" w:w="468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Meaning</w:t>
            </w:r>
          </w:p>
        </w:tc>
        <w:tc>
          <w:tcPr>
            <w:tcW w:type="dxa" w:w="453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5"/>
              </w:rPr>
              <w:t>Correction Rule</w:t>
            </w:r>
          </w:p>
        </w:tc>
      </w:tr>
      <w:tr>
        <w:trPr>
          <w:cantSplit/>
        </w:trPr>
        <w:tc>
          <w:tcPr>
            <w:tcW w:type="dxa" w:w="11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CLOSURE</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Reached a definitive diagnosis before timeline, threshold, exclusions, or competing explanations were adequately assessed.</w:t>
            </w:r>
          </w:p>
        </w:tc>
        <w:tc>
          <w:tcPr>
            <w:tcW w:type="dxa" w:w="453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Write two plausible alternatives and the next fact needed to distinguish them.</w:t>
            </w:r>
          </w:p>
        </w:tc>
      </w:tr>
      <w:tr>
        <w:trPr>
          <w:cantSplit/>
        </w:trPr>
        <w:tc>
          <w:tcPr>
            <w:tcW w:type="dxa" w:w="11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SINGLE</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Allowed one dramatic symptom, one informant, or one score to control the conclusion.</w:t>
            </w:r>
          </w:p>
        </w:tc>
        <w:tc>
          <w:tcPr>
            <w:tcW w:type="dxa" w:w="453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Rebuild the case using pattern, source, timeline, impairment, and cross-setting evidence.</w:t>
            </w:r>
          </w:p>
        </w:tc>
      </w:tr>
      <w:tr>
        <w:trPr>
          <w:cantSplit/>
        </w:trPr>
        <w:tc>
          <w:tcPr>
            <w:tcW w:type="dxa" w:w="11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TIME</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Ignored onset, baseline, duration, remission, or relation to medication, substances, sleep, trauma, or life events.</w:t>
            </w:r>
          </w:p>
        </w:tc>
        <w:tc>
          <w:tcPr>
            <w:tcW w:type="dxa" w:w="453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Create a chronology before comparing diagnostic options.</w:t>
            </w:r>
          </w:p>
        </w:tc>
      </w:tr>
      <w:tr>
        <w:trPr>
          <w:cantSplit/>
        </w:trPr>
        <w:tc>
          <w:tcPr>
            <w:tcW w:type="dxa" w:w="11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THRESH</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Confused symptoms with a full disorder or overlooked distress, duration, severity, or impairment.</w:t>
            </w:r>
          </w:p>
        </w:tc>
        <w:tc>
          <w:tcPr>
            <w:tcW w:type="dxa" w:w="453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State which threshold elements are supported, missing, or contradicted.</w:t>
            </w:r>
          </w:p>
        </w:tc>
      </w:tr>
      <w:tr>
        <w:trPr>
          <w:cantSplit/>
        </w:trPr>
        <w:tc>
          <w:tcPr>
            <w:tcW w:type="dxa" w:w="11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EXCL</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Failed to evaluate medical, neurological, medication, substance, sleep, nutrition, or acute-change explanations.</w:t>
            </w:r>
          </w:p>
        </w:tc>
        <w:tc>
          <w:tcPr>
            <w:tcW w:type="dxa" w:w="453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Name the exclusion and the evaluation or coordination step that addresses it.</w:t>
            </w:r>
          </w:p>
        </w:tc>
      </w:tr>
      <w:tr>
        <w:trPr>
          <w:cantSplit/>
        </w:trPr>
        <w:tc>
          <w:tcPr>
            <w:tcW w:type="dxa" w:w="11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DIFF</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Selected the first plausible diagnosis without comparing mechanism, course, context, or comorbidity.</w:t>
            </w:r>
          </w:p>
        </w:tc>
        <w:tc>
          <w:tcPr>
            <w:tcW w:type="dxa" w:w="453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Complete the DIFF grid for at least two competing explanations.</w:t>
            </w:r>
          </w:p>
        </w:tc>
      </w:tr>
      <w:tr>
        <w:trPr>
          <w:cantSplit/>
        </w:trPr>
        <w:tc>
          <w:tcPr>
            <w:tcW w:type="dxa" w:w="11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STATUS</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Overstated or understated certainty or misused provisional, rule-out, other specified, unspecified, or deferred language.</w:t>
            </w:r>
          </w:p>
        </w:tc>
        <w:tc>
          <w:tcPr>
            <w:tcW w:type="dxa" w:w="453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Match diagnostic language to the available evidence and current stage.</w:t>
            </w:r>
          </w:p>
        </w:tc>
      </w:tr>
      <w:tr>
        <w:trPr>
          <w:cantSplit/>
        </w:trPr>
        <w:tc>
          <w:tcPr>
            <w:tcW w:type="dxa" w:w="11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TOOL</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Used an instrument outside purpose or limits, treated a score as diagnosis, or ignored access, competence, or measurement error.</w:t>
            </w:r>
          </w:p>
        </w:tc>
        <w:tc>
          <w:tcPr>
            <w:tcW w:type="dxa" w:w="453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Use MEASURE and state what the result does and does not establish.</w:t>
            </w:r>
          </w:p>
        </w:tc>
      </w:tr>
      <w:tr>
        <w:trPr>
          <w:cantSplit/>
        </w:trPr>
        <w:tc>
          <w:tcPr>
            <w:tcW w:type="dxa" w:w="115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SYSTEM</w:t>
            </w:r>
          </w:p>
        </w:tc>
        <w:tc>
          <w:tcPr>
            <w:tcW w:type="dxa" w:w="468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Reduced the case to an individual label and omitted reciprocal patterns, context, strengths, treatment unit, or relational impact.</w:t>
            </w:r>
          </w:p>
        </w:tc>
        <w:tc>
          <w:tcPr>
            <w:tcW w:type="dxa" w:w="453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4"/>
              </w:rPr>
              <w:t>Add one relational cycle, one contextual influence, one strength, and one treatment-unit decision.</w:t>
            </w:r>
          </w:p>
        </w:tc>
      </w:tr>
      <w:tr>
        <w:trPr>
          <w:cantSplit/>
        </w:trPr>
        <w:tc>
          <w:tcPr>
            <w:tcW w:type="dxa" w:w="115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REFER</w:t>
            </w:r>
          </w:p>
        </w:tc>
        <w:tc>
          <w:tcPr>
            <w:tcW w:type="dxa" w:w="468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Delayed consultation, medical/prescriber coordination, specialty evaluation, or higher-level assessment.</w:t>
            </w:r>
          </w:p>
        </w:tc>
        <w:tc>
          <w:tcPr>
            <w:tcW w:type="dxa" w:w="453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4"/>
              </w:rPr>
              <w:t>State the referral question, urgency, authorization, continuity plan, and documentation.</w:t>
            </w:r>
          </w:p>
        </w:tc>
      </w:tr>
    </w:tbl>
    <w:p>
      <w:pPr>
        <w:spacing w:after="0"/>
      </w:pPr>
    </w:p>
    <w:p>
      <w:pPr>
        <w:keepNext/>
        <w:spacing w:before="140" w:after="80" w:line="247" w:lineRule="auto"/>
        <w:jc w:val="left"/>
      </w:pPr>
      <w:r>
        <w:rPr>
          <w:rFonts w:ascii="Liberation Sans" w:hAnsi="Liberation Sans"/>
          <w:b/>
          <w:i w:val="0"/>
          <w:color w:val="193A63"/>
          <w:sz w:val="26"/>
        </w:rPr>
        <w:t>My Workbook 4 Action Plan</w:t>
      </w: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cantSplit/>
          <w:tblHeader w:val="true"/>
        </w:trPr>
        <w:tc>
          <w:tcPr>
            <w:tcW w:type="dxa" w:w="237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Priority Skill</w:t>
            </w:r>
          </w:p>
        </w:tc>
        <w:tc>
          <w:tcPr>
            <w:tcW w:type="dxa" w:w="2808"/>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Evidence from My Work</w:t>
            </w:r>
          </w:p>
        </w:tc>
        <w:tc>
          <w:tcPr>
            <w:tcW w:type="dxa" w:w="3024"/>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Next Practice Action</w:t>
            </w:r>
          </w:p>
        </w:tc>
        <w:tc>
          <w:tcPr>
            <w:tcW w:type="dxa" w:w="2160"/>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Date / Result</w:t>
            </w:r>
          </w:p>
        </w:tc>
      </w:tr>
      <w:tr>
        <w:trPr>
          <w:cantSplit/>
        </w:trPr>
        <w:tc>
          <w:tcPr>
            <w:tcW w:type="dxa" w:w="23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c>
          <w:tcPr>
            <w:tcW w:type="dxa" w:w="28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c>
          <w:tcPr>
            <w:tcW w:type="dxa" w:w="21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r>
      <w:tr>
        <w:trPr>
          <w:cantSplit/>
        </w:trPr>
        <w:tc>
          <w:tcPr>
            <w:tcW w:type="dxa" w:w="23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w:t>
            </w:r>
          </w:p>
        </w:tc>
        <w:tc>
          <w:tcPr>
            <w:tcW w:type="dxa" w:w="2808"/>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w:t>
            </w:r>
          </w:p>
        </w:tc>
        <w:tc>
          <w:tcPr>
            <w:tcW w:type="dxa" w:w="3024"/>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w:t>
            </w:r>
          </w:p>
        </w:tc>
        <w:tc>
          <w:tcPr>
            <w:tcW w:type="dxa" w:w="2160"/>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6"/>
              </w:rPr>
              <w:t>________________</w:t>
            </w:r>
          </w:p>
        </w:tc>
      </w:tr>
      <w:tr>
        <w:trPr>
          <w:cantSplit/>
        </w:trPr>
        <w:tc>
          <w:tcPr>
            <w:tcW w:type="dxa" w:w="23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c>
          <w:tcPr>
            <w:tcW w:type="dxa" w:w="2808"/>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c>
          <w:tcPr>
            <w:tcW w:type="dxa" w:w="3024"/>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c>
          <w:tcPr>
            <w:tcW w:type="dxa" w:w="2160"/>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6"/>
              </w:rPr>
              <w:t>________________</w:t>
            </w:r>
          </w:p>
        </w:tc>
      </w:tr>
    </w:tbl>
    <w:p>
      <w:pPr>
        <w:spacing w:after="0"/>
      </w:pP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AF6F6"/>
            <w:tcMar>
              <w:top w:w="110" w:type="dxa"/>
              <w:start w:w="130" w:type="dxa"/>
              <w:bottom w:w="110" w:type="dxa"/>
              <w:end w:w="130" w:type="dxa"/>
            </w:tcMar>
          </w:tcPr>
          <w:p>
            <w:pPr>
              <w:spacing w:before="0" w:after="0" w:line="245" w:lineRule="auto"/>
            </w:pPr>
            <w:r>
              <w:rPr>
                <w:rFonts w:ascii="Liberation Sans" w:hAnsi="Liberation Sans"/>
                <w:b/>
                <w:i w:val="0"/>
                <w:color w:val="193A63"/>
                <w:sz w:val="20"/>
              </w:rPr>
              <w:t>WORKBOOK 4 READINESS GATE</w:t>
              <w:br/>
            </w:r>
            <w:r>
              <w:rPr>
                <w:rFonts w:ascii="Liberation Sans" w:hAnsi="Liberation Sans"/>
                <w:b w:val="0"/>
                <w:i w:val="0"/>
                <w:color w:val="1F2937"/>
                <w:sz w:val="17"/>
              </w:rPr>
              <w:t>Proceed to the separate Workbook 4 practice bank when you can distinguish diagnosis from formulation, use PTI and DIFF before closure, interpret instruments within MEASURE controls, recognize urgent medical or specialty routing, state diagnostic certainty accurately, and write a concise FORMULATE statement with consultation, referral, continuity, and revision.</w:t>
            </w:r>
          </w:p>
        </w:tc>
      </w:tr>
    </w:tbl>
    <w:p>
      <w:pPr>
        <w:spacing w:after="0"/>
      </w:pPr>
    </w:p>
    <w:p>
      <w:r>
        <w:br w:type="page"/>
      </w:r>
    </w:p>
    <w:p>
      <w:pPr>
        <w:keepNext/>
        <w:spacing w:before="140" w:after="80" w:line="247" w:lineRule="auto"/>
        <w:jc w:val="left"/>
      </w:pPr>
      <w:r>
        <w:rPr>
          <w:rFonts w:ascii="Liberation Sans" w:hAnsi="Liberation Sans"/>
          <w:b/>
          <w:i w:val="0"/>
          <w:color w:val="193A63"/>
          <w:sz w:val="30"/>
        </w:rPr>
        <w:t>Official and Foundational Sources</w:t>
      </w:r>
    </w:p>
    <w:tbl>
      <w:tblPr>
        <w:tblStyle w:val="TableGrid"/>
        <w:tblW w:type="auto" w:w="0"/>
        <w:jc w:val="center"/>
        <w:tblLook w:firstColumn="1" w:firstRow="1" w:lastColumn="0" w:lastRow="0" w:noHBand="0" w:noVBand="1" w:val="04A0"/>
      </w:tblPr>
      <w:tblGrid>
        <w:gridCol w:w="10570"/>
      </w:tblGrid>
      <w:tr>
        <w:trPr>
          <w:cantSplit/>
          <w:tblHeader w:val="true"/>
        </w:trPr>
        <w:tc>
          <w:tcPr>
            <w:tcW w:type="dxa" w:w="10570"/>
            <w:shd w:fill="EDF3FA"/>
            <w:tcMar>
              <w:top w:w="110" w:type="dxa"/>
              <w:start w:w="130" w:type="dxa"/>
              <w:bottom w:w="110" w:type="dxa"/>
              <w:end w:w="130" w:type="dxa"/>
            </w:tcMar>
          </w:tcPr>
          <w:p>
            <w:pPr>
              <w:spacing w:before="0" w:after="0" w:line="245" w:lineRule="auto"/>
            </w:pPr>
            <w:r>
              <w:rPr>
                <w:rFonts w:ascii="Liberation Sans" w:hAnsi="Liberation Sans"/>
                <w:b/>
                <w:i w:val="0"/>
                <w:color w:val="193A63"/>
                <w:sz w:val="20"/>
              </w:rPr>
              <w:t>SOURCE REVIEW CONTROL</w:t>
              <w:br/>
            </w:r>
            <w:r>
              <w:rPr>
                <w:rFonts w:ascii="Liberation Sans" w:hAnsi="Liberation Sans"/>
                <w:b w:val="0"/>
                <w:i w:val="0"/>
                <w:color w:val="1F2937"/>
                <w:sz w:val="17"/>
              </w:rPr>
              <w:t>Before publication or re-release, verify that the controlling AMFTRB blueprint, diagnostic systems, instrument guidance, medical and substance-use content, technology and AI statements, and professional standards remain current. Record the review date and affected sections in the program update log.</w:t>
            </w:r>
          </w:p>
        </w:tc>
      </w:tr>
    </w:tbl>
    <w:p>
      <w:pPr>
        <w:spacing w:after="0"/>
      </w:pPr>
    </w:p>
    <w:p>
      <w:pPr>
        <w:pStyle w:val="ListBullet"/>
        <w:spacing w:before="0" w:after="40" w:line="245" w:lineRule="auto"/>
      </w:pPr>
      <w:r>
        <w:rPr>
          <w:rFonts w:ascii="Liberation Sans" w:hAnsi="Liberation Sans"/>
          <w:b w:val="0"/>
          <w:i w:val="0"/>
          <w:color w:val="1F2937"/>
          <w:sz w:val="16"/>
        </w:rPr>
        <w:t>Association of Marital &amp; Family Therapy Regulatory Boards and Professional Testing Corporation. 2026 Handbook for Candidates, corrected/revised April 30, 2026; Detailed Overview of the Examination in Marital and Family Therapy; and current official examination resources.</w:t>
      </w:r>
    </w:p>
    <w:p>
      <w:pPr>
        <w:pStyle w:val="ListBullet"/>
        <w:spacing w:before="0" w:after="40" w:line="245" w:lineRule="auto"/>
      </w:pPr>
      <w:r>
        <w:rPr>
          <w:rFonts w:ascii="Liberation Sans" w:hAnsi="Liberation Sans"/>
          <w:b w:val="0"/>
          <w:i w:val="0"/>
          <w:color w:val="1F2937"/>
          <w:sz w:val="16"/>
        </w:rPr>
        <w:t>Clinical Training &amp; Supervision Academy. CTA LMFT AMFTRB National Exam Preparation Program: Authoritative Blueprint, California Crosswalk, and Proposed 12-Workbook Architecture, Version 1.0, July 2026.</w:t>
      </w:r>
    </w:p>
    <w:p>
      <w:pPr>
        <w:pStyle w:val="ListBullet"/>
        <w:spacing w:before="0" w:after="40" w:line="245" w:lineRule="auto"/>
      </w:pPr>
      <w:r>
        <w:rPr>
          <w:rFonts w:ascii="Liberation Sans" w:hAnsi="Liberation Sans"/>
          <w:b w:val="0"/>
          <w:i w:val="0"/>
          <w:color w:val="1F2937"/>
          <w:sz w:val="16"/>
        </w:rPr>
        <w:t>Clinical Training &amp; Supervision Academy. CTA LMFT AMFTRB Workbook 4 Master Content Map and 17-Question Item Blueprint, Version 1.0, July 2026.</w:t>
      </w:r>
    </w:p>
    <w:p>
      <w:pPr>
        <w:pStyle w:val="ListBullet"/>
        <w:spacing w:before="0" w:after="40" w:line="245" w:lineRule="auto"/>
      </w:pPr>
      <w:r>
        <w:rPr>
          <w:rFonts w:ascii="Liberation Sans" w:hAnsi="Liberation Sans"/>
          <w:b w:val="0"/>
          <w:i w:val="0"/>
          <w:color w:val="1F2937"/>
          <w:sz w:val="16"/>
        </w:rPr>
        <w:t>American Psychiatric Association. Diagnostic and Statistical Manual of Mental Disorders, Fifth Edition, Text Revision (DSM-5-TR), and current official DSM educational resources.</w:t>
      </w:r>
    </w:p>
    <w:p>
      <w:pPr>
        <w:pStyle w:val="ListBullet"/>
        <w:spacing w:before="0" w:after="40" w:line="245" w:lineRule="auto"/>
      </w:pPr>
      <w:r>
        <w:rPr>
          <w:rFonts w:ascii="Liberation Sans" w:hAnsi="Liberation Sans"/>
          <w:b w:val="0"/>
          <w:i w:val="0"/>
          <w:color w:val="1F2937"/>
          <w:sz w:val="16"/>
        </w:rPr>
        <w:t>World Health Organization. Clinical Descriptions and Diagnostic Requirements for ICD-11 Mental, Behavioural and Neurodevelopmental Disorders, 2024, and current ICD-11 resources.</w:t>
      </w:r>
    </w:p>
    <w:p>
      <w:pPr>
        <w:pStyle w:val="ListBullet"/>
        <w:spacing w:before="0" w:after="40" w:line="245" w:lineRule="auto"/>
      </w:pPr>
      <w:r>
        <w:rPr>
          <w:rFonts w:ascii="Liberation Sans" w:hAnsi="Liberation Sans"/>
          <w:b w:val="0"/>
          <w:i w:val="0"/>
          <w:color w:val="1F2937"/>
          <w:sz w:val="16"/>
        </w:rPr>
        <w:t>American Educational Research Association, American Psychological Association, and National Council on Measurement in Education. Standards for Educational and Psychological Testing.</w:t>
      </w:r>
    </w:p>
    <w:p>
      <w:pPr>
        <w:pStyle w:val="ListBullet"/>
        <w:spacing w:before="0" w:after="40" w:line="245" w:lineRule="auto"/>
      </w:pPr>
      <w:r>
        <w:rPr>
          <w:rFonts w:ascii="Liberation Sans" w:hAnsi="Liberation Sans"/>
          <w:b w:val="0"/>
          <w:i w:val="0"/>
          <w:color w:val="1F2937"/>
          <w:sz w:val="16"/>
        </w:rPr>
        <w:t>National Institute of Mental Health and other U.S. government clinical resources used for current mental-health, child-assessment, technology, and urgent-evaluation background.</w:t>
      </w:r>
    </w:p>
    <w:p>
      <w:pPr>
        <w:pStyle w:val="ListBullet"/>
        <w:spacing w:before="0" w:after="40" w:line="245" w:lineRule="auto"/>
      </w:pPr>
      <w:r>
        <w:rPr>
          <w:rFonts w:ascii="Liberation Sans" w:hAnsi="Liberation Sans"/>
          <w:b w:val="0"/>
          <w:i w:val="0"/>
          <w:color w:val="1F2937"/>
          <w:sz w:val="16"/>
        </w:rPr>
        <w:t>Clinical Training &amp; Supervision Academy. CTA Operations Library, Version 1.1, and approved branding and instructional standards, July 2026.</w:t>
      </w:r>
    </w:p>
    <w:p>
      <w:pPr>
        <w:keepNext/>
        <w:spacing w:before="140" w:after="80" w:line="247" w:lineRule="auto"/>
        <w:jc w:val="left"/>
      </w:pPr>
      <w:r>
        <w:rPr>
          <w:rFonts w:ascii="Liberation Sans" w:hAnsi="Liberation Sans"/>
          <w:b/>
          <w:i w:val="0"/>
          <w:color w:val="193A63"/>
          <w:sz w:val="25"/>
        </w:rPr>
        <w:t>Pre-Publication Currency Review</w:t>
      </w:r>
    </w:p>
    <w:tbl>
      <w:tblPr>
        <w:tblStyle w:val="TableGrid"/>
        <w:tblW w:type="auto" w:w="0"/>
        <w:jc w:val="center"/>
        <w:tblLayout w:type="fixed"/>
        <w:tblLook w:firstColumn="1" w:firstRow="1" w:lastColumn="0" w:lastRow="0" w:noHBand="0" w:noVBand="1" w:val="04A0"/>
      </w:tblPr>
      <w:tblGrid>
        <w:gridCol w:w="5285"/>
        <w:gridCol w:w="5285"/>
      </w:tblGrid>
      <w:tr>
        <w:trPr>
          <w:tblHeader w:val="true"/>
          <w:cantSplit/>
          <w:tblHeader w:val="true"/>
        </w:trPr>
        <w:tc>
          <w:tcPr>
            <w:tcW w:type="dxa" w:w="2376"/>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Area</w:t>
            </w:r>
          </w:p>
        </w:tc>
        <w:tc>
          <w:tcPr>
            <w:tcW w:type="dxa" w:w="7992"/>
            <w:shd w:fill="193A63"/>
            <w:tcMar>
              <w:top w:w="85" w:type="dxa"/>
              <w:start w:w="95" w:type="dxa"/>
              <w:bottom w:w="85" w:type="dxa"/>
              <w:end w:w="95" w:type="dxa"/>
            </w:tcMar>
            <w:vAlign w:val="center"/>
          </w:tcPr>
          <w:p>
            <w:pPr>
              <w:spacing w:before="0" w:after="0" w:line="240" w:lineRule="auto"/>
              <w:jc w:val="center"/>
            </w:pPr>
            <w:r>
              <w:rPr>
                <w:rFonts w:ascii="Liberation Sans" w:hAnsi="Liberation Sans"/>
                <w:b/>
                <w:i w:val="0"/>
                <w:color w:val="FFFFFF"/>
                <w:sz w:val="16"/>
              </w:rPr>
              <w:t>Required Review Action</w:t>
            </w:r>
          </w:p>
        </w:tc>
      </w:tr>
      <w:tr>
        <w:trPr>
          <w:cantSplit/>
        </w:trPr>
        <w:tc>
          <w:tcPr>
            <w:tcW w:type="dxa" w:w="23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AMFTRB blueprint</w:t>
            </w:r>
          </w:p>
        </w:tc>
        <w:tc>
          <w:tcPr>
            <w:tcW w:type="dxa" w:w="79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Confirm the corrected current handbook, domains, tasks, knowledge statements, examination mechanics, and candidate-security language.</w:t>
            </w:r>
          </w:p>
        </w:tc>
      </w:tr>
      <w:tr>
        <w:trPr>
          <w:cantSplit/>
        </w:trPr>
        <w:tc>
          <w:tcPr>
            <w:tcW w:type="dxa" w:w="23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DSM and ICD</w:t>
            </w:r>
          </w:p>
        </w:tc>
        <w:tc>
          <w:tcPr>
            <w:tcW w:type="dxa" w:w="79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Verify current nomenclature, status language, coding context, and any diagnostic updates relevant to the workbook.</w:t>
            </w:r>
          </w:p>
        </w:tc>
      </w:tr>
      <w:tr>
        <w:trPr>
          <w:cantSplit/>
        </w:trPr>
        <w:tc>
          <w:tcPr>
            <w:tcW w:type="dxa" w:w="23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Instruments</w:t>
            </w:r>
          </w:p>
        </w:tc>
        <w:tc>
          <w:tcPr>
            <w:tcW w:type="dxa" w:w="79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Confirm purpose, permissions, scoring authority, psychometric claims, translations, accessibility, and population fit; reproduce no proprietary items.</w:t>
            </w:r>
          </w:p>
        </w:tc>
      </w:tr>
      <w:tr>
        <w:trPr>
          <w:cantSplit/>
        </w:trPr>
        <w:tc>
          <w:tcPr>
            <w:tcW w:type="dxa" w:w="23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Medical and specialty routing</w:t>
            </w:r>
          </w:p>
        </w:tc>
        <w:tc>
          <w:tcPr>
            <w:tcW w:type="dxa" w:w="79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Recheck medication, substance, eating, sleep, neurological, postpartum, and acute-change content with authoritative current sources.</w:t>
            </w:r>
          </w:p>
        </w:tc>
      </w:tr>
      <w:tr>
        <w:trPr>
          <w:cantSplit/>
        </w:trPr>
        <w:tc>
          <w:tcPr>
            <w:tcW w:type="dxa" w:w="23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Technology and AI</w:t>
            </w:r>
          </w:p>
        </w:tc>
        <w:tc>
          <w:tcPr>
            <w:tcW w:type="dxa" w:w="79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Review human-oversight, privacy, bias, accuracy, documentation, and vendor-control statements.</w:t>
            </w:r>
          </w:p>
        </w:tc>
      </w:tr>
      <w:tr>
        <w:trPr>
          <w:cantSplit/>
        </w:trPr>
        <w:tc>
          <w:tcPr>
            <w:tcW w:type="dxa" w:w="2376"/>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Bias and accessibility</w:t>
            </w:r>
          </w:p>
        </w:tc>
        <w:tc>
          <w:tcPr>
            <w:tcW w:type="dxa" w:w="7992"/>
            <w:vAlign w:val="center"/>
            <w:tcMar>
              <w:top w:w="85" w:type="dxa"/>
              <w:start w:w="95" w:type="dxa"/>
              <w:bottom w:w="85" w:type="dxa"/>
              <w:end w:w="95" w:type="dxa"/>
            </w:tcMar>
            <w:shd w:fill="F3F4F6"/>
          </w:tcPr>
          <w:p>
            <w:pPr>
              <w:spacing w:before="0" w:after="0" w:line="240" w:lineRule="auto"/>
              <w:jc w:val="left"/>
            </w:pPr>
            <w:r>
              <w:rPr>
                <w:rFonts w:ascii="Liberation Sans" w:hAnsi="Liberation Sans"/>
                <w:b w:val="0"/>
                <w:i w:val="0"/>
                <w:color w:val="1F2937"/>
                <w:sz w:val="15"/>
              </w:rPr>
              <w:t>Review cases, language, answer options, tables, fields, and examples for stereotyping, readability, disability access, and fair representation.</w:t>
            </w:r>
          </w:p>
        </w:tc>
      </w:tr>
      <w:tr>
        <w:trPr>
          <w:cantSplit/>
        </w:trPr>
        <w:tc>
          <w:tcPr>
            <w:tcW w:type="dxa" w:w="2376"/>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Release control</w:t>
            </w:r>
          </w:p>
        </w:tc>
        <w:tc>
          <w:tcPr>
            <w:tcW w:type="dxa" w:w="7992"/>
            <w:vAlign w:val="center"/>
            <w:tcMar>
              <w:top w:w="85" w:type="dxa"/>
              <w:start w:w="95" w:type="dxa"/>
              <w:bottom w:w="85" w:type="dxa"/>
              <w:end w:w="95" w:type="dxa"/>
            </w:tcMar>
          </w:tcPr>
          <w:p>
            <w:pPr>
              <w:spacing w:before="0" w:after="0" w:line="240" w:lineRule="auto"/>
              <w:jc w:val="left"/>
            </w:pPr>
            <w:r>
              <w:rPr>
                <w:rFonts w:ascii="Liberation Sans" w:hAnsi="Liberation Sans"/>
                <w:b w:val="0"/>
                <w:i w:val="0"/>
                <w:color w:val="1F2937"/>
                <w:sz w:val="15"/>
              </w:rPr>
              <w:t>Synchronize the workbook, 17-question bank, controlled rationales, quick reference, Checkpoint 1 inputs, file inventory, LMS, and archive.</w:t>
            </w:r>
          </w:p>
        </w:tc>
      </w:tr>
    </w:tbl>
    <w:p>
      <w:pPr>
        <w:spacing w:after="0"/>
      </w:pPr>
    </w:p>
    <w:p>
      <w:pPr>
        <w:keepNext w:val="0"/>
        <w:spacing w:before="0" w:after="0" w:line="247" w:lineRule="auto"/>
        <w:jc w:val="left"/>
      </w:pPr>
      <w:r>
        <w:rPr>
          <w:rFonts w:ascii="Liberation Sans" w:hAnsi="Liberation Sans"/>
          <w:b w:val="0"/>
          <w:i/>
          <w:color w:val="64748B"/>
          <w:sz w:val="16"/>
        </w:rPr>
        <w:t>Content-control note: Diagnostic systems, coding, instruments, psychometrics, medication, medical, substance-use, eating, sleep, psychosis, trauma, technology, AI, crisis, legal, and professional-practice content must be rechecked against current official sources before publication or re-release. This workbook teaches reasoning and does not reproduce proprietary diagnostic criteria or assessment items.</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691" w:right="835" w:bottom="691"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Liberation Sans" w:hAnsi="Liberation Sans"/>
        <w:b w:val="0"/>
        <w:i w:val="0"/>
        <w:color w:val="64748B"/>
        <w:sz w:val="16"/>
      </w:rPr>
      <w:t xml:space="preserve">Clinical Training &amp; Supervision Academy | LMFT AMFTRB Student Workbook 4 v1.0 | Page </w:t>
    </w:r>
    <w:r>
      <w:rPr>
        <w:rFonts w:ascii="Liberation Sans" w:hAnsi="Liberation Sans"/>
        <w:b w:val="0"/>
        <w:i w:val="0"/>
        <w:color w:val="64748B"/>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Liberation Sans" w:hAnsi="Liberation Sans"/>
        <w:b/>
        <w:i w:val="0"/>
        <w:color w:val="009C95"/>
        <w:sz w:val="16"/>
      </w:rPr>
      <w:t>CLINICAL TRAINING &amp; SUPERVISION ACADEMY  |  LMFT AMFTRB EXAM PREPARATION</w:t>
    </w:r>
  </w:p>
  <w:p>
    <w:pPr>
      <w:spacing w:before="0" w:after="0" w:line="240" w:lineRule="auto"/>
      <w:jc w:val="right"/>
    </w:pPr>
    <w:r>
      <w:rPr>
        <w:rFonts w:ascii="Liberation Sans" w:hAnsi="Liberation Sans"/>
        <w:b w:val="0"/>
        <w:i w:val="0"/>
        <w:color w:val="193A63"/>
        <w:sz w:val="16"/>
      </w:rPr>
      <w:t>CTA LMFT AMFTRB Workbook 4 - Diagnosis, Differential Diagnosis &amp; Formulation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4 - Diagnosis, Differential Diagnosis, Instruments, and Systemic Case Formulation</dc:title>
  <dc:subject>Student workbook for the CTA LMFT AMFTRB National Exam Preparation Program</dc:subject>
  <dc:creator>Clinical Training &amp; Supervision Academy</dc:creator>
  <cp:keywords>LMFT, AMFTRB, diagnosis, differential diagnosis, assessment instruments, systemic formulation, exam preparation</cp:keywords>
  <dc:description>Exam Preparation Program | No CE Credit | Version 1.0 | July 2026</dc:description>
  <cp:lastModifiedBy/>
  <cp:revision>1</cp:revision>
  <dcterms:created xsi:type="dcterms:W3CDTF">2013-12-23T23:15:00Z</dcterms:created>
  <dcterms:modified xsi:type="dcterms:W3CDTF">2013-12-23T23:15:00Z</dcterms:modified>
  <cp:category/>
</cp:coreProperties>
</file>