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00"/>
        <w:jc w:val="center"/>
      </w:pPr>
      <w:r>
        <w:drawing>
          <wp:inline xmlns:a="http://schemas.openxmlformats.org/drawingml/2006/main" xmlns:pic="http://schemas.openxmlformats.org/drawingml/2006/picture">
            <wp:extent cx="3977639" cy="2735942"/>
            <wp:docPr id="1" name="Picture 1"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7"/>
                    <a:stretch>
                      <a:fillRect/>
                    </a:stretch>
                  </pic:blipFill>
                  <pic:spPr>
                    <a:xfrm>
                      <a:off x="0" y="0"/>
                      <a:ext cx="3977639" cy="2735942"/>
                    </a:xfrm>
                    <a:prstGeom prst="rect"/>
                  </pic:spPr>
                </pic:pic>
              </a:graphicData>
            </a:graphic>
          </wp:inline>
        </w:drawing>
      </w:r>
    </w:p>
    <w:p>
      <w:pPr>
        <w:spacing w:after="0"/>
        <w:jc w:val="center"/>
      </w:pPr>
      <w:r>
        <w:rPr>
          <w:rFonts w:ascii="Liberation Sans" w:hAnsi="Liberation Sans"/>
          <w:b/>
          <w:color w:val="12385B"/>
          <w:sz w:val="24"/>
        </w:rPr>
        <w:t>CTA LMFT AMFTRB</w:t>
      </w:r>
    </w:p>
    <w:p>
      <w:pPr>
        <w:spacing w:after="240"/>
        <w:jc w:val="center"/>
      </w:pPr>
      <w:r>
        <w:rPr>
          <w:rFonts w:ascii="Liberation Sans" w:hAnsi="Liberation Sans"/>
          <w:b/>
          <w:color w:val="13A6A6"/>
          <w:sz w:val="19"/>
        </w:rPr>
        <w:t>NATIONAL EXAM PREPARATION PROGRAM</w:t>
      </w:r>
    </w:p>
    <w:p>
      <w:pPr>
        <w:spacing w:after="60"/>
        <w:jc w:val="center"/>
      </w:pPr>
      <w:r>
        <w:rPr>
          <w:rFonts w:ascii="Liberation Sans" w:hAnsi="Liberation Sans"/>
          <w:b/>
          <w:color w:val="5A6872"/>
          <w:sz w:val="22"/>
        </w:rPr>
        <w:t>Student Workbook</w:t>
      </w:r>
    </w:p>
    <w:p>
      <w:pPr>
        <w:spacing w:after="80"/>
        <w:jc w:val="center"/>
      </w:pPr>
      <w:r>
        <w:rPr>
          <w:rFonts w:ascii="Liberation Sans" w:hAnsi="Liberation Sans"/>
          <w:b/>
          <w:color w:val="12385B"/>
          <w:sz w:val="28"/>
        </w:rPr>
        <w:t>CTA LMFT AMFTRB Workbook 8</w:t>
      </w:r>
    </w:p>
    <w:p>
      <w:pPr>
        <w:pStyle w:val="Title"/>
        <w:jc w:val="center"/>
      </w:pPr>
      <w:r>
        <w:rPr>
          <w:rFonts w:ascii="Liberation Sans" w:hAnsi="Liberation Sans"/>
          <w:b/>
          <w:color w:val="12385B"/>
          <w:sz w:val="42"/>
        </w:rPr>
        <w:t>Narrative, Solution-Focused, Experiential, Behavioral, Cognitive, and Mindfulness Interventions</w:t>
      </w:r>
    </w:p>
    <w:p>
      <w:pPr>
        <w:pStyle w:val="Subtitle"/>
        <w:jc w:val="center"/>
      </w:pPr>
      <w:r>
        <w:rPr>
          <w:rFonts w:ascii="Liberation Sans" w:hAnsi="Liberation Sans"/>
          <w:color w:val="13A6A6"/>
          <w:sz w:val="21"/>
        </w:rPr>
        <w:t>How to select a coherent model, preserve client authorship, sequence interventions safely, evaluate response, and revise without technique accumulation.</w:t>
      </w:r>
    </w:p>
    <w:p>
      <w:pPr>
        <w:spacing w:after="40"/>
        <w:jc w:val="center"/>
      </w:pPr>
      <w:r>
        <w:rPr>
          <w:rFonts w:ascii="Liberation Sans" w:hAnsi="Liberation Sans"/>
          <w:i w:val="0"/>
          <w:color w:val="1E2D38"/>
          <w:sz w:val="18"/>
        </w:rPr>
        <w:t>Version 1.0 - August 2026</w:t>
      </w:r>
    </w:p>
    <w:p>
      <w:pPr>
        <w:spacing w:after="40"/>
        <w:jc w:val="center"/>
      </w:pPr>
      <w:r>
        <w:rPr>
          <w:rFonts w:ascii="Liberation Sans" w:hAnsi="Liberation Sans"/>
          <w:i w:val="0"/>
          <w:color w:val="1E2D38"/>
          <w:sz w:val="18"/>
        </w:rPr>
        <w:t>Clinical Training &amp; Supervision Academy</w:t>
      </w:r>
    </w:p>
    <w:p>
      <w:pPr>
        <w:spacing w:after="120"/>
        <w:jc w:val="center"/>
      </w:pPr>
      <w:r>
        <w:rPr>
          <w:rFonts w:ascii="Liberation Sans" w:hAnsi="Liberation Sans"/>
          <w:i w:val="0"/>
          <w:color w:val="1E2D38"/>
          <w:sz w:val="18"/>
        </w:rPr>
        <w:t>Editable Word workbook | Self-paced study | Exam preparation | No CE Credit</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INDEPENDENT RESOURCE  </w:t>
            </w:r>
            <w:r>
              <w:rPr>
                <w:rFonts w:ascii="Liberation Sans" w:hAnsi="Liberation Sans"/>
                <w:color w:val="1E2D38"/>
                <w:sz w:val="18"/>
              </w:rPr>
              <w:t>CTA is not affiliated with or endorsed by AMFTRB, PTC, Prometric, AAMFT, or any licensing board. This original educational program supports readiness but does not guarantee examination passage or determine eligibility.</w:t>
            </w:r>
          </w:p>
        </w:tc>
      </w:tr>
    </w:tbl>
    <w:p>
      <w:pPr>
        <w:spacing w:after="20"/>
      </w:pPr>
    </w:p>
    <w:p>
      <w:r>
        <w:br w:type="page"/>
      </w:r>
    </w:p>
    <w:p>
      <w:pPr>
        <w:pStyle w:val="Heading1"/>
      </w:pPr>
      <w:r>
        <w:t>How to Use This Workbook</w:t>
      </w:r>
    </w:p>
    <w:p>
      <w:pPr>
        <w:spacing w:after="90"/>
      </w:pPr>
      <w:r>
        <w:rPr>
          <w:rFonts w:ascii="Liberation Sans" w:hAnsi="Liberation Sans"/>
          <w:i w:val="0"/>
          <w:color w:val="1E2D38"/>
          <w:sz w:val="18"/>
        </w:rPr>
        <w:t>Workbook 8 teaches intervention choice as a disciplined decision sequence. Begin with the identified client, treatment unit, maintaining mechanism, agreed goal, culture, access, safety, readiness, and preference. Select a model because its stance and mechanism fit that decision point. Observe what happens for each participant, then continue, adapt, consult, refer, or stop according to the evidence.</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LEARN -&gt; ORGANIZE -&gt; APPLY -&gt; ANALYZE -&gt; REPAIR  </w:t>
            </w:r>
            <w:r>
              <w:rPr>
                <w:rFonts w:ascii="Liberation Sans" w:hAnsi="Liberation Sans"/>
                <w:color w:val="1E2D38"/>
                <w:sz w:val="18"/>
              </w:rPr>
              <w:t>Study the six chapters in order. Use the six reasoning tools to organize each case, complete all eight case labs and the reusable decision record, answer all ten formative questions before reading the rationales, and remediate every miss or low-confidence response. Mnemonics organize judgment; they do not replace assessment, model-specific competence, current law, ethics, consultation, or supervision.</w:t>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SAFETY AND CHOICE OVERRIDE  </w:t>
            </w:r>
            <w:r>
              <w:rPr>
                <w:rFonts w:ascii="Liberation Sans" w:hAnsi="Liberation Sans"/>
                <w:color w:val="1E2D38"/>
                <w:sz w:val="18"/>
              </w:rPr>
              <w:t>When danger, coercion, abuse, acute impairment, loss of regulation, dissociation, or inability to participate voluntarily is present, direct assessment, stabilization, and an appropriate level-of-care response take priority over routine model-specific technique.</w:t>
            </w:r>
          </w:p>
        </w:tc>
      </w:tr>
    </w:tbl>
    <w:p>
      <w:pPr>
        <w:spacing w:after="20"/>
      </w:pPr>
    </w:p>
    <w:p>
      <w:pPr>
        <w:pStyle w:val="Heading1"/>
      </w:pPr>
      <w:r>
        <w:t>Workbook Learning Objectives</w:t>
      </w:r>
    </w:p>
    <w:p>
      <w:pPr>
        <w:pStyle w:val="ListBullet"/>
        <w:spacing w:after="70"/>
      </w:pPr>
      <w:r>
        <w:rPr>
          <w:rFonts w:ascii="Liberation Sans" w:hAnsi="Liberation Sans"/>
          <w:color w:val="1E2D38"/>
          <w:sz w:val="18"/>
        </w:rPr>
        <w:t>Select a coherent intervention model from the client system's maintaining mechanism, treatment unit, goals, readiness, culture, strengths, access needs, and preferences.</w:t>
      </w:r>
    </w:p>
    <w:p>
      <w:pPr>
        <w:pStyle w:val="ListBullet"/>
        <w:spacing w:after="70"/>
      </w:pPr>
      <w:r>
        <w:rPr>
          <w:rFonts w:ascii="Liberation Sans" w:hAnsi="Liberation Sans"/>
          <w:color w:val="1E2D38"/>
          <w:sz w:val="18"/>
        </w:rPr>
        <w:t>Maintain a systemic and collaborative stance while tracking language, power, therapist influence, alliance, culture, and client authorship.</w:t>
      </w:r>
    </w:p>
    <w:p>
      <w:pPr>
        <w:pStyle w:val="ListBullet"/>
        <w:spacing w:after="70"/>
      </w:pPr>
      <w:r>
        <w:rPr>
          <w:rFonts w:ascii="Liberation Sans" w:hAnsi="Liberation Sans"/>
          <w:color w:val="1E2D38"/>
          <w:sz w:val="18"/>
        </w:rPr>
        <w:t>Apply narrative externalizing, mapping, unique-outcome, re-authoring, and preferred-identity practices without erasing responsibility or material context.</w:t>
      </w:r>
    </w:p>
    <w:p>
      <w:pPr>
        <w:pStyle w:val="ListBullet"/>
        <w:spacing w:after="70"/>
      </w:pPr>
      <w:r>
        <w:rPr>
          <w:rFonts w:ascii="Liberation Sans" w:hAnsi="Liberation Sans"/>
          <w:color w:val="1E2D38"/>
          <w:sz w:val="18"/>
        </w:rPr>
        <w:t>Use solution-focused and motivational interviewing methods to elicit preferred futures, exceptions, resources, change talk, autonomy, and small observable next steps.</w:t>
      </w:r>
    </w:p>
    <w:p>
      <w:pPr>
        <w:pStyle w:val="ListBullet"/>
        <w:spacing w:after="70"/>
      </w:pPr>
      <w:r>
        <w:rPr>
          <w:rFonts w:ascii="Liberation Sans" w:hAnsi="Liberation Sans"/>
          <w:color w:val="1E2D38"/>
          <w:sz w:val="18"/>
        </w:rPr>
        <w:t>Use experiential and emotion-focused process methods to deepen present-moment awareness, meaning, expression, and relational contact within a tolerable and voluntary range.</w:t>
      </w:r>
    </w:p>
    <w:p>
      <w:pPr>
        <w:pStyle w:val="ListBullet"/>
        <w:spacing w:after="70"/>
      </w:pPr>
      <w:r>
        <w:rPr>
          <w:rFonts w:ascii="Liberation Sans" w:hAnsi="Liberation Sans"/>
          <w:color w:val="1E2D38"/>
          <w:sz w:val="18"/>
        </w:rPr>
        <w:t>Apply behavioral and cognitive interventions through functional assessment, skills practice, reinforcement, experiments, and appraisal work connected to reciprocal relational patterns.</w:t>
      </w:r>
    </w:p>
    <w:p>
      <w:pPr>
        <w:pStyle w:val="ListBullet"/>
        <w:spacing w:after="70"/>
      </w:pPr>
      <w:r>
        <w:rPr>
          <w:rFonts w:ascii="Liberation Sans" w:hAnsi="Liberation Sans"/>
          <w:color w:val="1E2D38"/>
          <w:sz w:val="18"/>
        </w:rPr>
        <w:t>Use mindfulness- and acceptance-informed practices with rationale, choice, accessibility, trauma sensitivity, values linkage, and monitoring for adverse or avoidant effects.</w:t>
      </w:r>
    </w:p>
    <w:p>
      <w:pPr>
        <w:pStyle w:val="ListBullet"/>
        <w:spacing w:after="70"/>
      </w:pPr>
      <w:r>
        <w:rPr>
          <w:rFonts w:ascii="Liberation Sans" w:hAnsi="Liberation Sans"/>
          <w:color w:val="1E2D38"/>
          <w:sz w:val="18"/>
        </w:rPr>
        <w:t>Integrate methods coherently, evaluate alliance and outcome response, revise nonresponsive plans, and recognize safety, evidence, competence, ethical, documentation, or referral limits.</w:t>
      </w:r>
    </w:p>
    <w:p>
      <w:pPr>
        <w:pStyle w:val="Heading1"/>
      </w:pPr>
      <w:r>
        <w:t>Workbook Roadmap</w:t>
      </w:r>
    </w:p>
    <w:tbl>
      <w:tblPr>
        <w:tblW w:type="dxa" w:w="10560"/>
        <w:jc w:val="left"/>
        <w:tblLayout w:type="fixed"/>
        <w:tblLook w:firstColumn="1" w:firstRow="1" w:lastColumn="0" w:lastRow="0" w:noHBand="0" w:noVBand="1" w:val="04A0"/>
        <w:tblInd w:w="0" w:type="dxa"/>
      </w:tblPr>
      <w:tblGrid>
        <w:gridCol w:w="900"/>
        <w:gridCol w:w="7100"/>
        <w:gridCol w:w="2560"/>
      </w:tblGrid>
      <w:tr>
        <w:trPr>
          <w:tblHeader w:val="true"/>
          <w:cantSplit/>
        </w:trPr>
        <w:tc>
          <w:tcPr>
            <w:tcW w:type="dxa" w:w="900"/>
            <w:shd w:fill="12385B"/>
            <w:tcMar>
              <w:top w:w="95" w:type="dxa"/>
              <w:start w:w="120" w:type="dxa"/>
              <w:bottom w:w="95" w:type="dxa"/>
              <w:end w:w="120" w:type="dxa"/>
            </w:tcMar>
            <w:vAlign w:val="center"/>
          </w:tcPr>
          <w:p>
            <w:pPr>
              <w:spacing w:after="0"/>
            </w:pPr>
            <w:r/>
            <w:r>
              <w:rPr>
                <w:rFonts w:ascii="Liberation Sans" w:hAnsi="Liberation Sans"/>
                <w:b/>
                <w:color w:val="FFFFFF"/>
                <w:sz w:val="17"/>
              </w:rPr>
              <w:t>Chapter</w:t>
            </w:r>
          </w:p>
        </w:tc>
        <w:tc>
          <w:tcPr>
            <w:tcW w:type="dxa" w:w="7100"/>
            <w:shd w:fill="12385B"/>
            <w:tcMar>
              <w:top w:w="95" w:type="dxa"/>
              <w:start w:w="120" w:type="dxa"/>
              <w:bottom w:w="95" w:type="dxa"/>
              <w:end w:w="120" w:type="dxa"/>
            </w:tcMar>
            <w:vAlign w:val="center"/>
          </w:tcPr>
          <w:p>
            <w:pPr>
              <w:spacing w:after="0"/>
            </w:pPr>
            <w:r/>
            <w:r>
              <w:rPr>
                <w:rFonts w:ascii="Liberation Sans" w:hAnsi="Liberation Sans"/>
                <w:b/>
                <w:color w:val="FFFFFF"/>
                <w:sz w:val="17"/>
              </w:rPr>
              <w:t>Focus</w:t>
            </w:r>
          </w:p>
        </w:tc>
        <w:tc>
          <w:tcPr>
            <w:tcW w:type="dxa" w:w="2560"/>
            <w:shd w:fill="12385B"/>
            <w:tcMar>
              <w:top w:w="95" w:type="dxa"/>
              <w:start w:w="120" w:type="dxa"/>
              <w:bottom w:w="95" w:type="dxa"/>
              <w:end w:w="120" w:type="dxa"/>
            </w:tcMar>
            <w:vAlign w:val="center"/>
          </w:tcPr>
          <w:p>
            <w:pPr>
              <w:spacing w:after="0"/>
            </w:pPr>
            <w:r/>
            <w:r>
              <w:rPr>
                <w:rFonts w:ascii="Liberation Sans" w:hAnsi="Liberation Sans"/>
                <w:b/>
                <w:color w:val="FFFFFF"/>
                <w:sz w:val="17"/>
              </w:rPr>
              <w:t>Primary Tool</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7"/>
              </w:rPr>
              <w:t>1</w:t>
            </w:r>
          </w:p>
        </w:tc>
        <w:tc>
          <w:tcPr>
            <w:tcW w:type="dxa" w:w="7100"/>
            <w:tcMar>
              <w:top w:w="90" w:type="dxa"/>
              <w:start w:w="120" w:type="dxa"/>
              <w:bottom w:w="90" w:type="dxa"/>
              <w:end w:w="120" w:type="dxa"/>
            </w:tcMar>
            <w:vAlign w:val="center"/>
          </w:tcPr>
          <w:p>
            <w:pPr>
              <w:spacing w:after="0" w:line="252" w:lineRule="auto"/>
            </w:pPr>
            <w:r/>
            <w:r>
              <w:rPr>
                <w:rFonts w:ascii="Liberation Sans" w:hAnsi="Liberation Sans"/>
                <w:color w:val="1E2D38"/>
                <w:sz w:val="17"/>
              </w:rPr>
              <w:t>Intervention coherence, treatment unit, and model fit</w:t>
            </w:r>
          </w:p>
        </w:tc>
        <w:tc>
          <w:tcPr>
            <w:tcW w:type="dxa" w:w="2560"/>
            <w:tcMar>
              <w:top w:w="90" w:type="dxa"/>
              <w:start w:w="120" w:type="dxa"/>
              <w:bottom w:w="90" w:type="dxa"/>
              <w:end w:w="120" w:type="dxa"/>
            </w:tcMar>
            <w:vAlign w:val="center"/>
          </w:tcPr>
          <w:p>
            <w:pPr>
              <w:spacing w:after="0" w:line="252" w:lineRule="auto"/>
            </w:pPr>
            <w:r/>
            <w:r>
              <w:rPr>
                <w:rFonts w:ascii="Liberation Sans" w:hAnsi="Liberation Sans"/>
                <w:color w:val="1E2D38"/>
                <w:sz w:val="17"/>
              </w:rPr>
              <w:t>MATCH</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2</w:t>
            </w:r>
          </w:p>
        </w:tc>
        <w:tc>
          <w:tcPr>
            <w:tcW w:type="dxa" w:w="7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Narrative intervention and re-authoring</w:t>
            </w:r>
          </w:p>
        </w:tc>
        <w:tc>
          <w:tcPr>
            <w:tcW w:type="dxa" w:w="2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STORY</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7"/>
              </w:rPr>
              <w:t>3</w:t>
            </w:r>
          </w:p>
        </w:tc>
        <w:tc>
          <w:tcPr>
            <w:tcW w:type="dxa" w:w="7100"/>
            <w:tcMar>
              <w:top w:w="90" w:type="dxa"/>
              <w:start w:w="120" w:type="dxa"/>
              <w:bottom w:w="90" w:type="dxa"/>
              <w:end w:w="120" w:type="dxa"/>
            </w:tcMar>
            <w:vAlign w:val="center"/>
          </w:tcPr>
          <w:p>
            <w:pPr>
              <w:spacing w:after="0" w:line="252" w:lineRule="auto"/>
            </w:pPr>
            <w:r/>
            <w:r>
              <w:rPr>
                <w:rFonts w:ascii="Liberation Sans" w:hAnsi="Liberation Sans"/>
                <w:color w:val="1E2D38"/>
                <w:sz w:val="17"/>
              </w:rPr>
              <w:t>Solution-focused and motivational interviewing approaches</w:t>
            </w:r>
          </w:p>
        </w:tc>
        <w:tc>
          <w:tcPr>
            <w:tcW w:type="dxa" w:w="2560"/>
            <w:tcMar>
              <w:top w:w="90" w:type="dxa"/>
              <w:start w:w="120" w:type="dxa"/>
              <w:bottom w:w="90" w:type="dxa"/>
              <w:end w:w="120" w:type="dxa"/>
            </w:tcMar>
            <w:vAlign w:val="center"/>
          </w:tcPr>
          <w:p>
            <w:pPr>
              <w:spacing w:after="0" w:line="252" w:lineRule="auto"/>
            </w:pPr>
            <w:r/>
            <w:r>
              <w:rPr>
                <w:rFonts w:ascii="Liberation Sans" w:hAnsi="Liberation Sans"/>
                <w:color w:val="1E2D38"/>
                <w:sz w:val="17"/>
              </w:rPr>
              <w:t>SPARK</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4</w:t>
            </w:r>
          </w:p>
        </w:tc>
        <w:tc>
          <w:tcPr>
            <w:tcW w:type="dxa" w:w="7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Experiential and emotion-focused process work</w:t>
            </w:r>
          </w:p>
        </w:tc>
        <w:tc>
          <w:tcPr>
            <w:tcW w:type="dxa" w:w="2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FEEL</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7"/>
              </w:rPr>
              <w:t>5</w:t>
            </w:r>
          </w:p>
        </w:tc>
        <w:tc>
          <w:tcPr>
            <w:tcW w:type="dxa" w:w="7100"/>
            <w:tcMar>
              <w:top w:w="90" w:type="dxa"/>
              <w:start w:w="120" w:type="dxa"/>
              <w:bottom w:w="90" w:type="dxa"/>
              <w:end w:w="120" w:type="dxa"/>
            </w:tcMar>
            <w:vAlign w:val="center"/>
          </w:tcPr>
          <w:p>
            <w:pPr>
              <w:spacing w:after="0" w:line="252" w:lineRule="auto"/>
            </w:pPr>
            <w:r/>
            <w:r>
              <w:rPr>
                <w:rFonts w:ascii="Liberation Sans" w:hAnsi="Liberation Sans"/>
                <w:color w:val="1E2D38"/>
                <w:sz w:val="17"/>
              </w:rPr>
              <w:t>Behavioral and cognitive interventions in relational systems</w:t>
            </w:r>
          </w:p>
        </w:tc>
        <w:tc>
          <w:tcPr>
            <w:tcW w:type="dxa" w:w="2560"/>
            <w:tcMar>
              <w:top w:w="90" w:type="dxa"/>
              <w:start w:w="120" w:type="dxa"/>
              <w:bottom w:w="90" w:type="dxa"/>
              <w:end w:w="120" w:type="dxa"/>
            </w:tcMar>
            <w:vAlign w:val="center"/>
          </w:tcPr>
          <w:p>
            <w:pPr>
              <w:spacing w:after="0" w:line="252" w:lineRule="auto"/>
            </w:pPr>
            <w:r/>
            <w:r>
              <w:rPr>
                <w:rFonts w:ascii="Liberation Sans" w:hAnsi="Liberation Sans"/>
                <w:color w:val="1E2D38"/>
                <w:sz w:val="17"/>
              </w:rPr>
              <w:t>CHANGE</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6</w:t>
            </w:r>
          </w:p>
        </w:tc>
        <w:tc>
          <w:tcPr>
            <w:tcW w:type="dxa" w:w="7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Mindfulness, acceptance, integration, and response evaluation</w:t>
            </w:r>
          </w:p>
        </w:tc>
        <w:tc>
          <w:tcPr>
            <w:tcW w:type="dxa" w:w="2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PAUSE / MATCH</w:t>
            </w:r>
          </w:p>
        </w:tc>
      </w:tr>
    </w:tbl>
    <w:p>
      <w:pPr>
        <w:spacing w:after="20"/>
      </w:pPr>
    </w:p>
    <w:p>
      <w:pPr>
        <w:pStyle w:val="Heading1"/>
      </w:pPr>
      <w:r>
        <w:t>High-Yield Intervention Distinctions</w:t>
      </w:r>
    </w:p>
    <w:tbl>
      <w:tblPr>
        <w:tblW w:type="dxa" w:w="10560"/>
        <w:jc w:val="left"/>
        <w:tblLayout w:type="fixed"/>
        <w:tblLook w:firstColumn="1" w:firstRow="1" w:lastColumn="0" w:lastRow="0" w:noHBand="0" w:noVBand="1" w:val="04A0"/>
        <w:tblInd w:w="0" w:type="dxa"/>
      </w:tblPr>
      <w:tblGrid>
        <w:gridCol w:w="2600"/>
        <w:gridCol w:w="7960"/>
      </w:tblGrid>
      <w:tr>
        <w:trPr>
          <w:tblHeader w:val="true"/>
          <w:cantSplit/>
        </w:trPr>
        <w:tc>
          <w:tcPr>
            <w:tcW w:type="dxa" w:w="2600"/>
            <w:shd w:fill="12385B"/>
            <w:tcMar>
              <w:top w:w="95" w:type="dxa"/>
              <w:start w:w="120" w:type="dxa"/>
              <w:bottom w:w="95" w:type="dxa"/>
              <w:end w:w="120" w:type="dxa"/>
            </w:tcMar>
            <w:vAlign w:val="center"/>
          </w:tcPr>
          <w:p>
            <w:pPr>
              <w:spacing w:after="0"/>
            </w:pPr>
            <w:r/>
            <w:r>
              <w:rPr>
                <w:rFonts w:ascii="Liberation Sans" w:hAnsi="Liberation Sans"/>
                <w:b/>
                <w:color w:val="FFFFFF"/>
                <w:sz w:val="17"/>
              </w:rPr>
              <w:t>Distinction</w:t>
            </w:r>
          </w:p>
        </w:tc>
        <w:tc>
          <w:tcPr>
            <w:tcW w:type="dxa" w:w="7960"/>
            <w:shd w:fill="12385B"/>
            <w:tcMar>
              <w:top w:w="95" w:type="dxa"/>
              <w:start w:w="120" w:type="dxa"/>
              <w:bottom w:w="95" w:type="dxa"/>
              <w:end w:w="120" w:type="dxa"/>
            </w:tcMar>
            <w:vAlign w:val="center"/>
          </w:tcPr>
          <w:p>
            <w:pPr>
              <w:spacing w:after="0"/>
            </w:pPr>
            <w:r/>
            <w:r>
              <w:rPr>
                <w:rFonts w:ascii="Liberation Sans" w:hAnsi="Liberation Sans"/>
                <w:b/>
                <w:color w:val="FFFFFF"/>
                <w:sz w:val="17"/>
              </w:rPr>
              <w:t>Decision rule</w:t>
            </w:r>
          </w:p>
        </w:tc>
      </w:tr>
      <w:tr>
        <w:trPr>
          <w:cantSplit/>
        </w:trPr>
        <w:tc>
          <w:tcPr>
            <w:tcW w:type="dxa" w:w="2600"/>
            <w:tcMar>
              <w:top w:w="90" w:type="dxa"/>
              <w:start w:w="120" w:type="dxa"/>
              <w:bottom w:w="90" w:type="dxa"/>
              <w:end w:w="120" w:type="dxa"/>
            </w:tcMar>
            <w:vAlign w:val="center"/>
          </w:tcPr>
          <w:p>
            <w:pPr>
              <w:spacing w:after="0" w:line="252" w:lineRule="auto"/>
            </w:pPr>
            <w:r/>
            <w:r>
              <w:rPr>
                <w:rFonts w:ascii="Liberation Sans" w:hAnsi="Liberation Sans"/>
                <w:color w:val="1E2D38"/>
                <w:sz w:val="17"/>
              </w:rPr>
              <w:t>Model coherence vs. technique collection</w:t>
            </w:r>
          </w:p>
        </w:tc>
        <w:tc>
          <w:tcPr>
            <w:tcW w:type="dxa" w:w="7960"/>
            <w:tcMar>
              <w:top w:w="90" w:type="dxa"/>
              <w:start w:w="120" w:type="dxa"/>
              <w:bottom w:w="90" w:type="dxa"/>
              <w:end w:w="120" w:type="dxa"/>
            </w:tcMar>
            <w:vAlign w:val="center"/>
          </w:tcPr>
          <w:p>
            <w:pPr>
              <w:spacing w:after="0" w:line="252" w:lineRule="auto"/>
            </w:pPr>
            <w:r/>
            <w:r>
              <w:rPr>
                <w:rFonts w:ascii="Liberation Sans" w:hAnsi="Liberation Sans"/>
                <w:color w:val="1E2D38"/>
                <w:sz w:val="17"/>
              </w:rPr>
              <w:t>Connect stance, hypothesis, mechanism, goal, intervention, and response indicator; a familiar exercise is not a formulation.</w:t>
            </w:r>
          </w:p>
        </w:tc>
      </w:tr>
      <w:tr>
        <w:trPr>
          <w:cantSplit/>
        </w:trPr>
        <w:tc>
          <w:tcPr>
            <w:tcW w:type="dxa" w:w="26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Client authorship vs. therapist expertise</w:t>
            </w:r>
          </w:p>
        </w:tc>
        <w:tc>
          <w:tcPr>
            <w:tcW w:type="dxa" w:w="79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Offer clinical structure and accurate information while preserving the client system's language, values, choices, and preferred outcomes.</w:t>
            </w:r>
          </w:p>
        </w:tc>
      </w:tr>
      <w:tr>
        <w:trPr>
          <w:cantSplit/>
        </w:trPr>
        <w:tc>
          <w:tcPr>
            <w:tcW w:type="dxa" w:w="2600"/>
            <w:tcMar>
              <w:top w:w="90" w:type="dxa"/>
              <w:start w:w="120" w:type="dxa"/>
              <w:bottom w:w="90" w:type="dxa"/>
              <w:end w:w="120" w:type="dxa"/>
            </w:tcMar>
            <w:vAlign w:val="center"/>
          </w:tcPr>
          <w:p>
            <w:pPr>
              <w:spacing w:after="0" w:line="252" w:lineRule="auto"/>
            </w:pPr>
            <w:r/>
            <w:r>
              <w:rPr>
                <w:rFonts w:ascii="Liberation Sans" w:hAnsi="Liberation Sans"/>
                <w:color w:val="1E2D38"/>
                <w:sz w:val="17"/>
              </w:rPr>
              <w:t>Externalizing vs. excusing</w:t>
            </w:r>
          </w:p>
        </w:tc>
        <w:tc>
          <w:tcPr>
            <w:tcW w:type="dxa" w:w="7960"/>
            <w:tcMar>
              <w:top w:w="90" w:type="dxa"/>
              <w:start w:w="120" w:type="dxa"/>
              <w:bottom w:w="90" w:type="dxa"/>
              <w:end w:w="120" w:type="dxa"/>
            </w:tcMar>
            <w:vAlign w:val="center"/>
          </w:tcPr>
          <w:p>
            <w:pPr>
              <w:spacing w:after="0" w:line="252" w:lineRule="auto"/>
            </w:pPr>
            <w:r/>
            <w:r>
              <w:rPr>
                <w:rFonts w:ascii="Liberation Sans" w:hAnsi="Liberation Sans"/>
                <w:color w:val="1E2D38"/>
                <w:sz w:val="17"/>
              </w:rPr>
              <w:t>Separate identity from a problem pattern without minimizing responsibility, coercion, abuse, discrimination, or concrete harm.</w:t>
            </w:r>
          </w:p>
        </w:tc>
      </w:tr>
      <w:tr>
        <w:trPr>
          <w:cantSplit/>
        </w:trPr>
        <w:tc>
          <w:tcPr>
            <w:tcW w:type="dxa" w:w="26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Exceptions vs. bypassing</w:t>
            </w:r>
          </w:p>
        </w:tc>
        <w:tc>
          <w:tcPr>
            <w:tcW w:type="dxa" w:w="79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Use exceptions and strengths after validating the problem and completing necessary risk, impairment, and contextual assessment.</w:t>
            </w:r>
          </w:p>
        </w:tc>
      </w:tr>
      <w:tr>
        <w:trPr>
          <w:cantSplit/>
        </w:trPr>
        <w:tc>
          <w:tcPr>
            <w:tcW w:type="dxa" w:w="2600"/>
            <w:tcMar>
              <w:top w:w="90" w:type="dxa"/>
              <w:start w:w="120" w:type="dxa"/>
              <w:bottom w:w="90" w:type="dxa"/>
              <w:end w:w="120" w:type="dxa"/>
            </w:tcMar>
            <w:vAlign w:val="center"/>
          </w:tcPr>
          <w:p>
            <w:pPr>
              <w:spacing w:after="0" w:line="252" w:lineRule="auto"/>
            </w:pPr>
            <w:r/>
            <w:r>
              <w:rPr>
                <w:rFonts w:ascii="Liberation Sans" w:hAnsi="Liberation Sans"/>
                <w:color w:val="1E2D38"/>
                <w:sz w:val="17"/>
              </w:rPr>
              <w:t>Evocation vs. dysregulation</w:t>
            </w:r>
          </w:p>
        </w:tc>
        <w:tc>
          <w:tcPr>
            <w:tcW w:type="dxa" w:w="7960"/>
            <w:tcMar>
              <w:top w:w="90" w:type="dxa"/>
              <w:start w:w="120" w:type="dxa"/>
              <w:bottom w:w="90" w:type="dxa"/>
              <w:end w:w="120" w:type="dxa"/>
            </w:tcMar>
            <w:vAlign w:val="center"/>
          </w:tcPr>
          <w:p>
            <w:pPr>
              <w:spacing w:after="0" w:line="252" w:lineRule="auto"/>
            </w:pPr>
            <w:r/>
            <w:r>
              <w:rPr>
                <w:rFonts w:ascii="Liberation Sans" w:hAnsi="Liberation Sans"/>
                <w:color w:val="1E2D38"/>
                <w:sz w:val="17"/>
              </w:rPr>
              <w:t>Deepen present experience only within a tolerable, voluntary range; restore regulation and choice when shutdown, flooding, or dissociation appears.</w:t>
            </w:r>
          </w:p>
        </w:tc>
      </w:tr>
      <w:tr>
        <w:trPr>
          <w:cantSplit/>
        </w:trPr>
        <w:tc>
          <w:tcPr>
            <w:tcW w:type="dxa" w:w="26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Cognitive work vs. individual reduction</w:t>
            </w:r>
          </w:p>
        </w:tc>
        <w:tc>
          <w:tcPr>
            <w:tcW w:type="dxa" w:w="79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Link appraisals and beliefs to behavior, feedback, relationships, culture, development, and material context.</w:t>
            </w:r>
          </w:p>
        </w:tc>
      </w:tr>
      <w:tr>
        <w:trPr>
          <w:cantSplit/>
        </w:trPr>
        <w:tc>
          <w:tcPr>
            <w:tcW w:type="dxa" w:w="2600"/>
            <w:tcMar>
              <w:top w:w="90" w:type="dxa"/>
              <w:start w:w="120" w:type="dxa"/>
              <w:bottom w:w="90" w:type="dxa"/>
              <w:end w:w="120" w:type="dxa"/>
            </w:tcMar>
            <w:vAlign w:val="center"/>
          </w:tcPr>
          <w:p>
            <w:pPr>
              <w:spacing w:after="0" w:line="252" w:lineRule="auto"/>
            </w:pPr>
            <w:r/>
            <w:r>
              <w:rPr>
                <w:rFonts w:ascii="Liberation Sans" w:hAnsi="Liberation Sans"/>
                <w:color w:val="1E2D38"/>
                <w:sz w:val="17"/>
              </w:rPr>
              <w:t>Mindful awareness vs. universal prescription</w:t>
            </w:r>
          </w:p>
        </w:tc>
        <w:tc>
          <w:tcPr>
            <w:tcW w:type="dxa" w:w="7960"/>
            <w:tcMar>
              <w:top w:w="90" w:type="dxa"/>
              <w:start w:w="120" w:type="dxa"/>
              <w:bottom w:w="90" w:type="dxa"/>
              <w:end w:w="120" w:type="dxa"/>
            </w:tcMar>
            <w:vAlign w:val="center"/>
          </w:tcPr>
          <w:p>
            <w:pPr>
              <w:spacing w:after="0" w:line="252" w:lineRule="auto"/>
            </w:pPr>
            <w:r/>
            <w:r>
              <w:rPr>
                <w:rFonts w:ascii="Liberation Sans" w:hAnsi="Liberation Sans"/>
                <w:color w:val="1E2D38"/>
                <w:sz w:val="17"/>
              </w:rPr>
              <w:t>Explain the rationale, offer alternatives, adapt for access and trauma, and stop when inward attention is unwanted or destabilizing.</w:t>
            </w:r>
          </w:p>
        </w:tc>
      </w:tr>
      <w:tr>
        <w:trPr>
          <w:cantSplit/>
        </w:trPr>
        <w:tc>
          <w:tcPr>
            <w:tcW w:type="dxa" w:w="26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Integration vs. drift</w:t>
            </w:r>
          </w:p>
        </w:tc>
        <w:tc>
          <w:tcPr>
            <w:tcW w:type="dxa" w:w="79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Use more than one model only when each method has an explicit function within one coherent, monitored plan.</w:t>
            </w:r>
          </w:p>
        </w:tc>
      </w:tr>
    </w:tbl>
    <w:p>
      <w:pPr>
        <w:spacing w:after="20"/>
      </w:pPr>
    </w:p>
    <w:p>
      <w:r>
        <w:br w:type="page"/>
      </w:r>
    </w:p>
    <w:p>
      <w:pPr>
        <w:spacing w:after="80"/>
      </w:pPr>
      <w:r>
        <w:rPr>
          <w:rFonts w:ascii="Liberation Sans" w:hAnsi="Liberation Sans"/>
          <w:b/>
          <w:color w:val="13A6A6"/>
          <w:sz w:val="28"/>
        </w:rPr>
        <w:t>CHAPTER 1</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Intervention Coherence, Treatment Unit, and Model Fit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Choose an intervention because it fits the client system, maintaining mechanism, agreed goal, readiness, culture, access, evidence, and preference. Technique follows formulation; feedback controls revision.</w:t>
            </w:r>
          </w:p>
        </w:tc>
      </w:tr>
    </w:tbl>
    <w:p>
      <w:pPr>
        <w:spacing w:after="20"/>
      </w:pPr>
    </w:p>
    <w:p>
      <w:pPr>
        <w:pStyle w:val="Heading2"/>
      </w:pPr>
      <w:r>
        <w:t>The MATCH Model-Selection Sequence</w:t>
      </w:r>
    </w:p>
    <w:tbl>
      <w:tblPr>
        <w:tblW w:type="dxa" w:w="10560"/>
        <w:jc w:val="left"/>
        <w:tblLayout w:type="fixed"/>
        <w:tblLook w:firstColumn="1" w:firstRow="1" w:lastColumn="0" w:lastRow="0" w:noHBand="0" w:noVBand="1" w:val="04A0"/>
        <w:tblInd w:w="0" w:type="dxa"/>
      </w:tblPr>
      <w:tblGrid>
        <w:gridCol w:w="2050"/>
        <w:gridCol w:w="8510"/>
      </w:tblGrid>
      <w:tr>
        <w:trPr>
          <w:tblHeader w:val="true"/>
          <w:cantSplit/>
        </w:trPr>
        <w:tc>
          <w:tcPr>
            <w:tcW w:type="dxa" w:w="205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851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050"/>
            <w:tcMar>
              <w:top w:w="90" w:type="dxa"/>
              <w:start w:w="120" w:type="dxa"/>
              <w:bottom w:w="90" w:type="dxa"/>
              <w:end w:w="120" w:type="dxa"/>
            </w:tcMar>
            <w:vAlign w:val="center"/>
          </w:tcPr>
          <w:p>
            <w:pPr>
              <w:spacing w:after="0" w:line="252" w:lineRule="auto"/>
            </w:pPr>
            <w:r/>
            <w:r>
              <w:rPr>
                <w:rFonts w:ascii="Liberation Sans" w:hAnsi="Liberation Sans"/>
                <w:color w:val="1E2D38"/>
                <w:sz w:val="17"/>
              </w:rPr>
              <w:t>M - Map the maintaining sequence</w:t>
            </w:r>
          </w:p>
        </w:tc>
        <w:tc>
          <w:tcPr>
            <w:tcW w:type="dxa" w:w="8510"/>
            <w:tcMar>
              <w:top w:w="90" w:type="dxa"/>
              <w:start w:w="120" w:type="dxa"/>
              <w:bottom w:w="90" w:type="dxa"/>
              <w:end w:w="120" w:type="dxa"/>
            </w:tcMar>
            <w:vAlign w:val="center"/>
          </w:tcPr>
          <w:p>
            <w:pPr>
              <w:spacing w:after="0" w:line="252" w:lineRule="auto"/>
            </w:pPr>
            <w:r/>
            <w:r>
              <w:rPr>
                <w:rFonts w:ascii="Liberation Sans" w:hAnsi="Liberation Sans"/>
                <w:color w:val="1E2D38"/>
                <w:sz w:val="17"/>
              </w:rPr>
              <w:t>Describe the observable reciprocal pattern, relevant individual/contextual contributors, and evidence supporting or challenging the hypothesis.</w:t>
            </w:r>
          </w:p>
        </w:tc>
      </w:tr>
      <w:tr>
        <w:trPr>
          <w:cantSplit/>
        </w:trPr>
        <w:tc>
          <w:tcPr>
            <w:tcW w:type="dxa" w:w="20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 - Align mechanism and agreed goal</w:t>
            </w:r>
          </w:p>
        </w:tc>
        <w:tc>
          <w:tcPr>
            <w:tcW w:type="dxa" w:w="85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State what process must change and how that change connects to the client system's own goals.</w:t>
            </w:r>
          </w:p>
        </w:tc>
      </w:tr>
      <w:tr>
        <w:trPr>
          <w:cantSplit/>
        </w:trPr>
        <w:tc>
          <w:tcPr>
            <w:tcW w:type="dxa" w:w="2050"/>
            <w:tcMar>
              <w:top w:w="90" w:type="dxa"/>
              <w:start w:w="120" w:type="dxa"/>
              <w:bottom w:w="90" w:type="dxa"/>
              <w:end w:w="120" w:type="dxa"/>
            </w:tcMar>
            <w:vAlign w:val="center"/>
          </w:tcPr>
          <w:p>
            <w:pPr>
              <w:spacing w:after="0" w:line="252" w:lineRule="auto"/>
            </w:pPr>
            <w:r/>
            <w:r>
              <w:rPr>
                <w:rFonts w:ascii="Liberation Sans" w:hAnsi="Liberation Sans"/>
                <w:color w:val="1E2D38"/>
                <w:sz w:val="17"/>
              </w:rPr>
              <w:t>T - Test treatment unit and readiness</w:t>
            </w:r>
          </w:p>
        </w:tc>
        <w:tc>
          <w:tcPr>
            <w:tcW w:type="dxa" w:w="8510"/>
            <w:tcMar>
              <w:top w:w="90" w:type="dxa"/>
              <w:start w:w="120" w:type="dxa"/>
              <w:bottom w:w="90" w:type="dxa"/>
              <w:end w:w="120" w:type="dxa"/>
            </w:tcMar>
            <w:vAlign w:val="center"/>
          </w:tcPr>
          <w:p>
            <w:pPr>
              <w:spacing w:after="0" w:line="252" w:lineRule="auto"/>
            </w:pPr>
            <w:r/>
            <w:r>
              <w:rPr>
                <w:rFonts w:ascii="Liberation Sans" w:hAnsi="Liberation Sans"/>
                <w:color w:val="1E2D38"/>
                <w:sz w:val="17"/>
              </w:rPr>
              <w:t>Confirm who must participate, the appropriate format, regulation, capacity, motivation, timing, and practical feasibility.</w:t>
            </w:r>
          </w:p>
        </w:tc>
      </w:tr>
      <w:tr>
        <w:trPr>
          <w:cantSplit/>
        </w:trPr>
        <w:tc>
          <w:tcPr>
            <w:tcW w:type="dxa" w:w="20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 - Check safety, culture, access, evidence, and preference</w:t>
            </w:r>
          </w:p>
        </w:tc>
        <w:tc>
          <w:tcPr>
            <w:tcW w:type="dxa" w:w="85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Screen for overrides and adapt for identity, disability, language, resources, values, and informed choice.</w:t>
            </w:r>
          </w:p>
        </w:tc>
      </w:tr>
      <w:tr>
        <w:trPr>
          <w:cantSplit/>
        </w:trPr>
        <w:tc>
          <w:tcPr>
            <w:tcW w:type="dxa" w:w="2050"/>
            <w:tcMar>
              <w:top w:w="90" w:type="dxa"/>
              <w:start w:w="120" w:type="dxa"/>
              <w:bottom w:w="90" w:type="dxa"/>
              <w:end w:w="120" w:type="dxa"/>
            </w:tcMar>
            <w:vAlign w:val="center"/>
          </w:tcPr>
          <w:p>
            <w:pPr>
              <w:spacing w:after="0" w:line="252" w:lineRule="auto"/>
            </w:pPr>
            <w:r/>
            <w:r>
              <w:rPr>
                <w:rFonts w:ascii="Liberation Sans" w:hAnsi="Liberation Sans"/>
                <w:color w:val="1E2D38"/>
                <w:sz w:val="17"/>
              </w:rPr>
              <w:t>H - Hold coherence while tracking feedback</w:t>
            </w:r>
          </w:p>
        </w:tc>
        <w:tc>
          <w:tcPr>
            <w:tcW w:type="dxa" w:w="8510"/>
            <w:tcMar>
              <w:top w:w="90" w:type="dxa"/>
              <w:start w:w="120" w:type="dxa"/>
              <w:bottom w:w="90" w:type="dxa"/>
              <w:end w:w="120" w:type="dxa"/>
            </w:tcMar>
            <w:vAlign w:val="center"/>
          </w:tcPr>
          <w:p>
            <w:pPr>
              <w:spacing w:after="0" w:line="252" w:lineRule="auto"/>
            </w:pPr>
            <w:r/>
            <w:r>
              <w:rPr>
                <w:rFonts w:ascii="Liberation Sans" w:hAnsi="Liberation Sans"/>
                <w:color w:val="1E2D38"/>
                <w:sz w:val="17"/>
              </w:rPr>
              <w:t>Use a model-consistent intervention, observe response and alliance, and continue or revise according to data.</w:t>
            </w:r>
          </w:p>
        </w:tc>
      </w:tr>
    </w:tbl>
    <w:p>
      <w:pPr>
        <w:spacing w:after="20"/>
      </w:pPr>
    </w:p>
    <w:p>
      <w:pPr>
        <w:pStyle w:val="Heading2"/>
      </w:pPr>
      <w:r>
        <w:t>Build the Clinical Logic Chain</w:t>
      </w:r>
    </w:p>
    <w:tbl>
      <w:tblPr>
        <w:tblW w:type="dxa" w:w="10560"/>
        <w:jc w:val="left"/>
        <w:tblLayout w:type="fixed"/>
        <w:tblLook w:firstColumn="1" w:firstRow="1" w:lastColumn="0" w:lastRow="0" w:noHBand="0" w:noVBand="1" w:val="04A0"/>
        <w:tblInd w:w="0" w:type="dxa"/>
      </w:tblPr>
      <w:tblGrid>
        <w:gridCol w:w="3100"/>
        <w:gridCol w:w="7460"/>
      </w:tblGrid>
      <w:tr>
        <w:trPr>
          <w:tblHeader w:val="true"/>
          <w:cantSplit/>
        </w:trPr>
        <w:tc>
          <w:tcPr>
            <w:tcW w:type="dxa" w:w="3100"/>
            <w:shd w:fill="12385B"/>
            <w:tcMar>
              <w:top w:w="95" w:type="dxa"/>
              <w:start w:w="120" w:type="dxa"/>
              <w:bottom w:w="95" w:type="dxa"/>
              <w:end w:w="120" w:type="dxa"/>
            </w:tcMar>
            <w:vAlign w:val="center"/>
          </w:tcPr>
          <w:p>
            <w:pPr>
              <w:spacing w:after="0"/>
            </w:pPr>
            <w:r/>
            <w:r>
              <w:rPr>
                <w:rFonts w:ascii="Liberation Sans" w:hAnsi="Liberation Sans"/>
                <w:b/>
                <w:color w:val="FFFFFF"/>
                <w:sz w:val="17"/>
              </w:rPr>
              <w:t>Question</w:t>
            </w:r>
          </w:p>
        </w:tc>
        <w:tc>
          <w:tcPr>
            <w:tcW w:type="dxa" w:w="7460"/>
            <w:shd w:fill="12385B"/>
            <w:tcMar>
              <w:top w:w="95" w:type="dxa"/>
              <w:start w:w="120" w:type="dxa"/>
              <w:bottom w:w="95" w:type="dxa"/>
              <w:end w:w="120" w:type="dxa"/>
            </w:tcMar>
            <w:vAlign w:val="center"/>
          </w:tcPr>
          <w:p>
            <w:pPr>
              <w:spacing w:after="0"/>
            </w:pPr>
            <w:r/>
            <w:r>
              <w:rPr>
                <w:rFonts w:ascii="Liberation Sans" w:hAnsi="Liberation Sans"/>
                <w:b/>
                <w:color w:val="FFFFFF"/>
                <w:sz w:val="17"/>
              </w:rPr>
              <w:t>Example of a coherent answer</w:t>
            </w:r>
          </w:p>
        </w:tc>
      </w:tr>
      <w:tr>
        <w:trPr>
          <w:cantSplit/>
        </w:trPr>
        <w:tc>
          <w:tcPr>
            <w:tcW w:type="dxa" w:w="310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pattern maintains the concern?</w:t>
            </w:r>
          </w:p>
        </w:tc>
        <w:tc>
          <w:tcPr>
            <w:tcW w:type="dxa" w:w="7460"/>
            <w:tcMar>
              <w:top w:w="90" w:type="dxa"/>
              <w:start w:w="120" w:type="dxa"/>
              <w:bottom w:w="90" w:type="dxa"/>
              <w:end w:w="120" w:type="dxa"/>
            </w:tcMar>
            <w:vAlign w:val="center"/>
          </w:tcPr>
          <w:p>
            <w:pPr>
              <w:spacing w:after="0" w:line="252" w:lineRule="auto"/>
            </w:pPr>
            <w:r/>
            <w:r>
              <w:rPr>
                <w:rFonts w:ascii="Liberation Sans" w:hAnsi="Liberation Sans"/>
                <w:color w:val="1E2D38"/>
                <w:sz w:val="17"/>
              </w:rPr>
              <w:t>A cue is interpreted as rejection, prompting criticism; withdrawal follows and confirms the rejection meaning.</w:t>
            </w:r>
          </w:p>
        </w:tc>
      </w:tr>
      <w:tr>
        <w:trPr>
          <w:cantSplit/>
        </w:trPr>
        <w:tc>
          <w:tcPr>
            <w:tcW w:type="dxa" w:w="3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is the agreed target?</w:t>
            </w:r>
          </w:p>
        </w:tc>
        <w:tc>
          <w:tcPr>
            <w:tcW w:type="dxa" w:w="74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Recognize the sequence sooner and replace criticism/withdrawal with a brief, direct request and reliable return.</w:t>
            </w:r>
          </w:p>
        </w:tc>
      </w:tr>
      <w:tr>
        <w:trPr>
          <w:cantSplit/>
        </w:trPr>
        <w:tc>
          <w:tcPr>
            <w:tcW w:type="dxa" w:w="310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mechanism should change?</w:t>
            </w:r>
          </w:p>
        </w:tc>
        <w:tc>
          <w:tcPr>
            <w:tcW w:type="dxa" w:w="7460"/>
            <w:tcMar>
              <w:top w:w="90" w:type="dxa"/>
              <w:start w:w="120" w:type="dxa"/>
              <w:bottom w:w="90" w:type="dxa"/>
              <w:end w:w="120" w:type="dxa"/>
            </w:tcMar>
            <w:vAlign w:val="center"/>
          </w:tcPr>
          <w:p>
            <w:pPr>
              <w:spacing w:after="0" w:line="252" w:lineRule="auto"/>
            </w:pPr>
            <w:r/>
            <w:r>
              <w:rPr>
                <w:rFonts w:ascii="Liberation Sans" w:hAnsi="Liberation Sans"/>
                <w:color w:val="1E2D38"/>
                <w:sz w:val="17"/>
              </w:rPr>
              <w:t>Meaning, regulation, and the reinforcing interactional response.</w:t>
            </w:r>
          </w:p>
        </w:tc>
      </w:tr>
      <w:tr>
        <w:trPr>
          <w:cantSplit/>
        </w:trPr>
        <w:tc>
          <w:tcPr>
            <w:tcW w:type="dxa" w:w="3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Why this model now?</w:t>
            </w:r>
          </w:p>
        </w:tc>
        <w:tc>
          <w:tcPr>
            <w:tcW w:type="dxa" w:w="74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The clients endorse the target, can remain sufficiently regulated, and prefer a relationally focused approach.</w:t>
            </w:r>
          </w:p>
        </w:tc>
      </w:tr>
      <w:tr>
        <w:trPr>
          <w:cantSplit/>
        </w:trPr>
        <w:tc>
          <w:tcPr>
            <w:tcW w:type="dxa" w:w="310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will count as response?</w:t>
            </w:r>
          </w:p>
        </w:tc>
        <w:tc>
          <w:tcPr>
            <w:tcW w:type="dxa" w:w="7460"/>
            <w:tcMar>
              <w:top w:w="90" w:type="dxa"/>
              <w:start w:w="120" w:type="dxa"/>
              <w:bottom w:w="90" w:type="dxa"/>
              <w:end w:w="120" w:type="dxa"/>
            </w:tcMar>
            <w:vAlign w:val="center"/>
          </w:tcPr>
          <w:p>
            <w:pPr>
              <w:spacing w:after="0" w:line="252" w:lineRule="auto"/>
            </w:pPr>
            <w:r/>
            <w:r>
              <w:rPr>
                <w:rFonts w:ascii="Liberation Sans" w:hAnsi="Liberation Sans"/>
                <w:color w:val="1E2D38"/>
                <w:sz w:val="17"/>
              </w:rPr>
              <w:t>Less escalation, faster recovery, clearer requests, improved alliance, and generalization outside sessions.</w:t>
            </w:r>
          </w:p>
        </w:tc>
      </w:tr>
      <w:tr>
        <w:trPr>
          <w:cantSplit/>
        </w:trPr>
        <w:tc>
          <w:tcPr>
            <w:tcW w:type="dxa" w:w="3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would prompt revision?</w:t>
            </w:r>
          </w:p>
        </w:tc>
        <w:tc>
          <w:tcPr>
            <w:tcW w:type="dxa" w:w="74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Fear, shutdown, worsening conflict, no measurable movement, poor fit, access barriers, or competence limits.</w:t>
            </w:r>
          </w:p>
        </w:tc>
      </w:tr>
    </w:tbl>
    <w:p>
      <w:pPr>
        <w:spacing w:after="20"/>
      </w:pPr>
    </w:p>
    <w:p>
      <w:pPr>
        <w:pStyle w:val="Heading2"/>
      </w:pPr>
      <w:r>
        <w:t>Common Factors and Model-Specific Methods</w:t>
      </w:r>
    </w:p>
    <w:p>
      <w:pPr>
        <w:spacing w:after="90"/>
      </w:pPr>
      <w:r>
        <w:rPr>
          <w:rFonts w:ascii="Liberation Sans" w:hAnsi="Liberation Sans"/>
          <w:i w:val="0"/>
          <w:color w:val="1E2D38"/>
          <w:sz w:val="18"/>
        </w:rPr>
        <w:t>Alliance, hope, collaboration, cultural responsiveness, credible rationale, attention to context, and ongoing feedback support treatment across models. They do not make models interchangeable. A narrative question, motivational reflection, experiential enactment, behavioral experiment, cognitive reappraisal, and mindfulness practice each carries a different stance, target, and mechanism. Use shared factors to support a coherent method—not to disguise drift.</w:t>
      </w:r>
    </w:p>
    <w:p>
      <w:pPr>
        <w:pStyle w:val="ListBullet"/>
        <w:spacing w:after="70"/>
      </w:pPr>
      <w:r>
        <w:rPr>
          <w:rFonts w:ascii="Liberation Sans" w:hAnsi="Liberation Sans"/>
          <w:color w:val="1E2D38"/>
          <w:sz w:val="18"/>
        </w:rPr>
        <w:t>State the intervention target in observable, relational, and client-relevant language.</w:t>
      </w:r>
    </w:p>
    <w:p>
      <w:pPr>
        <w:pStyle w:val="ListBullet"/>
        <w:spacing w:after="70"/>
      </w:pPr>
      <w:r>
        <w:rPr>
          <w:rFonts w:ascii="Liberation Sans" w:hAnsi="Liberation Sans"/>
          <w:color w:val="1E2D38"/>
          <w:sz w:val="18"/>
        </w:rPr>
        <w:t>Explain why the proposed method fits and what alternatives are reasonable; obtain meaningful consent for higher-intensity or unfamiliar procedures.</w:t>
      </w:r>
    </w:p>
    <w:p>
      <w:pPr>
        <w:pStyle w:val="ListBullet"/>
        <w:spacing w:after="70"/>
      </w:pPr>
      <w:r>
        <w:rPr>
          <w:rFonts w:ascii="Liberation Sans" w:hAnsi="Liberation Sans"/>
          <w:color w:val="1E2D38"/>
          <w:sz w:val="18"/>
        </w:rPr>
        <w:t>Consider the quality and limits of evidence, client characteristics and preferences, therapist competence, and practical feasibility.</w:t>
      </w:r>
    </w:p>
    <w:p>
      <w:pPr>
        <w:pStyle w:val="ListBullet"/>
        <w:spacing w:after="70"/>
      </w:pPr>
      <w:r>
        <w:rPr>
          <w:rFonts w:ascii="Liberation Sans" w:hAnsi="Liberation Sans"/>
          <w:color w:val="1E2D38"/>
          <w:sz w:val="18"/>
        </w:rPr>
        <w:t>Do not force a model onto a client system whose goals, culture, access needs, safety, or readiness make it a poor fit.</w:t>
      </w:r>
    </w:p>
    <w:p>
      <w:pPr>
        <w:pStyle w:val="ListBullet"/>
        <w:spacing w:after="70"/>
      </w:pPr>
      <w:r>
        <w:rPr>
          <w:rFonts w:ascii="Liberation Sans" w:hAnsi="Liberation Sans"/>
          <w:color w:val="1E2D38"/>
          <w:sz w:val="18"/>
        </w:rPr>
        <w:t>Reassess when new information changes the treatment unit, formulation, level of care, or expected mechanism.</w:t>
      </w:r>
    </w:p>
    <w:p>
      <w:pPr>
        <w:pStyle w:val="Heading2"/>
      </w:pPr>
      <w:r>
        <w:t>Case Lab 1: Technique Before Formulation</w:t>
      </w:r>
    </w:p>
    <w:p>
      <w:pPr>
        <w:spacing w:after="90"/>
      </w:pPr>
      <w:r>
        <w:rPr>
          <w:rFonts w:ascii="Liberation Sans" w:hAnsi="Liberation Sans"/>
          <w:i w:val="0"/>
          <w:color w:val="1E2D38"/>
          <w:sz w:val="18"/>
        </w:rPr>
        <w:t>A therapist recently attended a workshop on a structured communication exercise and plans to use it with every couple. New clients Priya and Lena request help after repeated conflict about caregiving for an ill parent. The therapist has not clarified whether the conflict is driven primarily by workload, grief, cultural expectations, unspoken resentment, safety concerns, or a recurring pursue-withdraw sequence.</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the therapist do before assigning the familiar exercise?</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MATCH. Clarify the client and treatment unit, map the observable sequence and contextual demands, identify the agreed target, assess safety and readiness, elicit cultural meanings and preferences, and then choose a method whose mechanism fits. The exercise may eventually be useful, but familiarity is not sufficient rationale.</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Identified client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Treatment unit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Observable sequence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Individual/contextual contributors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Agreed target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Safety/readiness findings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Culture/access/preference factors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Proposed mechanism</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Chosen model/intervention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Response and revision indicator</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r>
        <w:br w:type="page"/>
      </w:r>
    </w:p>
    <w:p>
      <w:pPr>
        <w:spacing w:after="80"/>
      </w:pPr>
      <w:r>
        <w:rPr>
          <w:rFonts w:ascii="Liberation Sans" w:hAnsi="Liberation Sans"/>
          <w:b/>
          <w:color w:val="13A6A6"/>
          <w:sz w:val="28"/>
        </w:rPr>
        <w:t>CHAPTER 2</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Narrative Intervention and Re-Authoring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Narrative work treats people as meaning-makers rather than problem identities. Use collaborative language to externalize the problem, map effects and influence, locate unique outcomes, and strengthen preferred identity and action while preserving accountability and context.</w:t>
            </w:r>
          </w:p>
        </w:tc>
      </w:tr>
    </w:tbl>
    <w:p>
      <w:pPr>
        <w:spacing w:after="20"/>
      </w:pPr>
    </w:p>
    <w:p>
      <w:pPr>
        <w:pStyle w:val="Heading2"/>
      </w:pPr>
      <w:r>
        <w:t>The STORY Narrative Sequence</w:t>
      </w:r>
    </w:p>
    <w:tbl>
      <w:tblPr>
        <w:tblW w:type="dxa" w:w="10560"/>
        <w:jc w:val="left"/>
        <w:tblLayout w:type="fixed"/>
        <w:tblLook w:firstColumn="1" w:firstRow="1" w:lastColumn="0" w:lastRow="0" w:noHBand="0" w:noVBand="1" w:val="04A0"/>
        <w:tblInd w:w="0" w:type="dxa"/>
      </w:tblPr>
      <w:tblGrid>
        <w:gridCol w:w="2150"/>
        <w:gridCol w:w="8410"/>
      </w:tblGrid>
      <w:tr>
        <w:trPr>
          <w:tblHeader w:val="true"/>
          <w:cantSplit/>
        </w:trPr>
        <w:tc>
          <w:tcPr>
            <w:tcW w:type="dxa" w:w="215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841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150"/>
            <w:tcMar>
              <w:top w:w="90" w:type="dxa"/>
              <w:start w:w="120" w:type="dxa"/>
              <w:bottom w:w="90" w:type="dxa"/>
              <w:end w:w="120" w:type="dxa"/>
            </w:tcMar>
            <w:vAlign w:val="center"/>
          </w:tcPr>
          <w:p>
            <w:pPr>
              <w:spacing w:after="0" w:line="252" w:lineRule="auto"/>
            </w:pPr>
            <w:r/>
            <w:r>
              <w:rPr>
                <w:rFonts w:ascii="Liberation Sans" w:hAnsi="Liberation Sans"/>
                <w:color w:val="1E2D38"/>
                <w:sz w:val="17"/>
              </w:rPr>
              <w:t>S - Separate the person from the problem</w:t>
            </w:r>
          </w:p>
        </w:tc>
        <w:tc>
          <w:tcPr>
            <w:tcW w:type="dxa" w:w="8410"/>
            <w:tcMar>
              <w:top w:w="90" w:type="dxa"/>
              <w:start w:w="120" w:type="dxa"/>
              <w:bottom w:w="90" w:type="dxa"/>
              <w:end w:w="120" w:type="dxa"/>
            </w:tcMar>
            <w:vAlign w:val="center"/>
          </w:tcPr>
          <w:p>
            <w:pPr>
              <w:spacing w:after="0" w:line="252" w:lineRule="auto"/>
            </w:pPr>
            <w:r/>
            <w:r>
              <w:rPr>
                <w:rFonts w:ascii="Liberation Sans" w:hAnsi="Liberation Sans"/>
                <w:color w:val="1E2D38"/>
                <w:sz w:val="17"/>
              </w:rPr>
              <w:t>Use the client system's language to describe the problem as a pattern or influence rather than an identity.</w:t>
            </w:r>
          </w:p>
        </w:tc>
      </w:tr>
      <w:tr>
        <w:trPr>
          <w:cantSplit/>
        </w:trPr>
        <w:tc>
          <w:tcPr>
            <w:tcW w:type="dxa" w:w="21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T - Trace effects, influence, and context</w:t>
            </w:r>
          </w:p>
        </w:tc>
        <w:tc>
          <w:tcPr>
            <w:tcW w:type="dxa" w:w="84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Map how the problem affects relationships and how people respond; include power, culture, discrimination, resources, and material conditions.</w:t>
            </w:r>
          </w:p>
        </w:tc>
      </w:tr>
      <w:tr>
        <w:trPr>
          <w:cantSplit/>
        </w:trPr>
        <w:tc>
          <w:tcPr>
            <w:tcW w:type="dxa" w:w="2150"/>
            <w:tcMar>
              <w:top w:w="90" w:type="dxa"/>
              <w:start w:w="120" w:type="dxa"/>
              <w:bottom w:w="90" w:type="dxa"/>
              <w:end w:w="120" w:type="dxa"/>
            </w:tcMar>
            <w:vAlign w:val="center"/>
          </w:tcPr>
          <w:p>
            <w:pPr>
              <w:spacing w:after="0" w:line="252" w:lineRule="auto"/>
            </w:pPr>
            <w:r/>
            <w:r>
              <w:rPr>
                <w:rFonts w:ascii="Liberation Sans" w:hAnsi="Liberation Sans"/>
                <w:color w:val="1E2D38"/>
                <w:sz w:val="17"/>
              </w:rPr>
              <w:t>O - Open space for exceptions and unique outcomes</w:t>
            </w:r>
          </w:p>
        </w:tc>
        <w:tc>
          <w:tcPr>
            <w:tcW w:type="dxa" w:w="8410"/>
            <w:tcMar>
              <w:top w:w="90" w:type="dxa"/>
              <w:start w:w="120" w:type="dxa"/>
              <w:bottom w:w="90" w:type="dxa"/>
              <w:end w:w="120" w:type="dxa"/>
            </w:tcMar>
            <w:vAlign w:val="center"/>
          </w:tcPr>
          <w:p>
            <w:pPr>
              <w:spacing w:after="0" w:line="252" w:lineRule="auto"/>
            </w:pPr>
            <w:r/>
            <w:r>
              <w:rPr>
                <w:rFonts w:ascii="Liberation Sans" w:hAnsi="Liberation Sans"/>
                <w:color w:val="1E2D38"/>
                <w:sz w:val="17"/>
              </w:rPr>
              <w:t>Identify moments when the problem had less influence and ask what those moments reveal about skills, values, commitments, or relationships.</w:t>
            </w:r>
          </w:p>
        </w:tc>
      </w:tr>
      <w:tr>
        <w:trPr>
          <w:cantSplit/>
        </w:trPr>
        <w:tc>
          <w:tcPr>
            <w:tcW w:type="dxa" w:w="21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 - Re-author preferred identity and relationships</w:t>
            </w:r>
          </w:p>
        </w:tc>
        <w:tc>
          <w:tcPr>
            <w:tcW w:type="dxa" w:w="84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Develop a richer account of who clients are, what they stand for, and which relational futures they prefer.</w:t>
            </w:r>
          </w:p>
        </w:tc>
      </w:tr>
      <w:tr>
        <w:trPr>
          <w:cantSplit/>
        </w:trPr>
        <w:tc>
          <w:tcPr>
            <w:tcW w:type="dxa" w:w="2150"/>
            <w:tcMar>
              <w:top w:w="90" w:type="dxa"/>
              <w:start w:w="120" w:type="dxa"/>
              <w:bottom w:w="90" w:type="dxa"/>
              <w:end w:w="120" w:type="dxa"/>
            </w:tcMar>
            <w:vAlign w:val="center"/>
          </w:tcPr>
          <w:p>
            <w:pPr>
              <w:spacing w:after="0" w:line="252" w:lineRule="auto"/>
            </w:pPr>
            <w:r/>
            <w:r>
              <w:rPr>
                <w:rFonts w:ascii="Liberation Sans" w:hAnsi="Liberation Sans"/>
                <w:color w:val="1E2D38"/>
                <w:sz w:val="17"/>
              </w:rPr>
              <w:t>Y - Yield concrete next actions</w:t>
            </w:r>
          </w:p>
        </w:tc>
        <w:tc>
          <w:tcPr>
            <w:tcW w:type="dxa" w:w="8410"/>
            <w:tcMar>
              <w:top w:w="90" w:type="dxa"/>
              <w:start w:w="120" w:type="dxa"/>
              <w:bottom w:w="90" w:type="dxa"/>
              <w:end w:w="120" w:type="dxa"/>
            </w:tcMar>
            <w:vAlign w:val="center"/>
          </w:tcPr>
          <w:p>
            <w:pPr>
              <w:spacing w:after="0" w:line="252" w:lineRule="auto"/>
            </w:pPr>
            <w:r/>
            <w:r>
              <w:rPr>
                <w:rFonts w:ascii="Liberation Sans" w:hAnsi="Liberation Sans"/>
                <w:color w:val="1E2D38"/>
                <w:sz w:val="17"/>
              </w:rPr>
              <w:t>Translate the preferred account into observable actions, supportive audiences, documents, rituals, or reminders that clients choose.</w:t>
            </w:r>
          </w:p>
        </w:tc>
      </w:tr>
    </w:tbl>
    <w:p>
      <w:pPr>
        <w:spacing w:after="20"/>
      </w:pPr>
    </w:p>
    <w:p>
      <w:pPr>
        <w:pStyle w:val="Heading2"/>
      </w:pPr>
      <w:r>
        <w:t>Externalize Carefully</w:t>
      </w:r>
    </w:p>
    <w:tbl>
      <w:tblPr>
        <w:tblW w:type="dxa" w:w="10560"/>
        <w:jc w:val="left"/>
        <w:tblLayout w:type="fixed"/>
        <w:tblLook w:firstColumn="1" w:firstRow="1" w:lastColumn="0" w:lastRow="0" w:noHBand="0" w:noVBand="1" w:val="04A0"/>
        <w:tblInd w:w="0" w:type="dxa"/>
      </w:tblPr>
      <w:tblGrid>
        <w:gridCol w:w="3000"/>
        <w:gridCol w:w="7560"/>
      </w:tblGrid>
      <w:tr>
        <w:trPr>
          <w:tblHeader w:val="true"/>
          <w:cantSplit/>
        </w:trPr>
        <w:tc>
          <w:tcPr>
            <w:tcW w:type="dxa" w:w="3000"/>
            <w:shd w:fill="12385B"/>
            <w:tcMar>
              <w:top w:w="95" w:type="dxa"/>
              <w:start w:w="120" w:type="dxa"/>
              <w:bottom w:w="95" w:type="dxa"/>
              <w:end w:w="120" w:type="dxa"/>
            </w:tcMar>
            <w:vAlign w:val="center"/>
          </w:tcPr>
          <w:p>
            <w:pPr>
              <w:spacing w:after="0"/>
            </w:pPr>
            <w:r/>
            <w:r>
              <w:rPr>
                <w:rFonts w:ascii="Liberation Sans" w:hAnsi="Liberation Sans"/>
                <w:b/>
                <w:color w:val="FFFFFF"/>
                <w:sz w:val="17"/>
              </w:rPr>
              <w:t>Useful move</w:t>
            </w:r>
          </w:p>
        </w:tc>
        <w:tc>
          <w:tcPr>
            <w:tcW w:type="dxa" w:w="7560"/>
            <w:shd w:fill="12385B"/>
            <w:tcMar>
              <w:top w:w="95" w:type="dxa"/>
              <w:start w:w="120" w:type="dxa"/>
              <w:bottom w:w="95" w:type="dxa"/>
              <w:end w:w="120" w:type="dxa"/>
            </w:tcMar>
            <w:vAlign w:val="center"/>
          </w:tcPr>
          <w:p>
            <w:pPr>
              <w:spacing w:after="0"/>
            </w:pPr>
            <w:r/>
            <w:r>
              <w:rPr>
                <w:rFonts w:ascii="Liberation Sans" w:hAnsi="Liberation Sans"/>
                <w:b/>
                <w:color w:val="FFFFFF"/>
                <w:sz w:val="17"/>
              </w:rPr>
              <w:t>Safeguard</w:t>
            </w:r>
          </w:p>
        </w:tc>
      </w:tr>
      <w:tr>
        <w:trPr>
          <w:cantSplit/>
        </w:trPr>
        <w:tc>
          <w:tcPr>
            <w:tcW w:type="dxa" w:w="3000"/>
            <w:tcMar>
              <w:top w:w="90" w:type="dxa"/>
              <w:start w:w="120" w:type="dxa"/>
              <w:bottom w:w="90" w:type="dxa"/>
              <w:end w:w="120" w:type="dxa"/>
            </w:tcMar>
            <w:vAlign w:val="center"/>
          </w:tcPr>
          <w:p>
            <w:pPr>
              <w:spacing w:after="0" w:line="252" w:lineRule="auto"/>
            </w:pPr>
            <w:r/>
            <w:r>
              <w:rPr>
                <w:rFonts w:ascii="Liberation Sans" w:hAnsi="Liberation Sans"/>
                <w:color w:val="1E2D38"/>
                <w:sz w:val="17"/>
              </w:rPr>
              <w:t>Name the problem influence</w:t>
            </w:r>
          </w:p>
        </w:tc>
        <w:tc>
          <w:tcPr>
            <w:tcW w:type="dxa" w:w="7560"/>
            <w:tcMar>
              <w:top w:w="90" w:type="dxa"/>
              <w:start w:w="120" w:type="dxa"/>
              <w:bottom w:w="90" w:type="dxa"/>
              <w:end w:w="120" w:type="dxa"/>
            </w:tcMar>
            <w:vAlign w:val="center"/>
          </w:tcPr>
          <w:p>
            <w:pPr>
              <w:spacing w:after="0" w:line="252" w:lineRule="auto"/>
            </w:pPr>
            <w:r/>
            <w:r>
              <w:rPr>
                <w:rFonts w:ascii="Liberation Sans" w:hAnsi="Liberation Sans"/>
                <w:color w:val="1E2D38"/>
                <w:sz w:val="17"/>
              </w:rPr>
              <w:t>Use tentative, client-preferred language; do not impose a clever label or turn experience into a slogan.</w:t>
            </w:r>
          </w:p>
        </w:tc>
      </w:tr>
      <w:tr>
        <w:trPr>
          <w:cantSplit/>
        </w:trPr>
        <w:tc>
          <w:tcPr>
            <w:tcW w:type="dxa" w:w="30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Map effects</w:t>
            </w:r>
          </w:p>
        </w:tc>
        <w:tc>
          <w:tcPr>
            <w:tcW w:type="dxa" w:w="7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Ask about emotional, relational, practical, cultural, bodily, and opportunity costs without assuming every effect is negative.</w:t>
            </w:r>
          </w:p>
        </w:tc>
      </w:tr>
      <w:tr>
        <w:trPr>
          <w:cantSplit/>
        </w:trPr>
        <w:tc>
          <w:tcPr>
            <w:tcW w:type="dxa" w:w="3000"/>
            <w:tcMar>
              <w:top w:w="90" w:type="dxa"/>
              <w:start w:w="120" w:type="dxa"/>
              <w:bottom w:w="90" w:type="dxa"/>
              <w:end w:w="120" w:type="dxa"/>
            </w:tcMar>
            <w:vAlign w:val="center"/>
          </w:tcPr>
          <w:p>
            <w:pPr>
              <w:spacing w:after="0" w:line="252" w:lineRule="auto"/>
            </w:pPr>
            <w:r/>
            <w:r>
              <w:rPr>
                <w:rFonts w:ascii="Liberation Sans" w:hAnsi="Liberation Sans"/>
                <w:color w:val="1E2D38"/>
                <w:sz w:val="17"/>
              </w:rPr>
              <w:t>Map personal influence</w:t>
            </w:r>
          </w:p>
        </w:tc>
        <w:tc>
          <w:tcPr>
            <w:tcW w:type="dxa" w:w="7560"/>
            <w:tcMar>
              <w:top w:w="90" w:type="dxa"/>
              <w:start w:w="120" w:type="dxa"/>
              <w:bottom w:w="90" w:type="dxa"/>
              <w:end w:w="120" w:type="dxa"/>
            </w:tcMar>
            <w:vAlign w:val="center"/>
          </w:tcPr>
          <w:p>
            <w:pPr>
              <w:spacing w:after="0" w:line="252" w:lineRule="auto"/>
            </w:pPr>
            <w:r/>
            <w:r>
              <w:rPr>
                <w:rFonts w:ascii="Liberation Sans" w:hAnsi="Liberation Sans"/>
                <w:color w:val="1E2D38"/>
                <w:sz w:val="17"/>
              </w:rPr>
              <w:t>Identify responses, resistance, survival, responsibility, and support; avoid suggesting that clients are powerless.</w:t>
            </w:r>
          </w:p>
        </w:tc>
      </w:tr>
      <w:tr>
        <w:trPr>
          <w:cantSplit/>
        </w:trPr>
        <w:tc>
          <w:tcPr>
            <w:tcW w:type="dxa" w:w="30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Locate social discourse</w:t>
            </w:r>
          </w:p>
        </w:tc>
        <w:tc>
          <w:tcPr>
            <w:tcW w:type="dxa" w:w="7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Explore messages about family, gender, race, disability, faith, class, sexuality, success, or respect without reducing the person to a category.</w:t>
            </w:r>
          </w:p>
        </w:tc>
      </w:tr>
      <w:tr>
        <w:trPr>
          <w:cantSplit/>
        </w:trPr>
        <w:tc>
          <w:tcPr>
            <w:tcW w:type="dxa" w:w="3000"/>
            <w:tcMar>
              <w:top w:w="90" w:type="dxa"/>
              <w:start w:w="120" w:type="dxa"/>
              <w:bottom w:w="90" w:type="dxa"/>
              <w:end w:w="120" w:type="dxa"/>
            </w:tcMar>
            <w:vAlign w:val="center"/>
          </w:tcPr>
          <w:p>
            <w:pPr>
              <w:spacing w:after="0" w:line="252" w:lineRule="auto"/>
            </w:pPr>
            <w:r/>
            <w:r>
              <w:rPr>
                <w:rFonts w:ascii="Liberation Sans" w:hAnsi="Liberation Sans"/>
                <w:color w:val="1E2D38"/>
                <w:sz w:val="17"/>
              </w:rPr>
              <w:t>Preserve accountability</w:t>
            </w:r>
          </w:p>
        </w:tc>
        <w:tc>
          <w:tcPr>
            <w:tcW w:type="dxa" w:w="7560"/>
            <w:tcMar>
              <w:top w:w="90" w:type="dxa"/>
              <w:start w:w="120" w:type="dxa"/>
              <w:bottom w:w="90" w:type="dxa"/>
              <w:end w:w="120" w:type="dxa"/>
            </w:tcMar>
            <w:vAlign w:val="center"/>
          </w:tcPr>
          <w:p>
            <w:pPr>
              <w:spacing w:after="0" w:line="252" w:lineRule="auto"/>
            </w:pPr>
            <w:r/>
            <w:r>
              <w:rPr>
                <w:rFonts w:ascii="Liberation Sans" w:hAnsi="Liberation Sans"/>
                <w:color w:val="1E2D38"/>
                <w:sz w:val="17"/>
              </w:rPr>
              <w:t>Externalizing identity does not externalize choices, impact, repair obligations, or safety responsibility.</w:t>
            </w:r>
          </w:p>
        </w:tc>
      </w:tr>
    </w:tbl>
    <w:p>
      <w:pPr>
        <w:spacing w:after="20"/>
      </w:pPr>
    </w:p>
    <w:p>
      <w:pPr>
        <w:pStyle w:val="Heading2"/>
      </w:pPr>
      <w:r>
        <w:t>From Unique Outcome to Preferred Story</w:t>
      </w:r>
    </w:p>
    <w:p>
      <w:pPr>
        <w:pStyle w:val="ListBullet"/>
        <w:spacing w:after="70"/>
      </w:pPr>
      <w:r>
        <w:rPr>
          <w:rFonts w:ascii="Liberation Sans" w:hAnsi="Liberation Sans"/>
          <w:color w:val="1E2D38"/>
          <w:sz w:val="18"/>
        </w:rPr>
        <w:t>Identify a specific event that does not fit the problem-saturated account.</w:t>
      </w:r>
    </w:p>
    <w:p>
      <w:pPr>
        <w:pStyle w:val="ListBullet"/>
        <w:spacing w:after="70"/>
      </w:pPr>
      <w:r>
        <w:rPr>
          <w:rFonts w:ascii="Liberation Sans" w:hAnsi="Liberation Sans"/>
          <w:color w:val="1E2D38"/>
          <w:sz w:val="18"/>
        </w:rPr>
        <w:t>Ask what made the event possible and who noticed, supported, or would understand its significance.</w:t>
      </w:r>
    </w:p>
    <w:p>
      <w:pPr>
        <w:pStyle w:val="ListBullet"/>
        <w:spacing w:after="70"/>
      </w:pPr>
      <w:r>
        <w:rPr>
          <w:rFonts w:ascii="Liberation Sans" w:hAnsi="Liberation Sans"/>
          <w:color w:val="1E2D38"/>
          <w:sz w:val="18"/>
        </w:rPr>
        <w:t>Link the event to values, intentions, skills, commitments, relationships, or cultural knowledge.</w:t>
      </w:r>
    </w:p>
    <w:p>
      <w:pPr>
        <w:pStyle w:val="ListBullet"/>
        <w:spacing w:after="70"/>
      </w:pPr>
      <w:r>
        <w:rPr>
          <w:rFonts w:ascii="Liberation Sans" w:hAnsi="Liberation Sans"/>
          <w:color w:val="1E2D38"/>
          <w:sz w:val="18"/>
        </w:rPr>
        <w:t>Develop the account across time: where else has this quality appeared, and what future would it support?</w:t>
      </w:r>
    </w:p>
    <w:p>
      <w:pPr>
        <w:pStyle w:val="ListBullet"/>
        <w:spacing w:after="70"/>
      </w:pPr>
      <w:r>
        <w:rPr>
          <w:rFonts w:ascii="Liberation Sans" w:hAnsi="Liberation Sans"/>
          <w:color w:val="1E2D38"/>
          <w:sz w:val="18"/>
        </w:rPr>
        <w:t>Invite a small action, document, letter, ritual, witness, or reminder only when it fits client preference and privacy.</w:t>
      </w:r>
    </w:p>
    <w:p>
      <w:pPr>
        <w:pStyle w:val="ListBullet"/>
        <w:spacing w:after="70"/>
      </w:pPr>
      <w:r>
        <w:rPr>
          <w:rFonts w:ascii="Liberation Sans" w:hAnsi="Liberation Sans"/>
          <w:color w:val="1E2D38"/>
          <w:sz w:val="18"/>
        </w:rPr>
        <w:t>Evaluate whether the new story increases agency and connection rather than pressuring optimism or denying constraint.</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ACCOUNTABILITY BOUNDARY  </w:t>
            </w:r>
            <w:r>
              <w:rPr>
                <w:rFonts w:ascii="Liberation Sans" w:hAnsi="Liberation Sans"/>
                <w:color w:val="1E2D38"/>
                <w:sz w:val="18"/>
              </w:rPr>
              <w:t>Do not rename violence, coercion, exploitation, discrimination, or repeated harmful choices in a way that softens responsibility. A person is more than a harmful pattern and remains accountable for behavior, impact, safety, and repair.</w:t>
            </w:r>
          </w:p>
        </w:tc>
      </w:tr>
    </w:tbl>
    <w:p>
      <w:pPr>
        <w:spacing w:after="20"/>
      </w:pPr>
    </w:p>
    <w:p>
      <w:pPr>
        <w:pStyle w:val="Heading2"/>
      </w:pPr>
      <w:r>
        <w:t>Case Lab 2: The Problem-Saturated Identity</w:t>
      </w:r>
    </w:p>
    <w:p>
      <w:pPr>
        <w:spacing w:after="90"/>
      </w:pPr>
      <w:r>
        <w:rPr>
          <w:rFonts w:ascii="Liberation Sans" w:hAnsi="Liberation Sans"/>
          <w:i w:val="0"/>
          <w:color w:val="1E2D38"/>
          <w:sz w:val="18"/>
        </w:rPr>
        <w:t>A family repeatedly calls 16-year-old Mateo “the liar.” Mateo has hidden missed assignments and has also recently begun asking a teacher for help. Caregivers feel frightened about school failure and trust. Mateo says the label makes honesty feel pointless. There is no indication of immediate danger, but the academic and relational consequences are real.</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How can narrative work reduce the identity label without excusing concealment?</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STORY to separate Mateo from “the hiding pattern,” map its effects on trust and school functioning, explore what the pattern promises or protects, and identify moments when Mateo moved toward honesty or support. Develop a preferred account centered on responsibility and help-seeking, then choose an observable repair action. Preserve caregiver concerns and Mateo's accountability.</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Client-preferred problem name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Effects on each person/system</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Context and power</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Problem promises/protective function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Mateo's influence on the pattern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Unique outcome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Preferred identity/value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Accountability/repair need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Supportive audience or document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Next action and response indicator</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r>
        <w:br w:type="page"/>
      </w:r>
    </w:p>
    <w:p>
      <w:pPr>
        <w:spacing w:after="80"/>
      </w:pPr>
      <w:r>
        <w:rPr>
          <w:rFonts w:ascii="Liberation Sans" w:hAnsi="Liberation Sans"/>
          <w:b/>
          <w:color w:val="13A6A6"/>
          <w:sz w:val="28"/>
        </w:rPr>
        <w:t>CHAPTER 3</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Solution-Focused and Motivational Interviewing Approaches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Brief, collaborative methods build from client-defined futures, exceptions, resources, coping, autonomy, and change language. They do not bypass safety, invalidate suffering, or convert therapist preference into client motivation.</w:t>
            </w:r>
          </w:p>
        </w:tc>
      </w:tr>
    </w:tbl>
    <w:p>
      <w:pPr>
        <w:spacing w:after="20"/>
      </w:pPr>
    </w:p>
    <w:p>
      <w:pPr>
        <w:pStyle w:val="Heading2"/>
      </w:pPr>
      <w:r>
        <w:t>The SPARK Brief-Change Sequence</w:t>
      </w:r>
    </w:p>
    <w:tbl>
      <w:tblPr>
        <w:tblW w:type="dxa" w:w="10560"/>
        <w:jc w:val="left"/>
        <w:tblLayout w:type="fixed"/>
        <w:tblLook w:firstColumn="1" w:firstRow="1" w:lastColumn="0" w:lastRow="0" w:noHBand="0" w:noVBand="1" w:val="04A0"/>
        <w:tblInd w:w="0" w:type="dxa"/>
      </w:tblPr>
      <w:tblGrid>
        <w:gridCol w:w="2250"/>
        <w:gridCol w:w="8310"/>
      </w:tblGrid>
      <w:tr>
        <w:trPr>
          <w:tblHeader w:val="true"/>
          <w:cantSplit/>
        </w:trPr>
        <w:tc>
          <w:tcPr>
            <w:tcW w:type="dxa" w:w="225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831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250"/>
            <w:tcMar>
              <w:top w:w="90" w:type="dxa"/>
              <w:start w:w="120" w:type="dxa"/>
              <w:bottom w:w="90" w:type="dxa"/>
              <w:end w:w="120" w:type="dxa"/>
            </w:tcMar>
            <w:vAlign w:val="center"/>
          </w:tcPr>
          <w:p>
            <w:pPr>
              <w:spacing w:after="0" w:line="252" w:lineRule="auto"/>
            </w:pPr>
            <w:r/>
            <w:r>
              <w:rPr>
                <w:rFonts w:ascii="Liberation Sans" w:hAnsi="Liberation Sans"/>
                <w:color w:val="1E2D38"/>
                <w:sz w:val="16"/>
              </w:rPr>
              <w:t>S - Specify the preferred future</w:t>
            </w:r>
          </w:p>
        </w:tc>
        <w:tc>
          <w:tcPr>
            <w:tcW w:type="dxa" w:w="8310"/>
            <w:tcMar>
              <w:top w:w="90" w:type="dxa"/>
              <w:start w:w="120" w:type="dxa"/>
              <w:bottom w:w="90" w:type="dxa"/>
              <w:end w:w="120" w:type="dxa"/>
            </w:tcMar>
            <w:vAlign w:val="center"/>
          </w:tcPr>
          <w:p>
            <w:pPr>
              <w:spacing w:after="0" w:line="252" w:lineRule="auto"/>
            </w:pPr>
            <w:r/>
            <w:r>
              <w:rPr>
                <w:rFonts w:ascii="Liberation Sans" w:hAnsi="Liberation Sans"/>
                <w:color w:val="1E2D38"/>
                <w:sz w:val="16"/>
              </w:rPr>
              <w:t>Ask what clients want instead, how they would recognize it, and who would notice first.</w:t>
            </w:r>
          </w:p>
        </w:tc>
      </w:tr>
      <w:tr>
        <w:trPr>
          <w:cantSplit/>
        </w:trPr>
        <w:tc>
          <w:tcPr>
            <w:tcW w:type="dxa" w:w="22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P - Prioritize autonomy and readiness</w:t>
            </w:r>
          </w:p>
        </w:tc>
        <w:tc>
          <w:tcPr>
            <w:tcW w:type="dxa" w:w="83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Respect choice, clarify the focus, and determine whether the client is exploring, preparing, acting, or not seeking change.</w:t>
            </w:r>
          </w:p>
        </w:tc>
      </w:tr>
      <w:tr>
        <w:trPr>
          <w:cantSplit/>
        </w:trPr>
        <w:tc>
          <w:tcPr>
            <w:tcW w:type="dxa" w:w="2250"/>
            <w:tcMar>
              <w:top w:w="90" w:type="dxa"/>
              <w:start w:w="120" w:type="dxa"/>
              <w:bottom w:w="90" w:type="dxa"/>
              <w:end w:w="120" w:type="dxa"/>
            </w:tcMar>
            <w:vAlign w:val="center"/>
          </w:tcPr>
          <w:p>
            <w:pPr>
              <w:spacing w:after="0" w:line="252" w:lineRule="auto"/>
            </w:pPr>
            <w:r/>
            <w:r>
              <w:rPr>
                <w:rFonts w:ascii="Liberation Sans" w:hAnsi="Liberation Sans"/>
                <w:color w:val="1E2D38"/>
                <w:sz w:val="16"/>
              </w:rPr>
              <w:t>A - Ask about exceptions, scales, coping, and change talk</w:t>
            </w:r>
          </w:p>
        </w:tc>
        <w:tc>
          <w:tcPr>
            <w:tcW w:type="dxa" w:w="8310"/>
            <w:tcMar>
              <w:top w:w="90" w:type="dxa"/>
              <w:start w:w="120" w:type="dxa"/>
              <w:bottom w:w="90" w:type="dxa"/>
              <w:end w:w="120" w:type="dxa"/>
            </w:tcMar>
            <w:vAlign w:val="center"/>
          </w:tcPr>
          <w:p>
            <w:pPr>
              <w:spacing w:after="0" w:line="252" w:lineRule="auto"/>
            </w:pPr>
            <w:r/>
            <w:r>
              <w:rPr>
                <w:rFonts w:ascii="Liberation Sans" w:hAnsi="Liberation Sans"/>
                <w:color w:val="1E2D38"/>
                <w:sz w:val="16"/>
              </w:rPr>
              <w:t>Elicit detailed evidence of resources, movement, reasons, ability, need, commitment, and conditions that support change.</w:t>
            </w:r>
          </w:p>
        </w:tc>
      </w:tr>
      <w:tr>
        <w:trPr>
          <w:cantSplit/>
        </w:trPr>
        <w:tc>
          <w:tcPr>
            <w:tcW w:type="dxa" w:w="22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 - Reflect strengths and ambivalence</w:t>
            </w:r>
          </w:p>
        </w:tc>
        <w:tc>
          <w:tcPr>
            <w:tcW w:type="dxa" w:w="83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Use accurate reflections and summaries rather than cheerleading, confrontation, or selective listening.</w:t>
            </w:r>
          </w:p>
        </w:tc>
      </w:tr>
      <w:tr>
        <w:trPr>
          <w:cantSplit/>
        </w:trPr>
        <w:tc>
          <w:tcPr>
            <w:tcW w:type="dxa" w:w="2250"/>
            <w:tcMar>
              <w:top w:w="90" w:type="dxa"/>
              <w:start w:w="120" w:type="dxa"/>
              <w:bottom w:w="90" w:type="dxa"/>
              <w:end w:w="120" w:type="dxa"/>
            </w:tcMar>
            <w:vAlign w:val="center"/>
          </w:tcPr>
          <w:p>
            <w:pPr>
              <w:spacing w:after="0" w:line="252" w:lineRule="auto"/>
            </w:pPr>
            <w:r/>
            <w:r>
              <w:rPr>
                <w:rFonts w:ascii="Liberation Sans" w:hAnsi="Liberation Sans"/>
                <w:color w:val="1E2D38"/>
                <w:sz w:val="16"/>
              </w:rPr>
              <w:t>K - Keep the next step small and observable</w:t>
            </w:r>
          </w:p>
        </w:tc>
        <w:tc>
          <w:tcPr>
            <w:tcW w:type="dxa" w:w="8310"/>
            <w:tcMar>
              <w:top w:w="90" w:type="dxa"/>
              <w:start w:w="120" w:type="dxa"/>
              <w:bottom w:w="90" w:type="dxa"/>
              <w:end w:w="120" w:type="dxa"/>
            </w:tcMar>
            <w:vAlign w:val="center"/>
          </w:tcPr>
          <w:p>
            <w:pPr>
              <w:spacing w:after="0" w:line="252" w:lineRule="auto"/>
            </w:pPr>
            <w:r/>
            <w:r>
              <w:rPr>
                <w:rFonts w:ascii="Liberation Sans" w:hAnsi="Liberation Sans"/>
                <w:color w:val="1E2D38"/>
                <w:sz w:val="16"/>
              </w:rPr>
              <w:t>Translate insight or scale movement into a feasible client-chosen action and review what happens.</w:t>
            </w:r>
          </w:p>
        </w:tc>
      </w:tr>
    </w:tbl>
    <w:p>
      <w:pPr>
        <w:spacing w:after="20"/>
      </w:pPr>
    </w:p>
    <w:p>
      <w:pPr>
        <w:pStyle w:val="Heading2"/>
      </w:pPr>
      <w:r>
        <w:t>Solution-Focused Questions: Sequence Matters</w:t>
      </w:r>
    </w:p>
    <w:tbl>
      <w:tblPr>
        <w:tblW w:type="dxa" w:w="10560"/>
        <w:jc w:val="left"/>
        <w:tblLayout w:type="fixed"/>
        <w:tblLook w:firstColumn="1" w:firstRow="1" w:lastColumn="0" w:lastRow="0" w:noHBand="0" w:noVBand="1" w:val="04A0"/>
        <w:tblInd w:w="0" w:type="dxa"/>
      </w:tblPr>
      <w:tblGrid>
        <w:gridCol w:w="1900"/>
        <w:gridCol w:w="4370"/>
        <w:gridCol w:w="4290"/>
      </w:tblGrid>
      <w:tr>
        <w:trPr>
          <w:tblHeader w:val="true"/>
          <w:cantSplit/>
        </w:trPr>
        <w:tc>
          <w:tcPr>
            <w:tcW w:type="dxa" w:w="1900"/>
            <w:shd w:fill="12385B"/>
            <w:tcMar>
              <w:top w:w="95" w:type="dxa"/>
              <w:start w:w="120" w:type="dxa"/>
              <w:bottom w:w="95" w:type="dxa"/>
              <w:end w:w="120" w:type="dxa"/>
            </w:tcMar>
            <w:vAlign w:val="center"/>
          </w:tcPr>
          <w:p>
            <w:pPr>
              <w:spacing w:after="0"/>
            </w:pPr>
            <w:r/>
            <w:r>
              <w:rPr>
                <w:rFonts w:ascii="Liberation Sans" w:hAnsi="Liberation Sans"/>
                <w:b/>
                <w:color w:val="FFFFFF"/>
                <w:sz w:val="17"/>
              </w:rPr>
              <w:t>Question type</w:t>
            </w:r>
          </w:p>
        </w:tc>
        <w:tc>
          <w:tcPr>
            <w:tcW w:type="dxa" w:w="4370"/>
            <w:shd w:fill="12385B"/>
            <w:tcMar>
              <w:top w:w="95" w:type="dxa"/>
              <w:start w:w="120" w:type="dxa"/>
              <w:bottom w:w="95" w:type="dxa"/>
              <w:end w:w="120" w:type="dxa"/>
            </w:tcMar>
            <w:vAlign w:val="center"/>
          </w:tcPr>
          <w:p>
            <w:pPr>
              <w:spacing w:after="0"/>
            </w:pPr>
            <w:r/>
            <w:r>
              <w:rPr>
                <w:rFonts w:ascii="Liberation Sans" w:hAnsi="Liberation Sans"/>
                <w:b/>
                <w:color w:val="FFFFFF"/>
                <w:sz w:val="17"/>
              </w:rPr>
              <w:t>Purpose</w:t>
            </w:r>
          </w:p>
        </w:tc>
        <w:tc>
          <w:tcPr>
            <w:tcW w:type="dxa" w:w="4290"/>
            <w:shd w:fill="12385B"/>
            <w:tcMar>
              <w:top w:w="95" w:type="dxa"/>
              <w:start w:w="120" w:type="dxa"/>
              <w:bottom w:w="95" w:type="dxa"/>
              <w:end w:w="120" w:type="dxa"/>
            </w:tcMar>
            <w:vAlign w:val="center"/>
          </w:tcPr>
          <w:p>
            <w:pPr>
              <w:spacing w:after="0"/>
            </w:pPr>
            <w:r/>
            <w:r>
              <w:rPr>
                <w:rFonts w:ascii="Liberation Sans" w:hAnsi="Liberation Sans"/>
                <w:b/>
                <w:color w:val="FFFFFF"/>
                <w:sz w:val="17"/>
              </w:rPr>
              <w:t>Common misuse</w:t>
            </w:r>
          </w:p>
        </w:tc>
      </w:tr>
      <w:tr>
        <w:trPr>
          <w:cantSplit/>
        </w:trPr>
        <w:tc>
          <w:tcPr>
            <w:tcW w:type="dxa" w:w="1900"/>
            <w:tcMar>
              <w:top w:w="90" w:type="dxa"/>
              <w:start w:w="120" w:type="dxa"/>
              <w:bottom w:w="90" w:type="dxa"/>
              <w:end w:w="120" w:type="dxa"/>
            </w:tcMar>
            <w:vAlign w:val="center"/>
          </w:tcPr>
          <w:p>
            <w:pPr>
              <w:spacing w:after="0" w:line="252" w:lineRule="auto"/>
            </w:pPr>
            <w:r/>
            <w:r>
              <w:rPr>
                <w:rFonts w:ascii="Liberation Sans" w:hAnsi="Liberation Sans"/>
                <w:color w:val="1E2D38"/>
                <w:sz w:val="16"/>
              </w:rPr>
              <w:t>Preferred future</w:t>
            </w:r>
          </w:p>
        </w:tc>
        <w:tc>
          <w:tcPr>
            <w:tcW w:type="dxa" w:w="4370"/>
            <w:tcMar>
              <w:top w:w="90" w:type="dxa"/>
              <w:start w:w="120" w:type="dxa"/>
              <w:bottom w:w="90" w:type="dxa"/>
              <w:end w:w="120" w:type="dxa"/>
            </w:tcMar>
            <w:vAlign w:val="center"/>
          </w:tcPr>
          <w:p>
            <w:pPr>
              <w:spacing w:after="0" w:line="252" w:lineRule="auto"/>
            </w:pPr>
            <w:r/>
            <w:r>
              <w:rPr>
                <w:rFonts w:ascii="Liberation Sans" w:hAnsi="Liberation Sans"/>
                <w:color w:val="1E2D38"/>
                <w:sz w:val="16"/>
              </w:rPr>
              <w:t>Make desired change observable and relationally meaningful.</w:t>
            </w:r>
          </w:p>
        </w:tc>
        <w:tc>
          <w:tcPr>
            <w:tcW w:type="dxa" w:w="4290"/>
            <w:tcMar>
              <w:top w:w="90" w:type="dxa"/>
              <w:start w:w="120" w:type="dxa"/>
              <w:bottom w:w="90" w:type="dxa"/>
              <w:end w:w="120" w:type="dxa"/>
            </w:tcMar>
            <w:vAlign w:val="center"/>
          </w:tcPr>
          <w:p>
            <w:pPr>
              <w:spacing w:after="0" w:line="252" w:lineRule="auto"/>
            </w:pPr>
            <w:r/>
            <w:r>
              <w:rPr>
                <w:rFonts w:ascii="Liberation Sans" w:hAnsi="Liberation Sans"/>
                <w:color w:val="1E2D38"/>
                <w:sz w:val="16"/>
              </w:rPr>
              <w:t>Asking for an ideal future before validating crisis, loss, discrimination, or concrete barriers.</w:t>
            </w:r>
          </w:p>
        </w:tc>
      </w:tr>
      <w:tr>
        <w:trPr>
          <w:cantSplit/>
        </w:trPr>
        <w:tc>
          <w:tcPr>
            <w:tcW w:type="dxa" w:w="1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Exception</w:t>
            </w:r>
          </w:p>
        </w:tc>
        <w:tc>
          <w:tcPr>
            <w:tcW w:type="dxa" w:w="437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Identify when the concern is absent, less intense, or handled differently.</w:t>
            </w:r>
          </w:p>
        </w:tc>
        <w:tc>
          <w:tcPr>
            <w:tcW w:type="dxa" w:w="429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Treating one exception as proof that the problem is easy or fully controllable.</w:t>
            </w:r>
          </w:p>
        </w:tc>
      </w:tr>
      <w:tr>
        <w:trPr>
          <w:cantSplit/>
        </w:trPr>
        <w:tc>
          <w:tcPr>
            <w:tcW w:type="dxa" w:w="1900"/>
            <w:tcMar>
              <w:top w:w="90" w:type="dxa"/>
              <w:start w:w="120" w:type="dxa"/>
              <w:bottom w:w="90" w:type="dxa"/>
              <w:end w:w="120" w:type="dxa"/>
            </w:tcMar>
            <w:vAlign w:val="center"/>
          </w:tcPr>
          <w:p>
            <w:pPr>
              <w:spacing w:after="0" w:line="252" w:lineRule="auto"/>
            </w:pPr>
            <w:r/>
            <w:r>
              <w:rPr>
                <w:rFonts w:ascii="Liberation Sans" w:hAnsi="Liberation Sans"/>
                <w:color w:val="1E2D38"/>
                <w:sz w:val="16"/>
              </w:rPr>
              <w:t>Coping</w:t>
            </w:r>
          </w:p>
        </w:tc>
        <w:tc>
          <w:tcPr>
            <w:tcW w:type="dxa" w:w="4370"/>
            <w:tcMar>
              <w:top w:w="90" w:type="dxa"/>
              <w:start w:w="120" w:type="dxa"/>
              <w:bottom w:w="90" w:type="dxa"/>
              <w:end w:w="120" w:type="dxa"/>
            </w:tcMar>
            <w:vAlign w:val="center"/>
          </w:tcPr>
          <w:p>
            <w:pPr>
              <w:spacing w:after="0" w:line="252" w:lineRule="auto"/>
            </w:pPr>
            <w:r/>
            <w:r>
              <w:rPr>
                <w:rFonts w:ascii="Liberation Sans" w:hAnsi="Liberation Sans"/>
                <w:color w:val="1E2D38"/>
                <w:sz w:val="16"/>
              </w:rPr>
              <w:t>Recognize survival, persistence, support, and what prevents worsening.</w:t>
            </w:r>
          </w:p>
        </w:tc>
        <w:tc>
          <w:tcPr>
            <w:tcW w:type="dxa" w:w="4290"/>
            <w:tcMar>
              <w:top w:w="90" w:type="dxa"/>
              <w:start w:w="120" w:type="dxa"/>
              <w:bottom w:w="90" w:type="dxa"/>
              <w:end w:w="120" w:type="dxa"/>
            </w:tcMar>
            <w:vAlign w:val="center"/>
          </w:tcPr>
          <w:p>
            <w:pPr>
              <w:spacing w:after="0" w:line="252" w:lineRule="auto"/>
            </w:pPr>
            <w:r/>
            <w:r>
              <w:rPr>
                <w:rFonts w:ascii="Liberation Sans" w:hAnsi="Liberation Sans"/>
                <w:color w:val="1E2D38"/>
                <w:sz w:val="16"/>
              </w:rPr>
              <w:t>Romanticizing endurance or overlooking that coping is exhausted.</w:t>
            </w:r>
          </w:p>
        </w:tc>
      </w:tr>
      <w:tr>
        <w:trPr>
          <w:cantSplit/>
        </w:trPr>
        <w:tc>
          <w:tcPr>
            <w:tcW w:type="dxa" w:w="1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Scaling</w:t>
            </w:r>
          </w:p>
        </w:tc>
        <w:tc>
          <w:tcPr>
            <w:tcW w:type="dxa" w:w="437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Clarify position, meaning, resources, confidence, readiness, or progress.</w:t>
            </w:r>
          </w:p>
        </w:tc>
        <w:tc>
          <w:tcPr>
            <w:tcW w:type="dxa" w:w="429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Using a number as a score without exploring what it represents.</w:t>
            </w:r>
          </w:p>
        </w:tc>
      </w:tr>
      <w:tr>
        <w:trPr>
          <w:cantSplit/>
        </w:trPr>
        <w:tc>
          <w:tcPr>
            <w:tcW w:type="dxa" w:w="1900"/>
            <w:tcMar>
              <w:top w:w="90" w:type="dxa"/>
              <w:start w:w="120" w:type="dxa"/>
              <w:bottom w:w="90" w:type="dxa"/>
              <w:end w:w="120" w:type="dxa"/>
            </w:tcMar>
            <w:vAlign w:val="center"/>
          </w:tcPr>
          <w:p>
            <w:pPr>
              <w:spacing w:after="0" w:line="252" w:lineRule="auto"/>
            </w:pPr>
            <w:r/>
            <w:r>
              <w:rPr>
                <w:rFonts w:ascii="Liberation Sans" w:hAnsi="Liberation Sans"/>
                <w:color w:val="1E2D38"/>
                <w:sz w:val="16"/>
              </w:rPr>
              <w:t>Next-step</w:t>
            </w:r>
          </w:p>
        </w:tc>
        <w:tc>
          <w:tcPr>
            <w:tcW w:type="dxa" w:w="4370"/>
            <w:tcMar>
              <w:top w:w="90" w:type="dxa"/>
              <w:start w:w="120" w:type="dxa"/>
              <w:bottom w:w="90" w:type="dxa"/>
              <w:end w:w="120" w:type="dxa"/>
            </w:tcMar>
            <w:vAlign w:val="center"/>
          </w:tcPr>
          <w:p>
            <w:pPr>
              <w:spacing w:after="0" w:line="252" w:lineRule="auto"/>
            </w:pPr>
            <w:r/>
            <w:r>
              <w:rPr>
                <w:rFonts w:ascii="Liberation Sans" w:hAnsi="Liberation Sans"/>
                <w:color w:val="1E2D38"/>
                <w:sz w:val="16"/>
              </w:rPr>
              <w:t>Convert existing resources into a small observable experiment.</w:t>
            </w:r>
          </w:p>
        </w:tc>
        <w:tc>
          <w:tcPr>
            <w:tcW w:type="dxa" w:w="4290"/>
            <w:tcMar>
              <w:top w:w="90" w:type="dxa"/>
              <w:start w:w="120" w:type="dxa"/>
              <w:bottom w:w="90" w:type="dxa"/>
              <w:end w:w="120" w:type="dxa"/>
            </w:tcMar>
            <w:vAlign w:val="center"/>
          </w:tcPr>
          <w:p>
            <w:pPr>
              <w:spacing w:after="0" w:line="252" w:lineRule="auto"/>
            </w:pPr>
            <w:r/>
            <w:r>
              <w:rPr>
                <w:rFonts w:ascii="Liberation Sans" w:hAnsi="Liberation Sans"/>
                <w:color w:val="1E2D38"/>
                <w:sz w:val="16"/>
              </w:rPr>
              <w:t>Assigning a therapist-selected task that ignores access, culture, or preference.</w:t>
            </w:r>
          </w:p>
        </w:tc>
      </w:tr>
    </w:tbl>
    <w:p>
      <w:pPr>
        <w:spacing w:after="20"/>
      </w:pPr>
    </w:p>
    <w:p>
      <w:pPr>
        <w:pStyle w:val="Heading2"/>
      </w:pPr>
      <w:r>
        <w:t>Motivational Interviewing: Evoke, Do Not Persuade</w:t>
      </w:r>
    </w:p>
    <w:tbl>
      <w:tblPr>
        <w:tblW w:type="dxa" w:w="10560"/>
        <w:jc w:val="left"/>
        <w:tblLayout w:type="fixed"/>
        <w:tblLook w:firstColumn="1" w:firstRow="1" w:lastColumn="0" w:lastRow="0" w:noHBand="0" w:noVBand="1" w:val="04A0"/>
        <w:tblInd w:w="0" w:type="dxa"/>
      </w:tblPr>
      <w:tblGrid>
        <w:gridCol w:w="2200"/>
        <w:gridCol w:w="8360"/>
      </w:tblGrid>
      <w:tr>
        <w:trPr>
          <w:tblHeader w:val="true"/>
          <w:cantSplit/>
        </w:trPr>
        <w:tc>
          <w:tcPr>
            <w:tcW w:type="dxa" w:w="2200"/>
            <w:shd w:fill="12385B"/>
            <w:tcMar>
              <w:top w:w="95" w:type="dxa"/>
              <w:start w:w="120" w:type="dxa"/>
              <w:bottom w:w="95" w:type="dxa"/>
              <w:end w:w="120" w:type="dxa"/>
            </w:tcMar>
            <w:vAlign w:val="center"/>
          </w:tcPr>
          <w:p>
            <w:pPr>
              <w:spacing w:after="0"/>
            </w:pPr>
            <w:r/>
            <w:r>
              <w:rPr>
                <w:rFonts w:ascii="Liberation Sans" w:hAnsi="Liberation Sans"/>
                <w:b/>
                <w:color w:val="FFFFFF"/>
                <w:sz w:val="17"/>
              </w:rPr>
              <w:t>Signal</w:t>
            </w:r>
          </w:p>
        </w:tc>
        <w:tc>
          <w:tcPr>
            <w:tcW w:type="dxa" w:w="8360"/>
            <w:shd w:fill="12385B"/>
            <w:tcMar>
              <w:top w:w="95" w:type="dxa"/>
              <w:start w:w="120" w:type="dxa"/>
              <w:bottom w:w="95" w:type="dxa"/>
              <w:end w:w="120" w:type="dxa"/>
            </w:tcMar>
            <w:vAlign w:val="center"/>
          </w:tcPr>
          <w:p>
            <w:pPr>
              <w:spacing w:after="0"/>
            </w:pPr>
            <w:r/>
            <w:r>
              <w:rPr>
                <w:rFonts w:ascii="Liberation Sans" w:hAnsi="Liberation Sans"/>
                <w:b/>
                <w:color w:val="FFFFFF"/>
                <w:sz w:val="17"/>
              </w:rPr>
              <w:t>Therapist response</w:t>
            </w:r>
          </w:p>
        </w:tc>
      </w:tr>
      <w:tr>
        <w:trPr>
          <w:cantSplit/>
        </w:trPr>
        <w:tc>
          <w:tcPr>
            <w:tcW w:type="dxa" w:w="2200"/>
            <w:tcMar>
              <w:top w:w="90" w:type="dxa"/>
              <w:start w:w="120" w:type="dxa"/>
              <w:bottom w:w="90" w:type="dxa"/>
              <w:end w:w="120" w:type="dxa"/>
            </w:tcMar>
            <w:vAlign w:val="center"/>
          </w:tcPr>
          <w:p>
            <w:pPr>
              <w:spacing w:after="0" w:line="252" w:lineRule="auto"/>
            </w:pPr>
            <w:r/>
            <w:r>
              <w:rPr>
                <w:rFonts w:ascii="Liberation Sans" w:hAnsi="Liberation Sans"/>
                <w:color w:val="1E2D38"/>
                <w:sz w:val="16"/>
              </w:rPr>
              <w:t>Ambivalence</w:t>
            </w:r>
          </w:p>
        </w:tc>
        <w:tc>
          <w:tcPr>
            <w:tcW w:type="dxa" w:w="8360"/>
            <w:tcMar>
              <w:top w:w="90" w:type="dxa"/>
              <w:start w:w="120" w:type="dxa"/>
              <w:bottom w:w="90" w:type="dxa"/>
              <w:end w:w="120" w:type="dxa"/>
            </w:tcMar>
            <w:vAlign w:val="center"/>
          </w:tcPr>
          <w:p>
            <w:pPr>
              <w:spacing w:after="0" w:line="252" w:lineRule="auto"/>
            </w:pPr>
            <w:r/>
            <w:r>
              <w:rPr>
                <w:rFonts w:ascii="Liberation Sans" w:hAnsi="Liberation Sans"/>
                <w:color w:val="1E2D38"/>
                <w:sz w:val="16"/>
              </w:rPr>
              <w:t>Reflect both the reasons to change and the reasons not to change; avoid taking the pro-change side of an argument.</w:t>
            </w:r>
          </w:p>
        </w:tc>
      </w:tr>
      <w:tr>
        <w:trPr>
          <w:cantSplit/>
        </w:trPr>
        <w:tc>
          <w:tcPr>
            <w:tcW w:type="dxa" w:w="22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Change talk</w:t>
            </w:r>
          </w:p>
        </w:tc>
        <w:tc>
          <w:tcPr>
            <w:tcW w:type="dxa" w:w="83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Explore desire, ability, reasons, need, commitment, activation, and steps in the client's own words.</w:t>
            </w:r>
          </w:p>
        </w:tc>
      </w:tr>
      <w:tr>
        <w:trPr>
          <w:cantSplit/>
        </w:trPr>
        <w:tc>
          <w:tcPr>
            <w:tcW w:type="dxa" w:w="2200"/>
            <w:tcMar>
              <w:top w:w="90" w:type="dxa"/>
              <w:start w:w="120" w:type="dxa"/>
              <w:bottom w:w="90" w:type="dxa"/>
              <w:end w:w="120" w:type="dxa"/>
            </w:tcMar>
            <w:vAlign w:val="center"/>
          </w:tcPr>
          <w:p>
            <w:pPr>
              <w:spacing w:after="0" w:line="252" w:lineRule="auto"/>
            </w:pPr>
            <w:r/>
            <w:r>
              <w:rPr>
                <w:rFonts w:ascii="Liberation Sans" w:hAnsi="Liberation Sans"/>
                <w:color w:val="1E2D38"/>
                <w:sz w:val="16"/>
              </w:rPr>
              <w:t>Sustain talk</w:t>
            </w:r>
          </w:p>
        </w:tc>
        <w:tc>
          <w:tcPr>
            <w:tcW w:type="dxa" w:w="8360"/>
            <w:tcMar>
              <w:top w:w="90" w:type="dxa"/>
              <w:start w:w="120" w:type="dxa"/>
              <w:bottom w:w="90" w:type="dxa"/>
              <w:end w:w="120" w:type="dxa"/>
            </w:tcMar>
            <w:vAlign w:val="center"/>
          </w:tcPr>
          <w:p>
            <w:pPr>
              <w:spacing w:after="0" w:line="252" w:lineRule="auto"/>
            </w:pPr>
            <w:r/>
            <w:r>
              <w:rPr>
                <w:rFonts w:ascii="Liberation Sans" w:hAnsi="Liberation Sans"/>
                <w:color w:val="1E2D38"/>
                <w:sz w:val="16"/>
              </w:rPr>
              <w:t>Listen without labeling resistance; understand values, concerns, costs, identity, and context.</w:t>
            </w:r>
          </w:p>
        </w:tc>
      </w:tr>
      <w:tr>
        <w:trPr>
          <w:cantSplit/>
        </w:trPr>
        <w:tc>
          <w:tcPr>
            <w:tcW w:type="dxa" w:w="22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Discord</w:t>
            </w:r>
          </w:p>
        </w:tc>
        <w:tc>
          <w:tcPr>
            <w:tcW w:type="dxa" w:w="83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Attend to relational strain, autonomy threat, misattunement, or an imposed focus; repair rather than intensify persuasion.</w:t>
            </w:r>
          </w:p>
        </w:tc>
      </w:tr>
      <w:tr>
        <w:trPr>
          <w:cantSplit/>
        </w:trPr>
        <w:tc>
          <w:tcPr>
            <w:tcW w:type="dxa" w:w="2200"/>
            <w:tcMar>
              <w:top w:w="90" w:type="dxa"/>
              <w:start w:w="120" w:type="dxa"/>
              <w:bottom w:w="90" w:type="dxa"/>
              <w:end w:w="120" w:type="dxa"/>
            </w:tcMar>
            <w:vAlign w:val="center"/>
          </w:tcPr>
          <w:p>
            <w:pPr>
              <w:spacing w:after="0" w:line="252" w:lineRule="auto"/>
            </w:pPr>
            <w:r/>
            <w:r>
              <w:rPr>
                <w:rFonts w:ascii="Liberation Sans" w:hAnsi="Liberation Sans"/>
                <w:color w:val="1E2D38"/>
                <w:sz w:val="16"/>
              </w:rPr>
              <w:t>Planning readiness</w:t>
            </w:r>
          </w:p>
        </w:tc>
        <w:tc>
          <w:tcPr>
            <w:tcW w:type="dxa" w:w="8360"/>
            <w:tcMar>
              <w:top w:w="90" w:type="dxa"/>
              <w:start w:w="120" w:type="dxa"/>
              <w:bottom w:w="90" w:type="dxa"/>
              <w:end w:w="120" w:type="dxa"/>
            </w:tcMar>
            <w:vAlign w:val="center"/>
          </w:tcPr>
          <w:p>
            <w:pPr>
              <w:spacing w:after="0" w:line="252" w:lineRule="auto"/>
            </w:pPr>
            <w:r/>
            <w:r>
              <w:rPr>
                <w:rFonts w:ascii="Liberation Sans" w:hAnsi="Liberation Sans"/>
                <w:color w:val="1E2D38"/>
                <w:sz w:val="16"/>
              </w:rPr>
              <w:t>Move toward a plan when commitment and readiness are present; otherwise continue exploration and support autonomy.</w:t>
            </w:r>
          </w:p>
        </w:tc>
      </w:tr>
    </w:tbl>
    <w:p>
      <w:pPr>
        <w:spacing w:after="20"/>
      </w:pPr>
    </w:p>
    <w:p>
      <w:pPr>
        <w:pStyle w:val="Heading2"/>
      </w:pPr>
      <w:r>
        <w:t>Case Lab 3: Exceptions, Scaling, and an Observable Step</w:t>
      </w:r>
    </w:p>
    <w:p>
      <w:pPr>
        <w:spacing w:after="90"/>
      </w:pPr>
      <w:r>
        <w:rPr>
          <w:rFonts w:ascii="Liberation Sans" w:hAnsi="Liberation Sans"/>
          <w:i w:val="0"/>
          <w:color w:val="1E2D38"/>
          <w:sz w:val="18"/>
        </w:rPr>
        <w:t>Dana and Bo say, “We never cooperate in the mornings.” Asked about a recent morning that was even slightly better, they recall preparing school bags the night before and using one shared reminder. They rate current cooperation 3 out of 10 and say a 4 would mean one calm handoff before leaving home.</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the therapist do with the exception and scale information?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SPARK to build detail around what was different, who contributed, and why it mattered. Clarify the preferred 4-out-of-10 interaction, identify the smallest feasible repeatable step, and ask what could interfere. Treat the experiment as information and review its effects rather than promising that the exception is a complete solution.</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Preferred future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Exception details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Each person's contribution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Resources/supports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Meaning of current scale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Observable sign of one-point movement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Small next step</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Feasibility/access barriers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What each person will notice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Review and revision question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r>
        <w:br w:type="page"/>
      </w:r>
    </w:p>
    <w:p>
      <w:pPr>
        <w:pStyle w:val="Heading2"/>
      </w:pPr>
      <w:r>
        <w:t>Case Lab 4: Ambivalence Is Not a Cue to Argue</w:t>
      </w:r>
    </w:p>
    <w:p>
      <w:pPr>
        <w:spacing w:after="90"/>
      </w:pPr>
      <w:r>
        <w:rPr>
          <w:rFonts w:ascii="Liberation Sans" w:hAnsi="Liberation Sans"/>
          <w:i w:val="0"/>
          <w:color w:val="1E2D38"/>
          <w:sz w:val="18"/>
        </w:rPr>
        <w:t>Noor says cannabis helps with sleep and connection with friends but is also contributing to missed morning responsibilities and conflict with a partner. Noor says, “Part of me wants to cut back, and part of me thinks everyone is overreacting.” The therapist believes reduction would help and feels tempted to list consequences.</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response best supports autonomous change talk?</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SPARK to reflect both sides accurately, ask permission before offering information, and evoke Noor's own values, concerns, reasons, ability, and preferred next step. Do not recruit the partner to pressure change or treat sustain talk as defiance. Assess safety, impairment, and level-of-care needs separately when indicated.</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Change talk</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Sustain talk</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Values/identity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Autonomy-supporting reflection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Question that evokes reasons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Information requiring permission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Safety/impairment assessment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Readiness for planning</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Client-chosen next step</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Follow-up indicator</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r>
        <w:br w:type="page"/>
      </w:r>
    </w:p>
    <w:p>
      <w:pPr>
        <w:spacing w:after="80"/>
      </w:pPr>
      <w:r>
        <w:rPr>
          <w:rFonts w:ascii="Liberation Sans" w:hAnsi="Liberation Sans"/>
          <w:b/>
          <w:color w:val="13A6A6"/>
          <w:sz w:val="28"/>
        </w:rPr>
        <w:t>CHAPTER 4</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Experiential and Emotion-Focused Process Work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Experiential work uses present-moment process, emotion, meaning, embodiment, therapist presence, and relational contact to create new experience. Regulation, permission, choice, and pacing determine whether evocation is therapeutic.</w:t>
            </w:r>
          </w:p>
        </w:tc>
      </w:tr>
    </w:tbl>
    <w:p>
      <w:pPr>
        <w:spacing w:after="20"/>
      </w:pPr>
    </w:p>
    <w:p>
      <w:pPr>
        <w:pStyle w:val="Heading2"/>
      </w:pPr>
      <w:r>
        <w:t>The FEEL Experiential Sequence</w:t>
      </w:r>
    </w:p>
    <w:tbl>
      <w:tblPr>
        <w:tblW w:type="dxa" w:w="10560"/>
        <w:jc w:val="left"/>
        <w:tblLayout w:type="fixed"/>
        <w:tblLook w:firstColumn="1" w:firstRow="1" w:lastColumn="0" w:lastRow="0" w:noHBand="0" w:noVBand="1" w:val="04A0"/>
        <w:tblInd w:w="0" w:type="dxa"/>
      </w:tblPr>
      <w:tblGrid>
        <w:gridCol w:w="2250"/>
        <w:gridCol w:w="8310"/>
      </w:tblGrid>
      <w:tr>
        <w:trPr>
          <w:tblHeader w:val="true"/>
          <w:cantSplit/>
        </w:trPr>
        <w:tc>
          <w:tcPr>
            <w:tcW w:type="dxa" w:w="225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831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250"/>
            <w:tcMar>
              <w:top w:w="90" w:type="dxa"/>
              <w:start w:w="120" w:type="dxa"/>
              <w:bottom w:w="90" w:type="dxa"/>
              <w:end w:w="120" w:type="dxa"/>
            </w:tcMar>
            <w:vAlign w:val="center"/>
          </w:tcPr>
          <w:p>
            <w:pPr>
              <w:spacing w:after="0" w:line="252" w:lineRule="auto"/>
            </w:pPr>
            <w:r/>
            <w:r>
              <w:rPr>
                <w:rFonts w:ascii="Liberation Sans" w:hAnsi="Liberation Sans"/>
                <w:color w:val="1E2D38"/>
                <w:sz w:val="17"/>
              </w:rPr>
              <w:t>F - Focus present process</w:t>
            </w:r>
          </w:p>
        </w:tc>
        <w:tc>
          <w:tcPr>
            <w:tcW w:type="dxa" w:w="8310"/>
            <w:tcMar>
              <w:top w:w="90" w:type="dxa"/>
              <w:start w:w="120" w:type="dxa"/>
              <w:bottom w:w="90" w:type="dxa"/>
              <w:end w:w="120" w:type="dxa"/>
            </w:tcMar>
            <w:vAlign w:val="center"/>
          </w:tcPr>
          <w:p>
            <w:pPr>
              <w:spacing w:after="0" w:line="252" w:lineRule="auto"/>
            </w:pPr>
            <w:r/>
            <w:r>
              <w:rPr>
                <w:rFonts w:ascii="Liberation Sans" w:hAnsi="Liberation Sans"/>
                <w:color w:val="1E2D38"/>
                <w:sz w:val="17"/>
              </w:rPr>
              <w:t>Slow down and notice what is happening now in emotion, body, meaning, interaction, and therapist-client contact.</w:t>
            </w:r>
          </w:p>
        </w:tc>
      </w:tr>
      <w:tr>
        <w:trPr>
          <w:cantSplit/>
        </w:trPr>
        <w:tc>
          <w:tcPr>
            <w:tcW w:type="dxa" w:w="22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 - Establish regulation, permission, and choice</w:t>
            </w:r>
          </w:p>
        </w:tc>
        <w:tc>
          <w:tcPr>
            <w:tcW w:type="dxa" w:w="83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Assess tolerance, consent, safety, and alternatives; clarify that the client may pause or decline.</w:t>
            </w:r>
          </w:p>
        </w:tc>
      </w:tr>
      <w:tr>
        <w:trPr>
          <w:cantSplit/>
        </w:trPr>
        <w:tc>
          <w:tcPr>
            <w:tcW w:type="dxa" w:w="2250"/>
            <w:tcMar>
              <w:top w:w="90" w:type="dxa"/>
              <w:start w:w="120" w:type="dxa"/>
              <w:bottom w:w="90" w:type="dxa"/>
              <w:end w:w="120" w:type="dxa"/>
            </w:tcMar>
            <w:vAlign w:val="center"/>
          </w:tcPr>
          <w:p>
            <w:pPr>
              <w:spacing w:after="0" w:line="252" w:lineRule="auto"/>
            </w:pPr>
            <w:r/>
            <w:r>
              <w:rPr>
                <w:rFonts w:ascii="Liberation Sans" w:hAnsi="Liberation Sans"/>
                <w:color w:val="1E2D38"/>
                <w:sz w:val="17"/>
              </w:rPr>
              <w:t>E - Evoke emotion and meaning within tolerance</w:t>
            </w:r>
          </w:p>
        </w:tc>
        <w:tc>
          <w:tcPr>
            <w:tcW w:type="dxa" w:w="8310"/>
            <w:tcMar>
              <w:top w:w="90" w:type="dxa"/>
              <w:start w:w="120" w:type="dxa"/>
              <w:bottom w:w="90" w:type="dxa"/>
              <w:end w:w="120" w:type="dxa"/>
            </w:tcMar>
            <w:vAlign w:val="center"/>
          </w:tcPr>
          <w:p>
            <w:pPr>
              <w:spacing w:after="0" w:line="252" w:lineRule="auto"/>
            </w:pPr>
            <w:r/>
            <w:r>
              <w:rPr>
                <w:rFonts w:ascii="Liberation Sans" w:hAnsi="Liberation Sans"/>
                <w:color w:val="1E2D38"/>
                <w:sz w:val="17"/>
              </w:rPr>
              <w:t>Deepen, symbolize, enact, or express only as far as the client can remain oriented and engaged.</w:t>
            </w:r>
          </w:p>
        </w:tc>
      </w:tr>
      <w:tr>
        <w:trPr>
          <w:cantSplit/>
        </w:trPr>
        <w:tc>
          <w:tcPr>
            <w:tcW w:type="dxa" w:w="22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L - Link experience to the relational pattern</w:t>
            </w:r>
          </w:p>
        </w:tc>
        <w:tc>
          <w:tcPr>
            <w:tcW w:type="dxa" w:w="83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Connect present experience to protection, unmet need, identity, interaction, and the treatment target.</w:t>
            </w:r>
          </w:p>
        </w:tc>
      </w:tr>
      <w:tr>
        <w:trPr>
          <w:cantSplit/>
        </w:trPr>
        <w:tc>
          <w:tcPr>
            <w:tcW w:type="dxa" w:w="2250"/>
            <w:tcMar>
              <w:top w:w="90" w:type="dxa"/>
              <w:start w:w="120" w:type="dxa"/>
              <w:bottom w:w="90" w:type="dxa"/>
              <w:end w:w="120" w:type="dxa"/>
            </w:tcMar>
            <w:vAlign w:val="center"/>
          </w:tcPr>
          <w:p>
            <w:pPr>
              <w:spacing w:after="0" w:line="252" w:lineRule="auto"/>
            </w:pPr>
            <w:r/>
            <w:r>
              <w:rPr>
                <w:rFonts w:ascii="Liberation Sans" w:hAnsi="Liberation Sans"/>
                <w:color w:val="1E2D38"/>
                <w:sz w:val="17"/>
              </w:rPr>
              <w:t>L - Leverage new expression or action</w:t>
            </w:r>
          </w:p>
        </w:tc>
        <w:tc>
          <w:tcPr>
            <w:tcW w:type="dxa" w:w="8310"/>
            <w:tcMar>
              <w:top w:w="90" w:type="dxa"/>
              <w:start w:w="120" w:type="dxa"/>
              <w:bottom w:w="90" w:type="dxa"/>
              <w:end w:w="120" w:type="dxa"/>
            </w:tcMar>
            <w:vAlign w:val="center"/>
          </w:tcPr>
          <w:p>
            <w:pPr>
              <w:spacing w:after="0" w:line="252" w:lineRule="auto"/>
            </w:pPr>
            <w:r/>
            <w:r>
              <w:rPr>
                <w:rFonts w:ascii="Liberation Sans" w:hAnsi="Liberation Sans"/>
                <w:color w:val="1E2D38"/>
                <w:sz w:val="17"/>
              </w:rPr>
              <w:t>Shape a congruent statement, boundary, request, compassionate response, or other new contact; process impact.</w:t>
            </w:r>
          </w:p>
        </w:tc>
      </w:tr>
    </w:tbl>
    <w:p>
      <w:pPr>
        <w:spacing w:after="20"/>
      </w:pPr>
    </w:p>
    <w:p>
      <w:pPr>
        <w:pStyle w:val="Heading2"/>
      </w:pPr>
      <w:r>
        <w:t>Regulation Before Evocation</w:t>
      </w:r>
    </w:p>
    <w:tbl>
      <w:tblPr>
        <w:tblW w:type="dxa" w:w="10560"/>
        <w:jc w:val="left"/>
        <w:tblLayout w:type="fixed"/>
        <w:tblLook w:firstColumn="1" w:firstRow="1" w:lastColumn="0" w:lastRow="0" w:noHBand="0" w:noVBand="1" w:val="04A0"/>
        <w:tblInd w:w="0" w:type="dxa"/>
      </w:tblPr>
      <w:tblGrid>
        <w:gridCol w:w="3000"/>
        <w:gridCol w:w="7560"/>
      </w:tblGrid>
      <w:tr>
        <w:trPr>
          <w:tblHeader w:val="true"/>
          <w:cantSplit/>
        </w:trPr>
        <w:tc>
          <w:tcPr>
            <w:tcW w:type="dxa" w:w="3000"/>
            <w:shd w:fill="12385B"/>
            <w:tcMar>
              <w:top w:w="95" w:type="dxa"/>
              <w:start w:w="120" w:type="dxa"/>
              <w:bottom w:w="95" w:type="dxa"/>
              <w:end w:w="120" w:type="dxa"/>
            </w:tcMar>
            <w:vAlign w:val="center"/>
          </w:tcPr>
          <w:p>
            <w:pPr>
              <w:spacing w:after="0"/>
            </w:pPr>
            <w:r/>
            <w:r>
              <w:rPr>
                <w:rFonts w:ascii="Liberation Sans" w:hAnsi="Liberation Sans"/>
                <w:b/>
                <w:color w:val="FFFFFF"/>
                <w:sz w:val="17"/>
              </w:rPr>
              <w:t>Observe</w:t>
            </w:r>
          </w:p>
        </w:tc>
        <w:tc>
          <w:tcPr>
            <w:tcW w:type="dxa" w:w="7560"/>
            <w:shd w:fill="12385B"/>
            <w:tcMar>
              <w:top w:w="95" w:type="dxa"/>
              <w:start w:w="120" w:type="dxa"/>
              <w:bottom w:w="95" w:type="dxa"/>
              <w:end w:w="120" w:type="dxa"/>
            </w:tcMar>
            <w:vAlign w:val="center"/>
          </w:tcPr>
          <w:p>
            <w:pPr>
              <w:spacing w:after="0"/>
            </w:pPr>
            <w:r/>
            <w:r>
              <w:rPr>
                <w:rFonts w:ascii="Liberation Sans" w:hAnsi="Liberation Sans"/>
                <w:b/>
                <w:color w:val="FFFFFF"/>
                <w:sz w:val="17"/>
              </w:rPr>
              <w:t>Possible response</w:t>
            </w:r>
          </w:p>
        </w:tc>
      </w:tr>
      <w:tr>
        <w:trPr>
          <w:cantSplit/>
        </w:trPr>
        <w:tc>
          <w:tcPr>
            <w:tcW w:type="dxa" w:w="3000"/>
            <w:tcMar>
              <w:top w:w="90" w:type="dxa"/>
              <w:start w:w="120" w:type="dxa"/>
              <w:bottom w:w="90" w:type="dxa"/>
              <w:end w:w="120" w:type="dxa"/>
            </w:tcMar>
            <w:vAlign w:val="center"/>
          </w:tcPr>
          <w:p>
            <w:pPr>
              <w:spacing w:after="0" w:line="252" w:lineRule="auto"/>
            </w:pPr>
            <w:r/>
            <w:r>
              <w:rPr>
                <w:rFonts w:ascii="Liberation Sans" w:hAnsi="Liberation Sans"/>
                <w:color w:val="1E2D38"/>
                <w:sz w:val="17"/>
              </w:rPr>
              <w:t>Tolerable activation</w:t>
            </w:r>
          </w:p>
        </w:tc>
        <w:tc>
          <w:tcPr>
            <w:tcW w:type="dxa" w:w="7560"/>
            <w:tcMar>
              <w:top w:w="90" w:type="dxa"/>
              <w:start w:w="120" w:type="dxa"/>
              <w:bottom w:w="90" w:type="dxa"/>
              <w:end w:w="120" w:type="dxa"/>
            </w:tcMar>
            <w:vAlign w:val="center"/>
          </w:tcPr>
          <w:p>
            <w:pPr>
              <w:spacing w:after="0" w:line="252" w:lineRule="auto"/>
            </w:pPr>
            <w:r/>
            <w:r>
              <w:rPr>
                <w:rFonts w:ascii="Liberation Sans" w:hAnsi="Liberation Sans"/>
                <w:color w:val="1E2D38"/>
                <w:sz w:val="17"/>
              </w:rPr>
              <w:t>Slow the process, name experience tentatively, confirm permission, and support continued contact.</w:t>
            </w:r>
          </w:p>
        </w:tc>
      </w:tr>
      <w:tr>
        <w:trPr>
          <w:cantSplit/>
        </w:trPr>
        <w:tc>
          <w:tcPr>
            <w:tcW w:type="dxa" w:w="30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Flooding or escalating conflict</w:t>
            </w:r>
          </w:p>
        </w:tc>
        <w:tc>
          <w:tcPr>
            <w:tcW w:type="dxa" w:w="7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Reduce intensity, orient to the room, support physiological regulation, and reconsider the task.</w:t>
            </w:r>
          </w:p>
        </w:tc>
      </w:tr>
      <w:tr>
        <w:trPr>
          <w:cantSplit/>
        </w:trPr>
        <w:tc>
          <w:tcPr>
            <w:tcW w:type="dxa" w:w="3000"/>
            <w:tcMar>
              <w:top w:w="90" w:type="dxa"/>
              <w:start w:w="120" w:type="dxa"/>
              <w:bottom w:w="90" w:type="dxa"/>
              <w:end w:w="120" w:type="dxa"/>
            </w:tcMar>
            <w:vAlign w:val="center"/>
          </w:tcPr>
          <w:p>
            <w:pPr>
              <w:spacing w:after="0" w:line="252" w:lineRule="auto"/>
            </w:pPr>
            <w:r/>
            <w:r>
              <w:rPr>
                <w:rFonts w:ascii="Liberation Sans" w:hAnsi="Liberation Sans"/>
                <w:color w:val="1E2D38"/>
                <w:sz w:val="17"/>
              </w:rPr>
              <w:t>Shutdown, freezing, or dissociation</w:t>
            </w:r>
          </w:p>
        </w:tc>
        <w:tc>
          <w:tcPr>
            <w:tcW w:type="dxa" w:w="7560"/>
            <w:tcMar>
              <w:top w:w="90" w:type="dxa"/>
              <w:start w:w="120" w:type="dxa"/>
              <w:bottom w:w="90" w:type="dxa"/>
              <w:end w:w="120" w:type="dxa"/>
            </w:tcMar>
            <w:vAlign w:val="center"/>
          </w:tcPr>
          <w:p>
            <w:pPr>
              <w:spacing w:after="0" w:line="252" w:lineRule="auto"/>
            </w:pPr>
            <w:r/>
            <w:r>
              <w:rPr>
                <w:rFonts w:ascii="Liberation Sans" w:hAnsi="Liberation Sans"/>
                <w:color w:val="1E2D38"/>
                <w:sz w:val="17"/>
              </w:rPr>
              <w:t>Stop deeper inward focus, reorient externally, restore choice, assess safety, and use trauma-informed alternatives.</w:t>
            </w:r>
          </w:p>
        </w:tc>
      </w:tr>
      <w:tr>
        <w:trPr>
          <w:cantSplit/>
        </w:trPr>
        <w:tc>
          <w:tcPr>
            <w:tcW w:type="dxa" w:w="30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Compliance without ownership</w:t>
            </w:r>
          </w:p>
        </w:tc>
        <w:tc>
          <w:tcPr>
            <w:tcW w:type="dxa" w:w="7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Ask what the client wants, whether the exercise fits, and how therapist influence or power is affecting participation.</w:t>
            </w:r>
          </w:p>
        </w:tc>
      </w:tr>
      <w:tr>
        <w:trPr>
          <w:cantSplit/>
        </w:trPr>
        <w:tc>
          <w:tcPr>
            <w:tcW w:type="dxa" w:w="3000"/>
            <w:tcMar>
              <w:top w:w="90" w:type="dxa"/>
              <w:start w:w="120" w:type="dxa"/>
              <w:bottom w:w="90" w:type="dxa"/>
              <w:end w:w="120" w:type="dxa"/>
            </w:tcMar>
            <w:vAlign w:val="center"/>
          </w:tcPr>
          <w:p>
            <w:pPr>
              <w:spacing w:after="0" w:line="252" w:lineRule="auto"/>
            </w:pPr>
            <w:r/>
            <w:r>
              <w:rPr>
                <w:rFonts w:ascii="Liberation Sans" w:hAnsi="Liberation Sans"/>
                <w:color w:val="1E2D38"/>
                <w:sz w:val="17"/>
              </w:rPr>
              <w:t>Shame or alliance rupture</w:t>
            </w:r>
          </w:p>
        </w:tc>
        <w:tc>
          <w:tcPr>
            <w:tcW w:type="dxa" w:w="7560"/>
            <w:tcMar>
              <w:top w:w="90" w:type="dxa"/>
              <w:start w:w="120" w:type="dxa"/>
              <w:bottom w:w="90" w:type="dxa"/>
              <w:end w:w="120" w:type="dxa"/>
            </w:tcMar>
            <w:vAlign w:val="center"/>
          </w:tcPr>
          <w:p>
            <w:pPr>
              <w:spacing w:after="0" w:line="252" w:lineRule="auto"/>
            </w:pPr>
            <w:r/>
            <w:r>
              <w:rPr>
                <w:rFonts w:ascii="Liberation Sans" w:hAnsi="Liberation Sans"/>
                <w:color w:val="1E2D38"/>
                <w:sz w:val="17"/>
              </w:rPr>
              <w:t>Name the impact, invite correction, repair therapist contribution, and do not defend the technique.</w:t>
            </w:r>
          </w:p>
        </w:tc>
      </w:tr>
    </w:tbl>
    <w:p>
      <w:pPr>
        <w:spacing w:after="20"/>
      </w:pPr>
    </w:p>
    <w:p>
      <w:pPr>
        <w:pStyle w:val="Heading2"/>
      </w:pPr>
      <w:r>
        <w:t>Therapist Use of Self</w:t>
      </w:r>
    </w:p>
    <w:p>
      <w:pPr>
        <w:pStyle w:val="ListBullet"/>
        <w:spacing w:after="70"/>
      </w:pPr>
      <w:r>
        <w:rPr>
          <w:rFonts w:ascii="Liberation Sans" w:hAnsi="Liberation Sans"/>
          <w:color w:val="1E2D38"/>
          <w:sz w:val="18"/>
        </w:rPr>
        <w:t>Use immediacy or therapist observation to illuminate present process, not to make the session about the therapist.</w:t>
      </w:r>
    </w:p>
    <w:p>
      <w:pPr>
        <w:pStyle w:val="ListBullet"/>
        <w:spacing w:after="70"/>
      </w:pPr>
      <w:r>
        <w:rPr>
          <w:rFonts w:ascii="Liberation Sans" w:hAnsi="Liberation Sans"/>
          <w:color w:val="1E2D38"/>
          <w:sz w:val="18"/>
        </w:rPr>
        <w:t>Offer interpretations tentatively and check resonance; emotional intensity does not prove accuracy.</w:t>
      </w:r>
    </w:p>
    <w:p>
      <w:pPr>
        <w:pStyle w:val="ListBullet"/>
        <w:spacing w:after="70"/>
      </w:pPr>
      <w:r>
        <w:rPr>
          <w:rFonts w:ascii="Liberation Sans" w:hAnsi="Liberation Sans"/>
          <w:color w:val="1E2D38"/>
          <w:sz w:val="18"/>
        </w:rPr>
        <w:t>Track rescue impulses, pressure for catharsis, discomfort with silence, cultural assumptions about expression, and preference for visible emotion.</w:t>
      </w:r>
    </w:p>
    <w:p>
      <w:pPr>
        <w:pStyle w:val="ListBullet"/>
        <w:spacing w:after="70"/>
      </w:pPr>
      <w:r>
        <w:rPr>
          <w:rFonts w:ascii="Liberation Sans" w:hAnsi="Liberation Sans"/>
          <w:color w:val="1E2D38"/>
          <w:sz w:val="18"/>
        </w:rPr>
        <w:t>Adapt for neurodivergence, disability, language, spirituality, trauma history, and communication style; congruent contact can look different across clients.</w:t>
      </w:r>
    </w:p>
    <w:p>
      <w:pPr>
        <w:pStyle w:val="ListBullet"/>
        <w:spacing w:after="70"/>
      </w:pPr>
      <w:r>
        <w:rPr>
          <w:rFonts w:ascii="Liberation Sans" w:hAnsi="Liberation Sans"/>
          <w:color w:val="1E2D38"/>
          <w:sz w:val="18"/>
        </w:rPr>
        <w:t>Process the intervention afterward: what changed, what felt helpful or intrusive, and what should happen next?</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PACING SAFEGUARD  </w:t>
            </w:r>
            <w:r>
              <w:rPr>
                <w:rFonts w:ascii="Liberation Sans" w:hAnsi="Liberation Sans"/>
                <w:color w:val="1E2D38"/>
                <w:sz w:val="18"/>
              </w:rPr>
              <w:t>Do not equate intensity, tears, disclosure, catharsis, or compliance with progress. The best next step may be to slow down, orient externally, restore choice, repair the alliance, or select a less evocative method.</w:t>
            </w:r>
          </w:p>
        </w:tc>
      </w:tr>
    </w:tbl>
    <w:p>
      <w:pPr>
        <w:spacing w:after="20"/>
      </w:pPr>
    </w:p>
    <w:p>
      <w:pPr>
        <w:pStyle w:val="Heading2"/>
      </w:pPr>
      <w:r>
        <w:t>Case Lab 5: When Emotion Exceeds the Window</w:t>
      </w:r>
    </w:p>
    <w:p>
      <w:pPr>
        <w:spacing w:after="90"/>
      </w:pPr>
      <w:r>
        <w:rPr>
          <w:rFonts w:ascii="Liberation Sans" w:hAnsi="Liberation Sans"/>
          <w:i w:val="0"/>
          <w:color w:val="1E2D38"/>
          <w:sz w:val="18"/>
        </w:rPr>
        <w:t>During a family exercise, Sam begins breathing rapidly, stops responding to questions, and stares past the therapist. Another family member continues urging Sam to “finally say what happened.” The therapist had obtained general consent for experiential work but did not discuss how anyone could pause the exercise.</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the therapist do first?</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FEEL by stopping evocation, reducing social pressure, orienting Sam to the present environment, restoring explicit choice, and assessing regulation, dissociation, safety, and immediate needs. Do not continue for the sake of completion. Later, repair informed consent and decide whether a different pace, format, skill, consultation, or referral is indicated.</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Observed signs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Immediate pause language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External orientation options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Safety/dissociation questions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Choice and consent repair</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Family boundary needed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Therapist contribution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Alternative intervention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Consultation/referral need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Reassessment indicator</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r>
        <w:br w:type="page"/>
      </w:r>
    </w:p>
    <w:p>
      <w:pPr>
        <w:spacing w:after="80"/>
      </w:pPr>
      <w:r>
        <w:rPr>
          <w:rFonts w:ascii="Liberation Sans" w:hAnsi="Liberation Sans"/>
          <w:b/>
          <w:color w:val="13A6A6"/>
          <w:sz w:val="28"/>
        </w:rPr>
        <w:t>CHAPTER 5</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Behavioral and Cognitive Interventions in Relational Systems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Behavioral and cognitive methods are systemic when they connect antecedents, appraisals, actions, consequences, reinforcement, and reciprocal effects across people and contexts. Assessment precedes the experiment; response data guide revision.</w:t>
            </w:r>
          </w:p>
        </w:tc>
      </w:tr>
    </w:tbl>
    <w:p>
      <w:pPr>
        <w:spacing w:after="20"/>
      </w:pPr>
    </w:p>
    <w:p>
      <w:pPr>
        <w:pStyle w:val="Heading2"/>
      </w:pPr>
      <w:r>
        <w:t>The CHANGE Behavioral-Cognitive Sequence</w:t>
      </w:r>
    </w:p>
    <w:tbl>
      <w:tblPr>
        <w:tblW w:type="dxa" w:w="10560"/>
        <w:jc w:val="left"/>
        <w:tblLayout w:type="fixed"/>
        <w:tblLook w:firstColumn="1" w:firstRow="1" w:lastColumn="0" w:lastRow="0" w:noHBand="0" w:noVBand="1" w:val="04A0"/>
        <w:tblInd w:w="0" w:type="dxa"/>
      </w:tblPr>
      <w:tblGrid>
        <w:gridCol w:w="2350"/>
        <w:gridCol w:w="8210"/>
      </w:tblGrid>
      <w:tr>
        <w:trPr>
          <w:tblHeader w:val="true"/>
          <w:cantSplit/>
        </w:trPr>
        <w:tc>
          <w:tcPr>
            <w:tcW w:type="dxa" w:w="235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821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350"/>
            <w:tcMar>
              <w:top w:w="90" w:type="dxa"/>
              <w:start w:w="120" w:type="dxa"/>
              <w:bottom w:w="90" w:type="dxa"/>
              <w:end w:w="120" w:type="dxa"/>
            </w:tcMar>
            <w:vAlign w:val="center"/>
          </w:tcPr>
          <w:p>
            <w:pPr>
              <w:spacing w:after="0" w:line="252" w:lineRule="auto"/>
            </w:pPr>
            <w:r/>
            <w:r>
              <w:rPr>
                <w:rFonts w:ascii="Liberation Sans" w:hAnsi="Liberation Sans"/>
                <w:color w:val="1E2D38"/>
                <w:sz w:val="17"/>
              </w:rPr>
              <w:t>C - Clarify the behavioral, cognitive, and relational target</w:t>
            </w:r>
          </w:p>
        </w:tc>
        <w:tc>
          <w:tcPr>
            <w:tcW w:type="dxa" w:w="8210"/>
            <w:tcMar>
              <w:top w:w="90" w:type="dxa"/>
              <w:start w:w="120" w:type="dxa"/>
              <w:bottom w:w="90" w:type="dxa"/>
              <w:end w:w="120" w:type="dxa"/>
            </w:tcMar>
            <w:vAlign w:val="center"/>
          </w:tcPr>
          <w:p>
            <w:pPr>
              <w:spacing w:after="0" w:line="252" w:lineRule="auto"/>
            </w:pPr>
            <w:r/>
            <w:r>
              <w:rPr>
                <w:rFonts w:ascii="Liberation Sans" w:hAnsi="Liberation Sans"/>
                <w:color w:val="1E2D38"/>
                <w:sz w:val="17"/>
              </w:rPr>
              <w:t>Define what each participant does, thinks, predicts, or avoids and how the target connects to agreed goals.</w:t>
            </w:r>
          </w:p>
        </w:tc>
      </w:tr>
      <w:tr>
        <w:trPr>
          <w:cantSplit/>
        </w:trPr>
        <w:tc>
          <w:tcPr>
            <w:tcW w:type="dxa" w:w="23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H - Hunt antecedents, consequences, appraisals, and reciprocal effects</w:t>
            </w:r>
          </w:p>
        </w:tc>
        <w:tc>
          <w:tcPr>
            <w:tcW w:type="dxa" w:w="82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Map cues, meanings, behavior, short-term payoff, long-term cost, and how one response becomes the next person's cue.</w:t>
            </w:r>
          </w:p>
        </w:tc>
      </w:tr>
      <w:tr>
        <w:trPr>
          <w:cantSplit/>
        </w:trPr>
        <w:tc>
          <w:tcPr>
            <w:tcW w:type="dxa" w:w="2350"/>
            <w:tcMar>
              <w:top w:w="90" w:type="dxa"/>
              <w:start w:w="120" w:type="dxa"/>
              <w:bottom w:w="90" w:type="dxa"/>
              <w:end w:w="120" w:type="dxa"/>
            </w:tcMar>
            <w:vAlign w:val="center"/>
          </w:tcPr>
          <w:p>
            <w:pPr>
              <w:spacing w:after="0" w:line="252" w:lineRule="auto"/>
            </w:pPr>
            <w:r/>
            <w:r>
              <w:rPr>
                <w:rFonts w:ascii="Liberation Sans" w:hAnsi="Liberation Sans"/>
                <w:color w:val="1E2D38"/>
                <w:sz w:val="17"/>
              </w:rPr>
              <w:t>A - Arrange a skill or experiment</w:t>
            </w:r>
          </w:p>
        </w:tc>
        <w:tc>
          <w:tcPr>
            <w:tcW w:type="dxa" w:w="8210"/>
            <w:tcMar>
              <w:top w:w="90" w:type="dxa"/>
              <w:start w:w="120" w:type="dxa"/>
              <w:bottom w:w="90" w:type="dxa"/>
              <w:end w:w="120" w:type="dxa"/>
            </w:tcMar>
            <w:vAlign w:val="center"/>
          </w:tcPr>
          <w:p>
            <w:pPr>
              <w:spacing w:after="0" w:line="252" w:lineRule="auto"/>
            </w:pPr>
            <w:r/>
            <w:r>
              <w:rPr>
                <w:rFonts w:ascii="Liberation Sans" w:hAnsi="Liberation Sans"/>
                <w:color w:val="1E2D38"/>
                <w:sz w:val="17"/>
              </w:rPr>
              <w:t>Select a feasible, consensual practice that tests the hypothesis and includes necessary supports.</w:t>
            </w:r>
          </w:p>
        </w:tc>
      </w:tr>
      <w:tr>
        <w:trPr>
          <w:cantSplit/>
        </w:trPr>
        <w:tc>
          <w:tcPr>
            <w:tcW w:type="dxa" w:w="23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N - Notice response</w:t>
            </w:r>
          </w:p>
        </w:tc>
        <w:tc>
          <w:tcPr>
            <w:tcW w:type="dxa" w:w="82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Track behavior, emotion, cognition, relationship impact, adherence, barriers, and unintended effects.</w:t>
            </w:r>
          </w:p>
        </w:tc>
      </w:tr>
      <w:tr>
        <w:trPr>
          <w:cantSplit/>
        </w:trPr>
        <w:tc>
          <w:tcPr>
            <w:tcW w:type="dxa" w:w="2350"/>
            <w:tcMar>
              <w:top w:w="90" w:type="dxa"/>
              <w:start w:w="120" w:type="dxa"/>
              <w:bottom w:w="90" w:type="dxa"/>
              <w:end w:w="120" w:type="dxa"/>
            </w:tcMar>
            <w:vAlign w:val="center"/>
          </w:tcPr>
          <w:p>
            <w:pPr>
              <w:spacing w:after="0" w:line="252" w:lineRule="auto"/>
            </w:pPr>
            <w:r/>
            <w:r>
              <w:rPr>
                <w:rFonts w:ascii="Liberation Sans" w:hAnsi="Liberation Sans"/>
                <w:color w:val="1E2D38"/>
                <w:sz w:val="17"/>
              </w:rPr>
              <w:t>G - Generalize learning</w:t>
            </w:r>
          </w:p>
        </w:tc>
        <w:tc>
          <w:tcPr>
            <w:tcW w:type="dxa" w:w="8210"/>
            <w:tcMar>
              <w:top w:w="90" w:type="dxa"/>
              <w:start w:w="120" w:type="dxa"/>
              <w:bottom w:w="90" w:type="dxa"/>
              <w:end w:w="120" w:type="dxa"/>
            </w:tcMar>
            <w:vAlign w:val="center"/>
          </w:tcPr>
          <w:p>
            <w:pPr>
              <w:spacing w:after="0" w:line="252" w:lineRule="auto"/>
            </w:pPr>
            <w:r/>
            <w:r>
              <w:rPr>
                <w:rFonts w:ascii="Liberation Sans" w:hAnsi="Liberation Sans"/>
                <w:color w:val="1E2D38"/>
                <w:sz w:val="17"/>
              </w:rPr>
              <w:t>Identify where learning transfers, which contexts differ, and what supports maintenance.</w:t>
            </w:r>
          </w:p>
        </w:tc>
      </w:tr>
      <w:tr>
        <w:trPr>
          <w:cantSplit/>
        </w:trPr>
        <w:tc>
          <w:tcPr>
            <w:tcW w:type="dxa" w:w="23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 - Evaluate and revise</w:t>
            </w:r>
          </w:p>
        </w:tc>
        <w:tc>
          <w:tcPr>
            <w:tcW w:type="dxa" w:w="82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Continue, shape, simplify, change the formulation, consult, refer, or stop according to findings.</w:t>
            </w:r>
          </w:p>
        </w:tc>
      </w:tr>
    </w:tbl>
    <w:p>
      <w:pPr>
        <w:spacing w:after="20"/>
      </w:pPr>
    </w:p>
    <w:p>
      <w:pPr>
        <w:pStyle w:val="Heading2"/>
      </w:pPr>
      <w:r>
        <w:t>Functional Analysis in a Relational Loop</w:t>
      </w:r>
    </w:p>
    <w:tbl>
      <w:tblPr>
        <w:tblW w:type="dxa" w:w="10560"/>
        <w:jc w:val="left"/>
        <w:tblLayout w:type="fixed"/>
        <w:tblLook w:firstColumn="1" w:firstRow="1" w:lastColumn="0" w:lastRow="0" w:noHBand="0" w:noVBand="1" w:val="04A0"/>
        <w:tblInd w:w="0" w:type="dxa"/>
      </w:tblPr>
      <w:tblGrid>
        <w:gridCol w:w="2650"/>
        <w:gridCol w:w="7910"/>
      </w:tblGrid>
      <w:tr>
        <w:trPr>
          <w:tblHeader w:val="true"/>
          <w:cantSplit/>
        </w:trPr>
        <w:tc>
          <w:tcPr>
            <w:tcW w:type="dxa" w:w="2650"/>
            <w:shd w:fill="12385B"/>
            <w:tcMar>
              <w:top w:w="95" w:type="dxa"/>
              <w:start w:w="120" w:type="dxa"/>
              <w:bottom w:w="95" w:type="dxa"/>
              <w:end w:w="120" w:type="dxa"/>
            </w:tcMar>
            <w:vAlign w:val="center"/>
          </w:tcPr>
          <w:p>
            <w:pPr>
              <w:spacing w:after="0"/>
            </w:pPr>
            <w:r/>
            <w:r>
              <w:rPr>
                <w:rFonts w:ascii="Liberation Sans" w:hAnsi="Liberation Sans"/>
                <w:b/>
                <w:color w:val="FFFFFF"/>
                <w:sz w:val="17"/>
              </w:rPr>
              <w:t>Element</w:t>
            </w:r>
          </w:p>
        </w:tc>
        <w:tc>
          <w:tcPr>
            <w:tcW w:type="dxa" w:w="7910"/>
            <w:shd w:fill="12385B"/>
            <w:tcMar>
              <w:top w:w="95" w:type="dxa"/>
              <w:start w:w="120" w:type="dxa"/>
              <w:bottom w:w="95" w:type="dxa"/>
              <w:end w:w="120" w:type="dxa"/>
            </w:tcMar>
            <w:vAlign w:val="center"/>
          </w:tcPr>
          <w:p>
            <w:pPr>
              <w:spacing w:after="0"/>
            </w:pPr>
            <w:r/>
            <w:r>
              <w:rPr>
                <w:rFonts w:ascii="Liberation Sans" w:hAnsi="Liberation Sans"/>
                <w:b/>
                <w:color w:val="FFFFFF"/>
                <w:sz w:val="17"/>
              </w:rPr>
              <w:t>Questions</w:t>
            </w:r>
          </w:p>
        </w:tc>
      </w:tr>
      <w:tr>
        <w:trPr>
          <w:cantSplit/>
        </w:trPr>
        <w:tc>
          <w:tcPr>
            <w:tcW w:type="dxa" w:w="2650"/>
            <w:tcMar>
              <w:top w:w="90" w:type="dxa"/>
              <w:start w:w="120" w:type="dxa"/>
              <w:bottom w:w="90" w:type="dxa"/>
              <w:end w:w="120" w:type="dxa"/>
            </w:tcMar>
            <w:vAlign w:val="center"/>
          </w:tcPr>
          <w:p>
            <w:pPr>
              <w:spacing w:after="0" w:line="252" w:lineRule="auto"/>
            </w:pPr>
            <w:r/>
            <w:r>
              <w:rPr>
                <w:rFonts w:ascii="Liberation Sans" w:hAnsi="Liberation Sans"/>
                <w:color w:val="1E2D38"/>
                <w:sz w:val="17"/>
              </w:rPr>
              <w:t>Antecedent / cue</w:t>
            </w:r>
          </w:p>
        </w:tc>
        <w:tc>
          <w:tcPr>
            <w:tcW w:type="dxa" w:w="791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happens immediately before? Which person, setting, demand, memory, sensation, or interpretation is involved?</w:t>
            </w:r>
          </w:p>
        </w:tc>
      </w:tr>
      <w:tr>
        <w:trPr>
          <w:cantSplit/>
        </w:trPr>
        <w:tc>
          <w:tcPr>
            <w:tcW w:type="dxa" w:w="26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Appraisal</w:t>
            </w:r>
          </w:p>
        </w:tc>
        <w:tc>
          <w:tcPr>
            <w:tcW w:type="dxa" w:w="79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does each participant predict or conclude about self, other, relationship, danger, failure, or control?</w:t>
            </w:r>
          </w:p>
        </w:tc>
      </w:tr>
      <w:tr>
        <w:trPr>
          <w:cantSplit/>
        </w:trPr>
        <w:tc>
          <w:tcPr>
            <w:tcW w:type="dxa" w:w="2650"/>
            <w:tcMar>
              <w:top w:w="90" w:type="dxa"/>
              <w:start w:w="120" w:type="dxa"/>
              <w:bottom w:w="90" w:type="dxa"/>
              <w:end w:w="120" w:type="dxa"/>
            </w:tcMar>
            <w:vAlign w:val="center"/>
          </w:tcPr>
          <w:p>
            <w:pPr>
              <w:spacing w:after="0" w:line="252" w:lineRule="auto"/>
            </w:pPr>
            <w:r/>
            <w:r>
              <w:rPr>
                <w:rFonts w:ascii="Liberation Sans" w:hAnsi="Liberation Sans"/>
                <w:color w:val="1E2D38"/>
                <w:sz w:val="17"/>
              </w:rPr>
              <w:t>Behavior</w:t>
            </w:r>
          </w:p>
        </w:tc>
        <w:tc>
          <w:tcPr>
            <w:tcW w:type="dxa" w:w="791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is observable: request, criticize, avoid, reassure, check, accommodate, withdraw, argue, use a substance, or seek support?</w:t>
            </w:r>
          </w:p>
        </w:tc>
      </w:tr>
      <w:tr>
        <w:trPr>
          <w:cantSplit/>
        </w:trPr>
        <w:tc>
          <w:tcPr>
            <w:tcW w:type="dxa" w:w="26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Immediate consequence</w:t>
            </w:r>
          </w:p>
        </w:tc>
        <w:tc>
          <w:tcPr>
            <w:tcW w:type="dxa" w:w="79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relief, attention, escape, control, certainty, closeness, or reduced conflict follows?</w:t>
            </w:r>
          </w:p>
        </w:tc>
      </w:tr>
      <w:tr>
        <w:trPr>
          <w:cantSplit/>
        </w:trPr>
        <w:tc>
          <w:tcPr>
            <w:tcW w:type="dxa" w:w="2650"/>
            <w:tcMar>
              <w:top w:w="90" w:type="dxa"/>
              <w:start w:w="120" w:type="dxa"/>
              <w:bottom w:w="90" w:type="dxa"/>
              <w:end w:w="120" w:type="dxa"/>
            </w:tcMar>
            <w:vAlign w:val="center"/>
          </w:tcPr>
          <w:p>
            <w:pPr>
              <w:spacing w:after="0" w:line="252" w:lineRule="auto"/>
            </w:pPr>
            <w:r/>
            <w:r>
              <w:rPr>
                <w:rFonts w:ascii="Liberation Sans" w:hAnsi="Liberation Sans"/>
                <w:color w:val="1E2D38"/>
                <w:sz w:val="17"/>
              </w:rPr>
              <w:t>Longer-term consequence</w:t>
            </w:r>
          </w:p>
        </w:tc>
        <w:tc>
          <w:tcPr>
            <w:tcW w:type="dxa" w:w="791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happens to trust, functioning, symptoms, opportunity, burden, or the next cycle?</w:t>
            </w:r>
          </w:p>
        </w:tc>
      </w:tr>
      <w:tr>
        <w:trPr>
          <w:cantSplit/>
        </w:trPr>
        <w:tc>
          <w:tcPr>
            <w:tcW w:type="dxa" w:w="26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Reciprocal reinforcement</w:t>
            </w:r>
          </w:p>
        </w:tc>
        <w:tc>
          <w:tcPr>
            <w:tcW w:type="dxa" w:w="79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How does each person's response become a cue or consequence that strengthens the other person's pattern?</w:t>
            </w:r>
          </w:p>
        </w:tc>
      </w:tr>
    </w:tbl>
    <w:p>
      <w:pPr>
        <w:spacing w:after="20"/>
      </w:pPr>
    </w:p>
    <w:p>
      <w:pPr>
        <w:pStyle w:val="Heading2"/>
      </w:pPr>
      <w:r>
        <w:t>Skills, Experiments, and Cognitive Work</w:t>
      </w:r>
    </w:p>
    <w:p>
      <w:pPr>
        <w:pStyle w:val="ListBullet"/>
        <w:spacing w:after="70"/>
      </w:pPr>
      <w:r>
        <w:rPr>
          <w:rFonts w:ascii="Liberation Sans" w:hAnsi="Liberation Sans"/>
          <w:color w:val="1E2D38"/>
          <w:sz w:val="18"/>
        </w:rPr>
        <w:t>Teach and rehearse a specific skill only after identifying the performance gap, context, motivation, and supports; knowledge is not always the missing variable.</w:t>
      </w:r>
    </w:p>
    <w:p>
      <w:pPr>
        <w:pStyle w:val="ListBullet"/>
        <w:spacing w:after="70"/>
      </w:pPr>
      <w:r>
        <w:rPr>
          <w:rFonts w:ascii="Liberation Sans" w:hAnsi="Liberation Sans"/>
          <w:color w:val="1E2D38"/>
          <w:sz w:val="18"/>
        </w:rPr>
        <w:t>Frame homework as a collaborative experiment with rationale, choice, feasibility, prediction, tracking, and review—not a compliance test.</w:t>
      </w:r>
    </w:p>
    <w:p>
      <w:pPr>
        <w:pStyle w:val="ListBullet"/>
        <w:spacing w:after="70"/>
      </w:pPr>
      <w:r>
        <w:rPr>
          <w:rFonts w:ascii="Liberation Sans" w:hAnsi="Liberation Sans"/>
          <w:color w:val="1E2D38"/>
          <w:sz w:val="18"/>
        </w:rPr>
        <w:t>Use cognitive methods to examine appraisals and alternative meanings while respecting cultural reality, discrimination, trauma, and actual danger.</w:t>
      </w:r>
    </w:p>
    <w:p>
      <w:pPr>
        <w:pStyle w:val="ListBullet"/>
        <w:spacing w:after="70"/>
      </w:pPr>
      <w:r>
        <w:rPr>
          <w:rFonts w:ascii="Liberation Sans" w:hAnsi="Liberation Sans"/>
          <w:color w:val="1E2D38"/>
          <w:sz w:val="18"/>
        </w:rPr>
        <w:t>Link one person's belief to the relational loop: how does the appraisal shape behavior, how does the other respond, and what feedback follows?</w:t>
      </w:r>
    </w:p>
    <w:p>
      <w:pPr>
        <w:pStyle w:val="ListBullet"/>
        <w:spacing w:after="70"/>
      </w:pPr>
      <w:r>
        <w:rPr>
          <w:rFonts w:ascii="Liberation Sans" w:hAnsi="Liberation Sans"/>
          <w:color w:val="1E2D38"/>
          <w:sz w:val="18"/>
        </w:rPr>
        <w:t>Adapt written materials, exposure-like tasks, technology, timing, sensory demands, language, cost, caregiving burden, and privacy for access.</w:t>
      </w:r>
    </w:p>
    <w:p>
      <w:pPr>
        <w:pStyle w:val="ListBullet"/>
        <w:spacing w:after="70"/>
      </w:pPr>
      <w:r>
        <w:rPr>
          <w:rFonts w:ascii="Liberation Sans" w:hAnsi="Liberation Sans"/>
          <w:color w:val="1E2D38"/>
          <w:sz w:val="18"/>
        </w:rPr>
        <w:t>Do not use reassurance reduction, exposure, response prevention, or high-intensity experiments beyond competence or without adequate assessment and consent.</w:t>
      </w:r>
    </w:p>
    <w:p>
      <w:pPr>
        <w:pStyle w:val="Heading2"/>
      </w:pPr>
      <w:r>
        <w:t>Case Lab 6: A Behavioral-Cognitive Cycle, Not One Faulty Thought</w:t>
      </w:r>
    </w:p>
    <w:p>
      <w:pPr>
        <w:spacing w:after="90"/>
      </w:pPr>
      <w:r>
        <w:rPr>
          <w:rFonts w:ascii="Liberation Sans" w:hAnsi="Liberation Sans"/>
          <w:i w:val="0"/>
          <w:color w:val="1E2D38"/>
          <w:sz w:val="18"/>
        </w:rPr>
        <w:t>When Eli arrives home late, Morgan thinks, “I am not important,” and sends repeated messages. Eli interprets the messages as proof of being controlled, silences the phone, and delays returning. Morgan then checks more urgently. Both want less escalation. Work schedules are unpredictable, and neither has reliable access to a phone during every shift.</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How should the therapist design a behavioral-cognitive experiment?</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CHANGE to map cues, appraisals, behaviors, immediate relief, longer-term cost, and reciprocal reinforcement. Collaboratively test a feasible plan that fits workplace access—for example, a predictable check-in window plus an agreed response to uncertainty—while examining the meanings driving urgent checking and withdrawal. Track effects for both people and revise rather than treating nonadherence as resistance.</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Target behavior/interaction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Antecedents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Morgan's appraisal and response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Eli's appraisal and response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Immediate reinforcement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Long-term cost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Culture/context/access constraints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Experiment and prediction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What each person tracks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Review and revision rule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r>
        <w:br w:type="page"/>
      </w:r>
    </w:p>
    <w:p>
      <w:pPr>
        <w:spacing w:after="80"/>
      </w:pPr>
      <w:r>
        <w:rPr>
          <w:rFonts w:ascii="Liberation Sans" w:hAnsi="Liberation Sans"/>
          <w:b/>
          <w:color w:val="13A6A6"/>
          <w:sz w:val="28"/>
        </w:rPr>
        <w:t>CHAPTER 6</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Mindfulness, Acceptance, Integration, and Response Evaluation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Mindfulness and acceptance practices require rationale, choice, adaptation, and monitoring. Integration requires one coherent hypothesis. Alliance, outcome, adverse response, and competence data determine whether to continue, revise, consult, refer, or stop.</w:t>
            </w:r>
          </w:p>
        </w:tc>
      </w:tr>
    </w:tbl>
    <w:p>
      <w:pPr>
        <w:spacing w:after="20"/>
      </w:pPr>
    </w:p>
    <w:p>
      <w:pPr>
        <w:pStyle w:val="Heading2"/>
      </w:pPr>
      <w:r>
        <w:t>The PAUSE Mindfulness-Acceptance Sequence</w:t>
      </w:r>
    </w:p>
    <w:tbl>
      <w:tblPr>
        <w:tblW w:type="dxa" w:w="10560"/>
        <w:jc w:val="left"/>
        <w:tblLayout w:type="fixed"/>
        <w:tblLook w:firstColumn="1" w:firstRow="1" w:lastColumn="0" w:lastRow="0" w:noHBand="0" w:noVBand="1" w:val="04A0"/>
        <w:tblInd w:w="0" w:type="dxa"/>
      </w:tblPr>
      <w:tblGrid>
        <w:gridCol w:w="2350"/>
        <w:gridCol w:w="8210"/>
      </w:tblGrid>
      <w:tr>
        <w:trPr>
          <w:tblHeader w:val="true"/>
          <w:cantSplit/>
        </w:trPr>
        <w:tc>
          <w:tcPr>
            <w:tcW w:type="dxa" w:w="235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821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350"/>
            <w:tcMar>
              <w:top w:w="90" w:type="dxa"/>
              <w:start w:w="120" w:type="dxa"/>
              <w:bottom w:w="90" w:type="dxa"/>
              <w:end w:w="120" w:type="dxa"/>
            </w:tcMar>
            <w:vAlign w:val="center"/>
          </w:tcPr>
          <w:p>
            <w:pPr>
              <w:spacing w:after="0" w:line="252" w:lineRule="auto"/>
            </w:pPr>
            <w:r/>
            <w:r>
              <w:rPr>
                <w:rFonts w:ascii="Liberation Sans" w:hAnsi="Liberation Sans"/>
                <w:color w:val="1E2D38"/>
                <w:sz w:val="17"/>
              </w:rPr>
              <w:t>P - Prepare safety, rationale, accessibility, and choice</w:t>
            </w:r>
          </w:p>
        </w:tc>
        <w:tc>
          <w:tcPr>
            <w:tcW w:type="dxa" w:w="8210"/>
            <w:tcMar>
              <w:top w:w="90" w:type="dxa"/>
              <w:start w:w="120" w:type="dxa"/>
              <w:bottom w:w="90" w:type="dxa"/>
              <w:end w:w="120" w:type="dxa"/>
            </w:tcMar>
            <w:vAlign w:val="center"/>
          </w:tcPr>
          <w:p>
            <w:pPr>
              <w:spacing w:after="0" w:line="252" w:lineRule="auto"/>
            </w:pPr>
            <w:r/>
            <w:r>
              <w:rPr>
                <w:rFonts w:ascii="Liberation Sans" w:hAnsi="Liberation Sans"/>
                <w:color w:val="1E2D38"/>
                <w:sz w:val="17"/>
              </w:rPr>
              <w:t>Explain the purpose, assess fit and contraindications, offer alternatives, and establish how to pause.</w:t>
            </w:r>
          </w:p>
        </w:tc>
      </w:tr>
      <w:tr>
        <w:trPr>
          <w:cantSplit/>
        </w:trPr>
        <w:tc>
          <w:tcPr>
            <w:tcW w:type="dxa" w:w="23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 - Attend to present experience</w:t>
            </w:r>
          </w:p>
        </w:tc>
        <w:tc>
          <w:tcPr>
            <w:tcW w:type="dxa" w:w="82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Notice selected internal or external experience with a duration and focus that fit the client.</w:t>
            </w:r>
          </w:p>
        </w:tc>
      </w:tr>
      <w:tr>
        <w:trPr>
          <w:cantSplit/>
        </w:trPr>
        <w:tc>
          <w:tcPr>
            <w:tcW w:type="dxa" w:w="2350"/>
            <w:tcMar>
              <w:top w:w="90" w:type="dxa"/>
              <w:start w:w="120" w:type="dxa"/>
              <w:bottom w:w="90" w:type="dxa"/>
              <w:end w:w="120" w:type="dxa"/>
            </w:tcMar>
            <w:vAlign w:val="center"/>
          </w:tcPr>
          <w:p>
            <w:pPr>
              <w:spacing w:after="0" w:line="252" w:lineRule="auto"/>
            </w:pPr>
            <w:r/>
            <w:r>
              <w:rPr>
                <w:rFonts w:ascii="Liberation Sans" w:hAnsi="Liberation Sans"/>
                <w:color w:val="1E2D38"/>
                <w:sz w:val="17"/>
              </w:rPr>
              <w:t>U - Unhook and observe with openness</w:t>
            </w:r>
          </w:p>
        </w:tc>
        <w:tc>
          <w:tcPr>
            <w:tcW w:type="dxa" w:w="8210"/>
            <w:tcMar>
              <w:top w:w="90" w:type="dxa"/>
              <w:start w:w="120" w:type="dxa"/>
              <w:bottom w:w="90" w:type="dxa"/>
              <w:end w:w="120" w:type="dxa"/>
            </w:tcMar>
            <w:vAlign w:val="center"/>
          </w:tcPr>
          <w:p>
            <w:pPr>
              <w:spacing w:after="0" w:line="252" w:lineRule="auto"/>
            </w:pPr>
            <w:r/>
            <w:r>
              <w:rPr>
                <w:rFonts w:ascii="Liberation Sans" w:hAnsi="Liberation Sans"/>
                <w:color w:val="1E2D38"/>
                <w:sz w:val="17"/>
              </w:rPr>
              <w:t>Relate differently to thoughts, feelings, urges, or sensations rather than forcing them away or treating them as commands.</w:t>
            </w:r>
          </w:p>
        </w:tc>
      </w:tr>
      <w:tr>
        <w:trPr>
          <w:cantSplit/>
        </w:trPr>
        <w:tc>
          <w:tcPr>
            <w:tcW w:type="dxa" w:w="23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 - Select a values-linked response</w:t>
            </w:r>
          </w:p>
        </w:tc>
        <w:tc>
          <w:tcPr>
            <w:tcW w:type="dxa" w:w="82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Connect awareness and acceptance to a chosen action in the client's relational and cultural context.</w:t>
            </w:r>
          </w:p>
        </w:tc>
      </w:tr>
      <w:tr>
        <w:trPr>
          <w:cantSplit/>
        </w:trPr>
        <w:tc>
          <w:tcPr>
            <w:tcW w:type="dxa" w:w="2350"/>
            <w:tcMar>
              <w:top w:w="90" w:type="dxa"/>
              <w:start w:w="120" w:type="dxa"/>
              <w:bottom w:w="90" w:type="dxa"/>
              <w:end w:w="120" w:type="dxa"/>
            </w:tcMar>
            <w:vAlign w:val="center"/>
          </w:tcPr>
          <w:p>
            <w:pPr>
              <w:spacing w:after="0" w:line="252" w:lineRule="auto"/>
            </w:pPr>
            <w:r/>
            <w:r>
              <w:rPr>
                <w:rFonts w:ascii="Liberation Sans" w:hAnsi="Liberation Sans"/>
                <w:color w:val="1E2D38"/>
                <w:sz w:val="17"/>
              </w:rPr>
              <w:t>E - Evaluate impact and adapt</w:t>
            </w:r>
          </w:p>
        </w:tc>
        <w:tc>
          <w:tcPr>
            <w:tcW w:type="dxa" w:w="8210"/>
            <w:tcMar>
              <w:top w:w="90" w:type="dxa"/>
              <w:start w:w="120" w:type="dxa"/>
              <w:bottom w:w="90" w:type="dxa"/>
              <w:end w:w="120" w:type="dxa"/>
            </w:tcMar>
            <w:vAlign w:val="center"/>
          </w:tcPr>
          <w:p>
            <w:pPr>
              <w:spacing w:after="0" w:line="252" w:lineRule="auto"/>
            </w:pPr>
            <w:r/>
            <w:r>
              <w:rPr>
                <w:rFonts w:ascii="Liberation Sans" w:hAnsi="Liberation Sans"/>
                <w:color w:val="1E2D38"/>
                <w:sz w:val="17"/>
              </w:rPr>
              <w:t>Ask what happened; monitor grounding, detachment, shame, spiritual conflict, avoidance, access, and usefulness.</w:t>
            </w:r>
          </w:p>
        </w:tc>
      </w:tr>
    </w:tbl>
    <w:p>
      <w:pPr>
        <w:spacing w:after="20"/>
      </w:pPr>
    </w:p>
    <w:p>
      <w:pPr>
        <w:pStyle w:val="Heading2"/>
      </w:pPr>
      <w:r>
        <w:t>Mindfulness Is Not Neutral</w:t>
      </w:r>
    </w:p>
    <w:tbl>
      <w:tblPr>
        <w:tblW w:type="dxa" w:w="10560"/>
        <w:jc w:val="left"/>
        <w:tblLayout w:type="fixed"/>
        <w:tblLook w:firstColumn="1" w:firstRow="1" w:lastColumn="0" w:lastRow="0" w:noHBand="0" w:noVBand="1" w:val="04A0"/>
        <w:tblInd w:w="0" w:type="dxa"/>
      </w:tblPr>
      <w:tblGrid>
        <w:gridCol w:w="2700"/>
        <w:gridCol w:w="7860"/>
      </w:tblGrid>
      <w:tr>
        <w:trPr>
          <w:tblHeader w:val="true"/>
          <w:cantSplit/>
        </w:trPr>
        <w:tc>
          <w:tcPr>
            <w:tcW w:type="dxa" w:w="2700"/>
            <w:shd w:fill="12385B"/>
            <w:tcMar>
              <w:top w:w="95" w:type="dxa"/>
              <w:start w:w="120" w:type="dxa"/>
              <w:bottom w:w="95" w:type="dxa"/>
              <w:end w:w="120" w:type="dxa"/>
            </w:tcMar>
            <w:vAlign w:val="center"/>
          </w:tcPr>
          <w:p>
            <w:pPr>
              <w:spacing w:after="0"/>
            </w:pPr>
            <w:r/>
            <w:r>
              <w:rPr>
                <w:rFonts w:ascii="Liberation Sans" w:hAnsi="Liberation Sans"/>
                <w:b/>
                <w:color w:val="FFFFFF"/>
                <w:sz w:val="17"/>
              </w:rPr>
              <w:t>Fit question</w:t>
            </w:r>
          </w:p>
        </w:tc>
        <w:tc>
          <w:tcPr>
            <w:tcW w:type="dxa" w:w="7860"/>
            <w:shd w:fill="12385B"/>
            <w:tcMar>
              <w:top w:w="95" w:type="dxa"/>
              <w:start w:w="120" w:type="dxa"/>
              <w:bottom w:w="95" w:type="dxa"/>
              <w:end w:w="120" w:type="dxa"/>
            </w:tcMar>
            <w:vAlign w:val="center"/>
          </w:tcPr>
          <w:p>
            <w:pPr>
              <w:spacing w:after="0"/>
            </w:pPr>
            <w:r/>
            <w:r>
              <w:rPr>
                <w:rFonts w:ascii="Liberation Sans" w:hAnsi="Liberation Sans"/>
                <w:b/>
                <w:color w:val="FFFFFF"/>
                <w:sz w:val="17"/>
              </w:rPr>
              <w:t>Adaptation examples</w:t>
            </w:r>
          </w:p>
        </w:tc>
      </w:tr>
      <w:tr>
        <w:trPr>
          <w:cantSplit/>
        </w:trPr>
        <w:tc>
          <w:tcPr>
            <w:tcW w:type="dxa" w:w="2700"/>
            <w:tcMar>
              <w:top w:w="90" w:type="dxa"/>
              <w:start w:w="120" w:type="dxa"/>
              <w:bottom w:w="90" w:type="dxa"/>
              <w:end w:w="120" w:type="dxa"/>
            </w:tcMar>
            <w:vAlign w:val="center"/>
          </w:tcPr>
          <w:p>
            <w:pPr>
              <w:spacing w:after="0" w:line="252" w:lineRule="auto"/>
            </w:pPr>
            <w:r/>
            <w:r>
              <w:rPr>
                <w:rFonts w:ascii="Liberation Sans" w:hAnsi="Liberation Sans"/>
                <w:color w:val="1E2D38"/>
                <w:sz w:val="17"/>
              </w:rPr>
              <w:t>Attention focus</w:t>
            </w:r>
          </w:p>
        </w:tc>
        <w:tc>
          <w:tcPr>
            <w:tcW w:type="dxa" w:w="7860"/>
            <w:tcMar>
              <w:top w:w="90" w:type="dxa"/>
              <w:start w:w="120" w:type="dxa"/>
              <w:bottom w:w="90" w:type="dxa"/>
              <w:end w:w="120" w:type="dxa"/>
            </w:tcMar>
            <w:vAlign w:val="center"/>
          </w:tcPr>
          <w:p>
            <w:pPr>
              <w:spacing w:after="0" w:line="252" w:lineRule="auto"/>
            </w:pPr>
            <w:r/>
            <w:r>
              <w:rPr>
                <w:rFonts w:ascii="Liberation Sans" w:hAnsi="Liberation Sans"/>
                <w:color w:val="1E2D38"/>
                <w:sz w:val="17"/>
              </w:rPr>
              <w:t>Offer external sensory orientation, movement, eyes open, relational focus, or brief contact instead of sustained inward attention.</w:t>
            </w:r>
          </w:p>
        </w:tc>
      </w:tr>
      <w:tr>
        <w:trPr>
          <w:cantSplit/>
        </w:trPr>
        <w:tc>
          <w:tcPr>
            <w:tcW w:type="dxa" w:w="27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Trauma/dissociation</w:t>
            </w:r>
          </w:p>
        </w:tc>
        <w:tc>
          <w:tcPr>
            <w:tcW w:type="dxa" w:w="78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Use short doses, active orientation, explicit stop choices, grounding, and close monitoring; discontinue when detachment increases.</w:t>
            </w:r>
          </w:p>
        </w:tc>
      </w:tr>
      <w:tr>
        <w:trPr>
          <w:cantSplit/>
        </w:trPr>
        <w:tc>
          <w:tcPr>
            <w:tcW w:type="dxa" w:w="2700"/>
            <w:tcMar>
              <w:top w:w="90" w:type="dxa"/>
              <w:start w:w="120" w:type="dxa"/>
              <w:bottom w:w="90" w:type="dxa"/>
              <w:end w:w="120" w:type="dxa"/>
            </w:tcMar>
            <w:vAlign w:val="center"/>
          </w:tcPr>
          <w:p>
            <w:pPr>
              <w:spacing w:after="0" w:line="252" w:lineRule="auto"/>
            </w:pPr>
            <w:r/>
            <w:r>
              <w:rPr>
                <w:rFonts w:ascii="Liberation Sans" w:hAnsi="Liberation Sans"/>
                <w:color w:val="1E2D38"/>
                <w:sz w:val="17"/>
              </w:rPr>
              <w:t>Disability/neurodivergence</w:t>
            </w:r>
          </w:p>
        </w:tc>
        <w:tc>
          <w:tcPr>
            <w:tcW w:type="dxa" w:w="7860"/>
            <w:tcMar>
              <w:top w:w="90" w:type="dxa"/>
              <w:start w:w="120" w:type="dxa"/>
              <w:bottom w:w="90" w:type="dxa"/>
              <w:end w:w="120" w:type="dxa"/>
            </w:tcMar>
            <w:vAlign w:val="center"/>
          </w:tcPr>
          <w:p>
            <w:pPr>
              <w:spacing w:after="0" w:line="252" w:lineRule="auto"/>
            </w:pPr>
            <w:r/>
            <w:r>
              <w:rPr>
                <w:rFonts w:ascii="Liberation Sans" w:hAnsi="Liberation Sans"/>
                <w:color w:val="1E2D38"/>
                <w:sz w:val="17"/>
              </w:rPr>
              <w:t>Adapt posture, stillness, breath focus, sensory load, language, timing, and response format.</w:t>
            </w:r>
          </w:p>
        </w:tc>
      </w:tr>
      <w:tr>
        <w:trPr>
          <w:cantSplit/>
        </w:trPr>
        <w:tc>
          <w:tcPr>
            <w:tcW w:type="dxa" w:w="27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Culture/spirituality</w:t>
            </w:r>
          </w:p>
        </w:tc>
        <w:tc>
          <w:tcPr>
            <w:tcW w:type="dxa" w:w="78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Ask about meaning and preference; do not assume a secular or spiritual frame, or appropriate a practice without context.</w:t>
            </w:r>
          </w:p>
        </w:tc>
      </w:tr>
      <w:tr>
        <w:trPr>
          <w:cantSplit/>
        </w:trPr>
        <w:tc>
          <w:tcPr>
            <w:tcW w:type="dxa" w:w="2700"/>
            <w:tcMar>
              <w:top w:w="90" w:type="dxa"/>
              <w:start w:w="120" w:type="dxa"/>
              <w:bottom w:w="90" w:type="dxa"/>
              <w:end w:w="120" w:type="dxa"/>
            </w:tcMar>
            <w:vAlign w:val="center"/>
          </w:tcPr>
          <w:p>
            <w:pPr>
              <w:spacing w:after="0" w:line="252" w:lineRule="auto"/>
            </w:pPr>
            <w:r/>
            <w:r>
              <w:rPr>
                <w:rFonts w:ascii="Liberation Sans" w:hAnsi="Liberation Sans"/>
                <w:color w:val="1E2D38"/>
                <w:sz w:val="17"/>
              </w:rPr>
              <w:t>Acceptance language</w:t>
            </w:r>
          </w:p>
        </w:tc>
        <w:tc>
          <w:tcPr>
            <w:tcW w:type="dxa" w:w="7860"/>
            <w:tcMar>
              <w:top w:w="90" w:type="dxa"/>
              <w:start w:w="120" w:type="dxa"/>
              <w:bottom w:w="90" w:type="dxa"/>
              <w:end w:w="120" w:type="dxa"/>
            </w:tcMar>
            <w:vAlign w:val="center"/>
          </w:tcPr>
          <w:p>
            <w:pPr>
              <w:spacing w:after="0" w:line="252" w:lineRule="auto"/>
            </w:pPr>
            <w:r/>
            <w:r>
              <w:rPr>
                <w:rFonts w:ascii="Liberation Sans" w:hAnsi="Liberation Sans"/>
                <w:color w:val="1E2D38"/>
                <w:sz w:val="17"/>
              </w:rPr>
              <w:t>Clarify that acceptance means making room for present experience when useful—not approving injustice, danger, abuse, or avoidable barriers.</w:t>
            </w:r>
          </w:p>
        </w:tc>
      </w:tr>
      <w:tr>
        <w:trPr>
          <w:cantSplit/>
        </w:trPr>
        <w:tc>
          <w:tcPr>
            <w:tcW w:type="dxa" w:w="27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Values and action</w:t>
            </w:r>
          </w:p>
        </w:tc>
        <w:tc>
          <w:tcPr>
            <w:tcW w:type="dxa" w:w="78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Translate awareness into a chosen relational action; avoid using mindfulness only to tolerate conditions that require protection or change.</w:t>
            </w:r>
          </w:p>
        </w:tc>
      </w:tr>
    </w:tbl>
    <w:p>
      <w:pPr>
        <w:spacing w:after="20"/>
      </w:pPr>
    </w:p>
    <w:p>
      <w:pPr>
        <w:pStyle w:val="Heading2"/>
      </w:pPr>
      <w:r>
        <w:t>Integrate Through MATCH</w:t>
      </w:r>
    </w:p>
    <w:tbl>
      <w:tblPr>
        <w:tblW w:type="dxa" w:w="10560"/>
        <w:jc w:val="left"/>
        <w:tblLayout w:type="fixed"/>
        <w:tblLook w:firstColumn="1" w:firstRow="1" w:lastColumn="0" w:lastRow="0" w:noHBand="0" w:noVBand="1" w:val="04A0"/>
        <w:tblInd w:w="0" w:type="dxa"/>
      </w:tblPr>
      <w:tblGrid>
        <w:gridCol w:w="2900"/>
        <w:gridCol w:w="7660"/>
      </w:tblGrid>
      <w:tr>
        <w:trPr>
          <w:tblHeader w:val="true"/>
          <w:cantSplit/>
        </w:trPr>
        <w:tc>
          <w:tcPr>
            <w:tcW w:type="dxa" w:w="2900"/>
            <w:shd w:fill="12385B"/>
            <w:tcMar>
              <w:top w:w="95" w:type="dxa"/>
              <w:start w:w="120" w:type="dxa"/>
              <w:bottom w:w="95" w:type="dxa"/>
              <w:end w:w="120" w:type="dxa"/>
            </w:tcMar>
            <w:vAlign w:val="center"/>
          </w:tcPr>
          <w:p>
            <w:pPr>
              <w:spacing w:after="0"/>
            </w:pPr>
            <w:r/>
            <w:r>
              <w:rPr>
                <w:rFonts w:ascii="Liberation Sans" w:hAnsi="Liberation Sans"/>
                <w:b/>
                <w:color w:val="FFFFFF"/>
                <w:sz w:val="17"/>
              </w:rPr>
              <w:t>Integration control</w:t>
            </w:r>
          </w:p>
        </w:tc>
        <w:tc>
          <w:tcPr>
            <w:tcW w:type="dxa" w:w="7660"/>
            <w:shd w:fill="12385B"/>
            <w:tcMar>
              <w:top w:w="95" w:type="dxa"/>
              <w:start w:w="120" w:type="dxa"/>
              <w:bottom w:w="95" w:type="dxa"/>
              <w:end w:w="120" w:type="dxa"/>
            </w:tcMar>
            <w:vAlign w:val="center"/>
          </w:tcPr>
          <w:p>
            <w:pPr>
              <w:spacing w:after="0"/>
            </w:pPr>
            <w:r/>
            <w:r>
              <w:rPr>
                <w:rFonts w:ascii="Liberation Sans" w:hAnsi="Liberation Sans"/>
                <w:b/>
                <w:color w:val="FFFFFF"/>
                <w:sz w:val="17"/>
              </w:rPr>
              <w:t>Question</w:t>
            </w:r>
          </w:p>
        </w:tc>
      </w:tr>
      <w:tr>
        <w:trPr>
          <w:cantSplit/>
        </w:trPr>
        <w:tc>
          <w:tcPr>
            <w:tcW w:type="dxa" w:w="2900"/>
            <w:tcMar>
              <w:top w:w="90" w:type="dxa"/>
              <w:start w:w="120" w:type="dxa"/>
              <w:bottom w:w="90" w:type="dxa"/>
              <w:end w:w="120" w:type="dxa"/>
            </w:tcMar>
            <w:vAlign w:val="center"/>
          </w:tcPr>
          <w:p>
            <w:pPr>
              <w:spacing w:after="0" w:line="252" w:lineRule="auto"/>
            </w:pPr>
            <w:r/>
            <w:r>
              <w:rPr>
                <w:rFonts w:ascii="Liberation Sans" w:hAnsi="Liberation Sans"/>
                <w:color w:val="1E2D38"/>
                <w:sz w:val="17"/>
              </w:rPr>
              <w:t>One working hypothesis</w:t>
            </w:r>
          </w:p>
        </w:tc>
        <w:tc>
          <w:tcPr>
            <w:tcW w:type="dxa" w:w="766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maintaining sequence or process currently organizes the case?</w:t>
            </w:r>
          </w:p>
        </w:tc>
      </w:tr>
      <w:tr>
        <w:trPr>
          <w:cantSplit/>
        </w:trPr>
        <w:tc>
          <w:tcPr>
            <w:tcW w:type="dxa" w:w="2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Explicit function</w:t>
            </w:r>
          </w:p>
        </w:tc>
        <w:tc>
          <w:tcPr>
            <w:tcW w:type="dxa" w:w="76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does each method contribute, and why is it sequenced now?</w:t>
            </w:r>
          </w:p>
        </w:tc>
      </w:tr>
      <w:tr>
        <w:trPr>
          <w:cantSplit/>
        </w:trPr>
        <w:tc>
          <w:tcPr>
            <w:tcW w:type="dxa" w:w="2900"/>
            <w:tcMar>
              <w:top w:w="90" w:type="dxa"/>
              <w:start w:w="120" w:type="dxa"/>
              <w:bottom w:w="90" w:type="dxa"/>
              <w:end w:w="120" w:type="dxa"/>
            </w:tcMar>
            <w:vAlign w:val="center"/>
          </w:tcPr>
          <w:p>
            <w:pPr>
              <w:spacing w:after="0" w:line="252" w:lineRule="auto"/>
            </w:pPr>
            <w:r/>
            <w:r>
              <w:rPr>
                <w:rFonts w:ascii="Liberation Sans" w:hAnsi="Liberation Sans"/>
                <w:color w:val="1E2D38"/>
                <w:sz w:val="17"/>
              </w:rPr>
              <w:t>Client authorship</w:t>
            </w:r>
          </w:p>
        </w:tc>
        <w:tc>
          <w:tcPr>
            <w:tcW w:type="dxa" w:w="7660"/>
            <w:tcMar>
              <w:top w:w="90" w:type="dxa"/>
              <w:start w:w="120" w:type="dxa"/>
              <w:bottom w:w="90" w:type="dxa"/>
              <w:end w:w="120" w:type="dxa"/>
            </w:tcMar>
            <w:vAlign w:val="center"/>
          </w:tcPr>
          <w:p>
            <w:pPr>
              <w:spacing w:after="0" w:line="252" w:lineRule="auto"/>
            </w:pPr>
            <w:r/>
            <w:r>
              <w:rPr>
                <w:rFonts w:ascii="Liberation Sans" w:hAnsi="Liberation Sans"/>
                <w:color w:val="1E2D38"/>
                <w:sz w:val="17"/>
              </w:rPr>
              <w:t>Do the goals, language, values, preferences, and choices belong to the client system?</w:t>
            </w:r>
          </w:p>
        </w:tc>
      </w:tr>
      <w:tr>
        <w:trPr>
          <w:cantSplit/>
        </w:trPr>
        <w:tc>
          <w:tcPr>
            <w:tcW w:type="dxa" w:w="2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Safety and competence</w:t>
            </w:r>
          </w:p>
        </w:tc>
        <w:tc>
          <w:tcPr>
            <w:tcW w:type="dxa" w:w="76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Are there overrides, consent needs, evidence limits, or skills requiring consultation/referral?</w:t>
            </w:r>
          </w:p>
        </w:tc>
      </w:tr>
      <w:tr>
        <w:trPr>
          <w:cantSplit/>
        </w:trPr>
        <w:tc>
          <w:tcPr>
            <w:tcW w:type="dxa" w:w="2900"/>
            <w:tcMar>
              <w:top w:w="90" w:type="dxa"/>
              <w:start w:w="120" w:type="dxa"/>
              <w:bottom w:w="90" w:type="dxa"/>
              <w:end w:w="120" w:type="dxa"/>
            </w:tcMar>
            <w:vAlign w:val="center"/>
          </w:tcPr>
          <w:p>
            <w:pPr>
              <w:spacing w:after="0" w:line="252" w:lineRule="auto"/>
            </w:pPr>
            <w:r/>
            <w:r>
              <w:rPr>
                <w:rFonts w:ascii="Liberation Sans" w:hAnsi="Liberation Sans"/>
                <w:color w:val="1E2D38"/>
                <w:sz w:val="17"/>
              </w:rPr>
              <w:t>Distributed response</w:t>
            </w:r>
          </w:p>
        </w:tc>
        <w:tc>
          <w:tcPr>
            <w:tcW w:type="dxa" w:w="766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changes for each participant, and who feels helped, pressured, excluded, unsafe, or burdened?</w:t>
            </w:r>
          </w:p>
        </w:tc>
      </w:tr>
      <w:tr>
        <w:trPr>
          <w:cantSplit/>
        </w:trPr>
        <w:tc>
          <w:tcPr>
            <w:tcW w:type="dxa" w:w="2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Revision rule</w:t>
            </w:r>
          </w:p>
        </w:tc>
        <w:tc>
          <w:tcPr>
            <w:tcW w:type="dxa" w:w="76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Which findings support continuation, adaptation, discontinuation, consultation, or transfer?</w:t>
            </w:r>
          </w:p>
        </w:tc>
      </w:tr>
    </w:tbl>
    <w:p>
      <w:pPr>
        <w:spacing w:after="20"/>
      </w:pPr>
    </w:p>
    <w:p>
      <w:pPr>
        <w:pStyle w:val="Heading2"/>
      </w:pPr>
      <w:r>
        <w:t>When the Plan Is Not Working</w:t>
      </w:r>
    </w:p>
    <w:p>
      <w:pPr>
        <w:pStyle w:val="ListBullet"/>
        <w:spacing w:after="70"/>
      </w:pPr>
      <w:r>
        <w:rPr>
          <w:rFonts w:ascii="Liberation Sans" w:hAnsi="Liberation Sans"/>
          <w:color w:val="1E2D38"/>
          <w:sz w:val="18"/>
        </w:rPr>
        <w:t>Reassess safety, impairment, trauma response, dissociation, medical/substance factors, capacity, and level of care before interpreting nonresponse as motivation.</w:t>
      </w:r>
    </w:p>
    <w:p>
      <w:pPr>
        <w:pStyle w:val="ListBullet"/>
        <w:spacing w:after="70"/>
      </w:pPr>
      <w:r>
        <w:rPr>
          <w:rFonts w:ascii="Liberation Sans" w:hAnsi="Liberation Sans"/>
          <w:color w:val="1E2D38"/>
          <w:sz w:val="18"/>
        </w:rPr>
        <w:t>Review alliance and outcome by participant; improvement for one member does not erase pressure, disengagement, or harm for another.</w:t>
      </w:r>
    </w:p>
    <w:p>
      <w:pPr>
        <w:pStyle w:val="ListBullet"/>
        <w:spacing w:after="70"/>
      </w:pPr>
      <w:r>
        <w:rPr>
          <w:rFonts w:ascii="Liberation Sans" w:hAnsi="Liberation Sans"/>
          <w:color w:val="1E2D38"/>
          <w:sz w:val="18"/>
        </w:rPr>
        <w:t>Restate the treatment unit, goals, hypothesis, and mechanism. Stop adding disconnected methods.</w:t>
      </w:r>
    </w:p>
    <w:p>
      <w:pPr>
        <w:pStyle w:val="ListBullet"/>
        <w:spacing w:after="70"/>
      </w:pPr>
      <w:r>
        <w:rPr>
          <w:rFonts w:ascii="Liberation Sans" w:hAnsi="Liberation Sans"/>
          <w:color w:val="1E2D38"/>
          <w:sz w:val="18"/>
        </w:rPr>
        <w:t>Check therapist contribution, cultural misattunement, access barriers, poor dose or pacing, unclear consent, and whether the task was feasible.</w:t>
      </w:r>
    </w:p>
    <w:p>
      <w:pPr>
        <w:pStyle w:val="ListBullet"/>
        <w:spacing w:after="70"/>
      </w:pPr>
      <w:r>
        <w:rPr>
          <w:rFonts w:ascii="Liberation Sans" w:hAnsi="Liberation Sans"/>
          <w:color w:val="1E2D38"/>
          <w:sz w:val="18"/>
        </w:rPr>
        <w:t>Consult or refer when model-specific skill, risk expertise, accessibility, language, medical coordination, or another competence is needed.</w:t>
      </w:r>
    </w:p>
    <w:p>
      <w:pPr>
        <w:pStyle w:val="ListBullet"/>
        <w:spacing w:after="70"/>
      </w:pPr>
      <w:r>
        <w:rPr>
          <w:rFonts w:ascii="Liberation Sans" w:hAnsi="Liberation Sans"/>
          <w:color w:val="1E2D38"/>
          <w:sz w:val="18"/>
        </w:rPr>
        <w:t>Document the data, client feedback, clinical reasoning, consent updates, action taken, and next reassessment point.</w:t>
      </w:r>
    </w:p>
    <w:p>
      <w:pPr>
        <w:pStyle w:val="Heading2"/>
      </w:pPr>
      <w:r>
        <w:t>Case Lab 7: Mindfulness Increases Detachment</w:t>
      </w:r>
    </w:p>
    <w:p>
      <w:pPr>
        <w:spacing w:after="90"/>
      </w:pPr>
      <w:r>
        <w:rPr>
          <w:rFonts w:ascii="Liberation Sans" w:hAnsi="Liberation Sans"/>
          <w:i w:val="0"/>
          <w:color w:val="1E2D38"/>
          <w:sz w:val="18"/>
        </w:rPr>
        <w:t>A trauma-exposed client agrees to try a five-minute eyes-closed body scan. After one minute, the client becomes still, reports feeling far away, and later says, “I disappeared so I could finish what you asked.” The therapist considers praising persistence and repeating the exercise until it becomes easier.</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the therapist do first and how should the plan change?</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PAUSE. Stop the inward practice, orient externally, assess dissociation, safety, and current functioning, and explicitly restore choice. Validate the client's feedback rather than praising compliance. Offer alternatives such as eyes-open sensory orientation, movement, shorter duration, or a non-mindfulness method, and consult or refer if trauma-specific needs exceed competence.</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Observed adverse response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Immediate orientation response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Safety/function questions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Consent and choice repair</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Therapist contribution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Accessible alternatives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Trauma/competence limits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Client preference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Monitoring plan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Documentation/reassessment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r>
        <w:br w:type="page"/>
      </w:r>
    </w:p>
    <w:p>
      <w:pPr>
        <w:pStyle w:val="Heading2"/>
      </w:pPr>
      <w:r>
        <w:t>Case Lab 8: Integration Has Become Drift</w:t>
      </w:r>
    </w:p>
    <w:p>
      <w:pPr>
        <w:spacing w:after="90"/>
      </w:pPr>
      <w:r>
        <w:rPr>
          <w:rFonts w:ascii="Liberation Sans" w:hAnsi="Liberation Sans"/>
          <w:i w:val="0"/>
          <w:color w:val="1E2D38"/>
          <w:sz w:val="18"/>
        </w:rPr>
        <w:t>A therapist has used externalizing questions, scaling, a chair exercise, communication homework, cognitive restructuring, and mindfulness with a family over five sessions. The therapist cannot state how the methods connect. One caregiver reports feeling blamed, the adolescent has stopped speaking, and the original target is unchanged.</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happen before another technique is introduced?</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Return to MATCH. Review safety, alliance, and outcomes by participant; clarify the client, treatment unit, and agreed target; restate or revise the systemic hypothesis; identify whether one model and mechanism fit; repair therapist contribution; and consult, refer, or change format when indicated. Discontinue methods without clear rationale or benefit.</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Outcome by participant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Alliance/rupture signals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Safety/voluntariness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Treatment-unit question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Original target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Working hypothesis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Methods tried/intended functions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Evidence of drift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Repair/consultation/referral</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Revised plan and indicator</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r>
        <w:br w:type="page"/>
      </w:r>
    </w:p>
    <w:p>
      <w:pPr>
        <w:pStyle w:val="Heading1"/>
      </w:pPr>
      <w:r>
        <w:t>Reusable Integrative Intervention Decision Record</w:t>
      </w:r>
    </w:p>
    <w:p>
      <w:pPr>
        <w:spacing w:after="90"/>
      </w:pPr>
      <w:r>
        <w:rPr>
          <w:rFonts w:ascii="Liberation Sans" w:hAnsi="Liberation Sans"/>
          <w:i w:val="0"/>
          <w:color w:val="1E2D38"/>
          <w:sz w:val="18"/>
        </w:rPr>
        <w:t>Use this record for case labs, practice cases, and missed or low-confidence questions. Duplicate the pages as needed.</w:t>
      </w:r>
    </w:p>
    <w:p>
      <w:pPr>
        <w:pStyle w:val="Heading2"/>
      </w:pPr>
      <w:r>
        <w:t>1. Decision, Client, and Formulation</w:t>
      </w:r>
    </w:p>
    <w:tbl>
      <w:tblPr>
        <w:tblW w:type="dxa" w:w="10560"/>
        <w:jc w:val="left"/>
        <w:tblLayout w:type="fixed"/>
        <w:tblLook w:firstColumn="1" w:firstRow="1" w:lastColumn="0" w:lastRow="0" w:noHBand="0" w:noVBand="1" w:val="04A0"/>
        <w:tblInd w:w="0" w:type="dxa"/>
      </w:tblPr>
      <w:tblGrid>
        <w:gridCol w:w="3650"/>
        <w:gridCol w:w="6910"/>
      </w:tblGrid>
      <w:tr>
        <w:trPr>
          <w:tblHeader w:val="true"/>
          <w:cantSplit/>
        </w:trPr>
        <w:tc>
          <w:tcPr>
            <w:tcW w:type="dxa" w:w="365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91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Presenting decision point</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Identified client / treatment unit</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Agreed target / preferred outcome</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Observable maintaining sequence</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Proposed mechanism of change</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bl>
    <w:p>
      <w:pPr>
        <w:spacing w:after="20"/>
      </w:pPr>
    </w:p>
    <w:p>
      <w:pPr>
        <w:pStyle w:val="Heading2"/>
      </w:pPr>
      <w:r>
        <w:t>2. Fit, Safety, and Choice</w:t>
      </w:r>
    </w:p>
    <w:tbl>
      <w:tblPr>
        <w:tblW w:type="dxa" w:w="10560"/>
        <w:jc w:val="left"/>
        <w:tblLayout w:type="fixed"/>
        <w:tblLook w:firstColumn="1" w:firstRow="1" w:lastColumn="0" w:lastRow="0" w:noHBand="0" w:noVBand="1" w:val="04A0"/>
        <w:tblInd w:w="0" w:type="dxa"/>
      </w:tblPr>
      <w:tblGrid>
        <w:gridCol w:w="3650"/>
        <w:gridCol w:w="6910"/>
      </w:tblGrid>
      <w:tr>
        <w:trPr>
          <w:tblHeader w:val="true"/>
          <w:cantSplit/>
        </w:trPr>
        <w:tc>
          <w:tcPr>
            <w:tcW w:type="dxa" w:w="365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91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Safety, risk, impairment, regulation, or level-of-care findings</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Voluntariness, capacity, privacy, power, and consent</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Culture, identity, development, spirituality, disability, language</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Access, resources, modality, timing, and feasibility</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Client preferences, values, strengths, and authorship</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bl>
    <w:p>
      <w:pPr>
        <w:spacing w:after="20"/>
      </w:pPr>
    </w:p>
    <w:p>
      <w:r>
        <w:br w:type="page"/>
      </w:r>
    </w:p>
    <w:p>
      <w:pPr>
        <w:pStyle w:val="Heading2"/>
      </w:pPr>
      <w:r>
        <w:t>3. Intervention and Response</w:t>
      </w:r>
    </w:p>
    <w:tbl>
      <w:tblPr>
        <w:tblW w:type="dxa" w:w="10560"/>
        <w:jc w:val="left"/>
        <w:tblLayout w:type="fixed"/>
        <w:tblLook w:firstColumn="1" w:firstRow="1" w:lastColumn="0" w:lastRow="0" w:noHBand="0" w:noVBand="1" w:val="04A0"/>
        <w:tblInd w:w="0" w:type="dxa"/>
      </w:tblPr>
      <w:tblGrid>
        <w:gridCol w:w="3650"/>
        <w:gridCol w:w="6910"/>
      </w:tblGrid>
      <w:tr>
        <w:trPr>
          <w:tblHeader w:val="true"/>
          <w:cantSplit/>
        </w:trPr>
        <w:tc>
          <w:tcPr>
            <w:tcW w:type="dxa" w:w="365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91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Chosen model / therapist stance</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Intervention / rationale / alternatives discussed</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Observable responses and alliance signals by participant</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Change talk, avoidance, adherence, barriers, or unintended effects</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Outcome/progress indicators</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bl>
    <w:p>
      <w:pPr>
        <w:spacing w:after="20"/>
      </w:pPr>
    </w:p>
    <w:p>
      <w:pPr>
        <w:pStyle w:val="Heading2"/>
      </w:pPr>
      <w:r>
        <w:t>4. Revision and Transfer</w:t>
      </w:r>
    </w:p>
    <w:tbl>
      <w:tblPr>
        <w:tblW w:type="dxa" w:w="10560"/>
        <w:jc w:val="left"/>
        <w:tblLayout w:type="fixed"/>
        <w:tblLook w:firstColumn="1" w:firstRow="1" w:lastColumn="0" w:lastRow="0" w:noHBand="0" w:noVBand="1" w:val="04A0"/>
        <w:tblInd w:w="0" w:type="dxa"/>
      </w:tblPr>
      <w:tblGrid>
        <w:gridCol w:w="3650"/>
        <w:gridCol w:w="6910"/>
      </w:tblGrid>
      <w:tr>
        <w:trPr>
          <w:tblHeader w:val="true"/>
          <w:cantSplit/>
        </w:trPr>
        <w:tc>
          <w:tcPr>
            <w:tcW w:type="dxa" w:w="365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91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Evidence supporting/challenging the hypothesis</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Continue, adapt, stop, consult, refer, or change format</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Competence, role, evidence, documentation, or jurisdiction questions</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Next step and reassessment point</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650"/>
            <w:tcMar>
              <w:top w:w="90" w:type="dxa"/>
              <w:start w:w="120" w:type="dxa"/>
              <w:bottom w:w="90" w:type="dxa"/>
              <w:end w:w="120" w:type="dxa"/>
            </w:tcMar>
            <w:vAlign w:val="center"/>
          </w:tcPr>
          <w:p>
            <w:pPr>
              <w:spacing w:after="0" w:line="252" w:lineRule="auto"/>
            </w:pPr>
            <w:r/>
            <w:r>
              <w:rPr>
                <w:rFonts w:ascii="Liberation Sans" w:hAnsi="Liberation Sans"/>
                <w:color w:val="1E2D38"/>
                <w:sz w:val="17"/>
              </w:rPr>
              <w:t>Transferable decision rule</w:t>
            </w:r>
          </w:p>
        </w:tc>
        <w:tc>
          <w:tcPr>
            <w:tcW w:type="dxa" w:w="691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bl>
    <w:p>
      <w:pPr>
        <w:spacing w:after="20"/>
      </w:pPr>
    </w:p>
    <w:p>
      <w:r>
        <w:br w:type="page"/>
      </w:r>
    </w:p>
    <w:p>
      <w:pPr>
        <w:pStyle w:val="Heading1"/>
      </w:pPr>
      <w:r>
        <w:t>Workbook 8 Knowledge Check</w:t>
      </w:r>
    </w:p>
    <w:p>
      <w:pPr>
        <w:spacing w:after="90"/>
      </w:pPr>
      <w:r>
        <w:rPr>
          <w:rFonts w:ascii="Liberation Sans" w:hAnsi="Liberation Sans"/>
          <w:i w:val="0"/>
          <w:color w:val="1E2D38"/>
          <w:sz w:val="18"/>
        </w:rPr>
        <w:t>Select the one best answer. Record confidence from 1 (guess) to 4 (high confidence). Complete all ten items before reviewing the rationales. These original formative items are distinct from the separate 17-question candidate bank.</w:t>
      </w:r>
    </w:p>
    <w:p>
      <w:pPr>
        <w:keepNext/>
        <w:spacing w:before="140" w:after="60"/>
      </w:pPr>
      <w:r>
        <w:rPr>
          <w:rFonts w:ascii="Liberation Sans" w:hAnsi="Liberation Sans"/>
          <w:b/>
          <w:color w:val="1E2D38"/>
          <w:sz w:val="18"/>
        </w:rPr>
        <w:t>1. A therapist wants to begin a standard communication exercise with a couple but has not clarified the maintaining pattern or treatment target. What should the therapist do FIRST?</w:t>
      </w:r>
    </w:p>
    <w:p>
      <w:pPr>
        <w:keepNext/>
        <w:spacing w:after="50"/>
        <w:ind w:left="259" w:hanging="259"/>
      </w:pPr>
      <w:r>
        <w:rPr>
          <w:rFonts w:ascii="Liberation Sans" w:hAnsi="Liberation Sans"/>
          <w:color w:val="1E2D38"/>
          <w:sz w:val="18"/>
        </w:rPr>
        <w:t>A. Use the exercise because structured skills are helpful across all models.</w:t>
      </w:r>
    </w:p>
    <w:p>
      <w:pPr>
        <w:keepNext/>
        <w:spacing w:after="50"/>
        <w:ind w:left="259" w:hanging="259"/>
      </w:pPr>
      <w:r>
        <w:rPr>
          <w:rFonts w:ascii="Liberation Sans" w:hAnsi="Liberation Sans"/>
          <w:color w:val="1E2D38"/>
          <w:sz w:val="18"/>
        </w:rPr>
        <w:t>B. Clarify the treatment unit, maintaining mechanism, agreed goal, readiness, fit, and response indicator before selecting the method.</w:t>
      </w:r>
    </w:p>
    <w:p>
      <w:pPr>
        <w:keepNext/>
        <w:spacing w:after="50"/>
        <w:ind w:left="259" w:hanging="259"/>
      </w:pPr>
      <w:r>
        <w:rPr>
          <w:rFonts w:ascii="Liberation Sans" w:hAnsi="Liberation Sans"/>
          <w:color w:val="1E2D38"/>
          <w:sz w:val="18"/>
        </w:rPr>
        <w:t>C. Ask the couple which model name sounds most appealing and use it without further assessment.</w:t>
      </w:r>
    </w:p>
    <w:p>
      <w:pPr>
        <w:keepNext/>
        <w:spacing w:after="50"/>
        <w:ind w:left="259" w:hanging="259"/>
      </w:pPr>
      <w:r>
        <w:rPr>
          <w:rFonts w:ascii="Liberation Sans" w:hAnsi="Liberation Sans"/>
          <w:color w:val="1E2D38"/>
          <w:sz w:val="18"/>
        </w:rPr>
        <w:t>D. Combine several techniques so the intervention does not depend on one hypothesis.</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2. A family calls one adult member “the manipulator” after repeated deceptive financial behavior. Which narrative response is BEST?</w:t>
      </w:r>
    </w:p>
    <w:p>
      <w:pPr>
        <w:keepNext/>
        <w:spacing w:after="50"/>
        <w:ind w:left="259" w:hanging="259"/>
      </w:pPr>
      <w:r>
        <w:rPr>
          <w:rFonts w:ascii="Liberation Sans" w:hAnsi="Liberation Sans"/>
          <w:color w:val="1E2D38"/>
          <w:sz w:val="18"/>
        </w:rPr>
        <w:t>A. Rename the conduct “the misunderstanding” so the family stops blaming.</w:t>
      </w:r>
    </w:p>
    <w:p>
      <w:pPr>
        <w:keepNext/>
        <w:spacing w:after="50"/>
        <w:ind w:left="259" w:hanging="259"/>
      </w:pPr>
      <w:r>
        <w:rPr>
          <w:rFonts w:ascii="Liberation Sans" w:hAnsi="Liberation Sans"/>
          <w:color w:val="1E2D38"/>
          <w:sz w:val="18"/>
        </w:rPr>
        <w:t>B. Explain that externalizing means the adult is not responsible for the behavior.</w:t>
      </w:r>
    </w:p>
    <w:p>
      <w:pPr>
        <w:keepNext/>
        <w:spacing w:after="50"/>
        <w:ind w:left="259" w:hanging="259"/>
      </w:pPr>
      <w:r>
        <w:rPr>
          <w:rFonts w:ascii="Liberation Sans" w:hAnsi="Liberation Sans"/>
          <w:color w:val="1E2D38"/>
          <w:sz w:val="18"/>
        </w:rPr>
        <w:t>C. Focus only on the adult's strengths until the family becomes more hopeful.</w:t>
      </w:r>
    </w:p>
    <w:p>
      <w:pPr>
        <w:keepNext/>
        <w:spacing w:after="50"/>
        <w:ind w:left="259" w:hanging="259"/>
      </w:pPr>
      <w:r>
        <w:rPr>
          <w:rFonts w:ascii="Liberation Sans" w:hAnsi="Liberation Sans"/>
          <w:color w:val="1E2D38"/>
          <w:sz w:val="18"/>
        </w:rPr>
        <w:t>D. Separate identity from the harmful pattern while mapping effects, context, responsibility, safety, and preferred accountable action.</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3. A client says there was one recent evening when anxiety did not control a family conversation. What is the BEST next narrative step?</w:t>
      </w:r>
    </w:p>
    <w:p>
      <w:pPr>
        <w:keepNext/>
        <w:spacing w:after="50"/>
        <w:ind w:left="259" w:hanging="259"/>
      </w:pPr>
      <w:r>
        <w:rPr>
          <w:rFonts w:ascii="Liberation Sans" w:hAnsi="Liberation Sans"/>
          <w:color w:val="1E2D38"/>
          <w:sz w:val="18"/>
        </w:rPr>
        <w:t>A. Explore what happened, what the client did, what the event reveals about values or abilities, and how it could support a preferred future.</w:t>
      </w:r>
    </w:p>
    <w:p>
      <w:pPr>
        <w:keepNext/>
        <w:spacing w:after="50"/>
        <w:ind w:left="259" w:hanging="259"/>
      </w:pPr>
      <w:r>
        <w:rPr>
          <w:rFonts w:ascii="Liberation Sans" w:hAnsi="Liberation Sans"/>
          <w:color w:val="1E2D38"/>
          <w:sz w:val="18"/>
        </w:rPr>
        <w:t>B. Conclude that the anxiety is no longer clinically important.</w:t>
      </w:r>
    </w:p>
    <w:p>
      <w:pPr>
        <w:keepNext/>
        <w:spacing w:after="50"/>
        <w:ind w:left="259" w:hanging="259"/>
      </w:pPr>
      <w:r>
        <w:rPr>
          <w:rFonts w:ascii="Liberation Sans" w:hAnsi="Liberation Sans"/>
          <w:color w:val="1E2D38"/>
          <w:sz w:val="18"/>
        </w:rPr>
        <w:t>C. Tell the family to recreate the evening exactly every day.</w:t>
      </w:r>
    </w:p>
    <w:p>
      <w:pPr>
        <w:keepNext/>
        <w:spacing w:after="50"/>
        <w:ind w:left="259" w:hanging="259"/>
      </w:pPr>
      <w:r>
        <w:rPr>
          <w:rFonts w:ascii="Liberation Sans" w:hAnsi="Liberation Sans"/>
          <w:color w:val="1E2D38"/>
          <w:sz w:val="18"/>
        </w:rPr>
        <w:t>D. Avoid the event because exceptions are incompatible with narrative practice.</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4. A couple requests solution-focused work during a visit involving escalating threats and uncertain immediate safety. What should the therapist do FIRST?</w:t>
      </w:r>
    </w:p>
    <w:p>
      <w:pPr>
        <w:keepNext/>
        <w:spacing w:after="50"/>
        <w:ind w:left="259" w:hanging="259"/>
      </w:pPr>
      <w:r>
        <w:rPr>
          <w:rFonts w:ascii="Liberation Sans" w:hAnsi="Liberation Sans"/>
          <w:color w:val="1E2D38"/>
          <w:sz w:val="18"/>
        </w:rPr>
        <w:t>A. Ask the miracle question to shift attention away from the threats.</w:t>
      </w:r>
    </w:p>
    <w:p>
      <w:pPr>
        <w:keepNext/>
        <w:spacing w:after="50"/>
        <w:ind w:left="259" w:hanging="259"/>
      </w:pPr>
      <w:r>
        <w:rPr>
          <w:rFonts w:ascii="Liberation Sans" w:hAnsi="Liberation Sans"/>
          <w:color w:val="1E2D38"/>
          <w:sz w:val="18"/>
        </w:rPr>
        <w:t>B. Find a previous exception to threatening behavior and assign it as homework.</w:t>
      </w:r>
    </w:p>
    <w:p>
      <w:pPr>
        <w:keepNext/>
        <w:spacing w:after="50"/>
        <w:ind w:left="259" w:hanging="259"/>
      </w:pPr>
      <w:r>
        <w:rPr>
          <w:rFonts w:ascii="Liberation Sans" w:hAnsi="Liberation Sans"/>
          <w:color w:val="1E2D38"/>
          <w:sz w:val="18"/>
        </w:rPr>
        <w:t>C. Complete direct safety assessment and an appropriate stabilization or level-of-care response before routine solution-building.</w:t>
      </w:r>
    </w:p>
    <w:p>
      <w:pPr>
        <w:keepNext/>
        <w:spacing w:after="50"/>
        <w:ind w:left="259" w:hanging="259"/>
      </w:pPr>
      <w:r>
        <w:rPr>
          <w:rFonts w:ascii="Liberation Sans" w:hAnsi="Liberation Sans"/>
          <w:color w:val="1E2D38"/>
          <w:sz w:val="18"/>
        </w:rPr>
        <w:t>D. Use scaling only, because numbers are less confrontational than safety questions.</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5. A client says, “I know drinking is harming my relationship, but it is the only way I relax.” Which response is MOST consistent with motivational interviewing?</w:t>
      </w:r>
    </w:p>
    <w:p>
      <w:pPr>
        <w:keepNext/>
        <w:spacing w:after="50"/>
        <w:ind w:left="259" w:hanging="259"/>
      </w:pPr>
      <w:r>
        <w:rPr>
          <w:rFonts w:ascii="Liberation Sans" w:hAnsi="Liberation Sans"/>
          <w:color w:val="1E2D38"/>
          <w:sz w:val="18"/>
        </w:rPr>
        <w:t>A. List the relationship consequences so the client understands the seriousness.</w:t>
      </w:r>
    </w:p>
    <w:p>
      <w:pPr>
        <w:keepNext/>
        <w:spacing w:after="50"/>
        <w:ind w:left="259" w:hanging="259"/>
      </w:pPr>
      <w:r>
        <w:rPr>
          <w:rFonts w:ascii="Liberation Sans" w:hAnsi="Liberation Sans"/>
          <w:color w:val="1E2D38"/>
          <w:sz w:val="18"/>
        </w:rPr>
        <w:t>B. Reflect both the relief and the concern, then evoke the client's own values, reasons, and readiness without arguing.</w:t>
      </w:r>
    </w:p>
    <w:p>
      <w:pPr>
        <w:keepNext/>
        <w:spacing w:after="50"/>
        <w:ind w:left="259" w:hanging="259"/>
      </w:pPr>
      <w:r>
        <w:rPr>
          <w:rFonts w:ascii="Liberation Sans" w:hAnsi="Liberation Sans"/>
          <w:color w:val="1E2D38"/>
          <w:sz w:val="18"/>
        </w:rPr>
        <w:t>C. Ask the partner to persuade the client to commit to abstinence.</w:t>
      </w:r>
    </w:p>
    <w:p>
      <w:pPr>
        <w:keepNext/>
        <w:spacing w:after="50"/>
        <w:ind w:left="259" w:hanging="259"/>
      </w:pPr>
      <w:r>
        <w:rPr>
          <w:rFonts w:ascii="Liberation Sans" w:hAnsi="Liberation Sans"/>
          <w:color w:val="1E2D38"/>
          <w:sz w:val="18"/>
        </w:rPr>
        <w:t>D. Label the statement resistance and postpone treatment until motivation improves.</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6. During an experiential exercise, a client becomes frozen, disoriented, and unable to answer. What should the therapist do FIRST?</w:t>
      </w:r>
    </w:p>
    <w:p>
      <w:pPr>
        <w:keepNext/>
        <w:spacing w:after="50"/>
        <w:ind w:left="259" w:hanging="259"/>
      </w:pPr>
      <w:r>
        <w:rPr>
          <w:rFonts w:ascii="Liberation Sans" w:hAnsi="Liberation Sans"/>
          <w:color w:val="1E2D38"/>
          <w:sz w:val="18"/>
        </w:rPr>
        <w:t>A. Continue gently so the emotional process can reach completion.</w:t>
      </w:r>
    </w:p>
    <w:p>
      <w:pPr>
        <w:keepNext/>
        <w:spacing w:after="50"/>
        <w:ind w:left="259" w:hanging="259"/>
      </w:pPr>
      <w:r>
        <w:rPr>
          <w:rFonts w:ascii="Liberation Sans" w:hAnsi="Liberation Sans"/>
          <w:color w:val="1E2D38"/>
          <w:sz w:val="18"/>
        </w:rPr>
        <w:t>B. Interpret the response as avoidance of intimacy.</w:t>
      </w:r>
    </w:p>
    <w:p>
      <w:pPr>
        <w:keepNext/>
        <w:spacing w:after="50"/>
        <w:ind w:left="259" w:hanging="259"/>
      </w:pPr>
      <w:r>
        <w:rPr>
          <w:rFonts w:ascii="Liberation Sans" w:hAnsi="Liberation Sans"/>
          <w:color w:val="1E2D38"/>
          <w:sz w:val="18"/>
        </w:rPr>
        <w:t>C. Ask another family member to speak for the client.</w:t>
      </w:r>
    </w:p>
    <w:p>
      <w:pPr>
        <w:keepNext/>
        <w:spacing w:after="50"/>
        <w:ind w:left="259" w:hanging="259"/>
      </w:pPr>
      <w:r>
        <w:rPr>
          <w:rFonts w:ascii="Liberation Sans" w:hAnsi="Liberation Sans"/>
          <w:color w:val="1E2D38"/>
          <w:sz w:val="18"/>
        </w:rPr>
        <w:t>D. Stop evocation, orient to the present, restore choice, and assess regulation, dissociation, safety, and immediate needs.</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7. Before designing homework for a recurring couple conflict, what information is MOST important?</w:t>
      </w:r>
    </w:p>
    <w:p>
      <w:pPr>
        <w:keepNext/>
        <w:spacing w:after="50"/>
        <w:ind w:left="259" w:hanging="259"/>
      </w:pPr>
      <w:r>
        <w:rPr>
          <w:rFonts w:ascii="Liberation Sans" w:hAnsi="Liberation Sans"/>
          <w:color w:val="1E2D38"/>
          <w:sz w:val="18"/>
        </w:rPr>
        <w:t>A. The antecedents, appraisals, behaviors, consequences, reciprocal reinforcement, feasibility, and agreed target.</w:t>
      </w:r>
    </w:p>
    <w:p>
      <w:pPr>
        <w:keepNext/>
        <w:spacing w:after="50"/>
        <w:ind w:left="259" w:hanging="259"/>
      </w:pPr>
      <w:r>
        <w:rPr>
          <w:rFonts w:ascii="Liberation Sans" w:hAnsi="Liberation Sans"/>
          <w:color w:val="1E2D38"/>
          <w:sz w:val="18"/>
        </w:rPr>
        <w:t>B. Which partner can be held responsible for completing the assignment.</w:t>
      </w:r>
    </w:p>
    <w:p>
      <w:pPr>
        <w:keepNext/>
        <w:spacing w:after="50"/>
        <w:ind w:left="259" w:hanging="259"/>
      </w:pPr>
      <w:r>
        <w:rPr>
          <w:rFonts w:ascii="Liberation Sans" w:hAnsi="Liberation Sans"/>
          <w:color w:val="1E2D38"/>
          <w:sz w:val="18"/>
        </w:rPr>
        <w:t>C. Whether a published worksheet is available, regardless of fit.</w:t>
      </w:r>
    </w:p>
    <w:p>
      <w:pPr>
        <w:keepNext/>
        <w:spacing w:after="50"/>
        <w:ind w:left="259" w:hanging="259"/>
      </w:pPr>
      <w:r>
        <w:rPr>
          <w:rFonts w:ascii="Liberation Sans" w:hAnsi="Liberation Sans"/>
          <w:color w:val="1E2D38"/>
          <w:sz w:val="18"/>
        </w:rPr>
        <w:t>D. Whether the therapist prefers behavioral or cognitive terminology.</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8. One partner thinks, “If I ask for help, I will be rejected,” remains silent, and later criticizes the other partner for not noticing. What is the BEST cognitive-systemic focus?</w:t>
      </w:r>
    </w:p>
    <w:p>
      <w:pPr>
        <w:keepNext/>
        <w:spacing w:after="50"/>
        <w:ind w:left="259" w:hanging="259"/>
      </w:pPr>
      <w:r>
        <w:rPr>
          <w:rFonts w:ascii="Liberation Sans" w:hAnsi="Liberation Sans"/>
          <w:color w:val="1E2D38"/>
          <w:sz w:val="18"/>
        </w:rPr>
        <w:t>A. Challenge the belief as irrational without discussing the relationship.</w:t>
      </w:r>
    </w:p>
    <w:p>
      <w:pPr>
        <w:keepNext/>
        <w:spacing w:after="50"/>
        <w:ind w:left="259" w:hanging="259"/>
      </w:pPr>
      <w:r>
        <w:rPr>
          <w:rFonts w:ascii="Liberation Sans" w:hAnsi="Liberation Sans"/>
          <w:color w:val="1E2D38"/>
          <w:sz w:val="18"/>
        </w:rPr>
        <w:t>B. Ask the other partner to reassure continuously so the thought disappears.</w:t>
      </w:r>
    </w:p>
    <w:p>
      <w:pPr>
        <w:keepNext/>
        <w:spacing w:after="50"/>
        <w:ind w:left="259" w:hanging="259"/>
      </w:pPr>
      <w:r>
        <w:rPr>
          <w:rFonts w:ascii="Liberation Sans" w:hAnsi="Liberation Sans"/>
          <w:color w:val="1E2D38"/>
          <w:sz w:val="18"/>
        </w:rPr>
        <w:t>C. Examine the appraisal, protective silence, partner response, reinforcing feedback, and a feasible alternative interaction.</w:t>
      </w:r>
    </w:p>
    <w:p>
      <w:pPr>
        <w:keepNext/>
        <w:spacing w:after="50"/>
        <w:ind w:left="259" w:hanging="259"/>
      </w:pPr>
      <w:r>
        <w:rPr>
          <w:rFonts w:ascii="Liberation Sans" w:hAnsi="Liberation Sans"/>
          <w:color w:val="1E2D38"/>
          <w:sz w:val="18"/>
        </w:rPr>
        <w:t>D. Ignore cognition because systemic therapy addresses only observable behavior.</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9. A client becomes increasingly detached during an eyes-closed mindfulness exercise but continues because the therapist recommended it. What should the therapist do FIRST?</w:t>
      </w:r>
    </w:p>
    <w:p>
      <w:pPr>
        <w:keepNext/>
        <w:spacing w:after="50"/>
        <w:ind w:left="259" w:hanging="259"/>
      </w:pPr>
      <w:r>
        <w:rPr>
          <w:rFonts w:ascii="Liberation Sans" w:hAnsi="Liberation Sans"/>
          <w:color w:val="1E2D38"/>
          <w:sz w:val="18"/>
        </w:rPr>
        <w:t>A. Praise persistence and lengthen the practice gradually.</w:t>
      </w:r>
    </w:p>
    <w:p>
      <w:pPr>
        <w:keepNext/>
        <w:spacing w:after="50"/>
        <w:ind w:left="259" w:hanging="259"/>
      </w:pPr>
      <w:r>
        <w:rPr>
          <w:rFonts w:ascii="Liberation Sans" w:hAnsi="Liberation Sans"/>
          <w:color w:val="1E2D38"/>
          <w:sz w:val="18"/>
        </w:rPr>
        <w:t>B. Stop the exercise, orient externally, assess the response, restore choice, and offer adapted or alternative methods.</w:t>
      </w:r>
    </w:p>
    <w:p>
      <w:pPr>
        <w:keepNext/>
        <w:spacing w:after="50"/>
        <w:ind w:left="259" w:hanging="259"/>
      </w:pPr>
      <w:r>
        <w:rPr>
          <w:rFonts w:ascii="Liberation Sans" w:hAnsi="Liberation Sans"/>
          <w:color w:val="1E2D38"/>
          <w:sz w:val="18"/>
        </w:rPr>
        <w:t>C. Explain that detachment is evidence of successful cognitive defusion.</w:t>
      </w:r>
    </w:p>
    <w:p>
      <w:pPr>
        <w:keepNext/>
        <w:spacing w:after="50"/>
        <w:ind w:left="259" w:hanging="259"/>
      </w:pPr>
      <w:r>
        <w:rPr>
          <w:rFonts w:ascii="Liberation Sans" w:hAnsi="Liberation Sans"/>
          <w:color w:val="1E2D38"/>
          <w:sz w:val="18"/>
        </w:rPr>
        <w:t>D. Ask the client to practice alone until the response resolves.</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10. A therapist has added methods from several models while outcomes and alliance worsen. What is the BEST next step?</w:t>
      </w:r>
    </w:p>
    <w:p>
      <w:pPr>
        <w:keepNext/>
        <w:spacing w:after="50"/>
        <w:ind w:left="259" w:hanging="259"/>
      </w:pPr>
      <w:r>
        <w:rPr>
          <w:rFonts w:ascii="Liberation Sans" w:hAnsi="Liberation Sans"/>
          <w:color w:val="1E2D38"/>
          <w:sz w:val="18"/>
        </w:rPr>
        <w:t>A. Return to one working hypothesis and target, review response by participant, repair alliance, and revise, consult, refer, or stop methods without rationale.</w:t>
      </w:r>
    </w:p>
    <w:p>
      <w:pPr>
        <w:keepNext/>
        <w:spacing w:after="50"/>
        <w:ind w:left="259" w:hanging="259"/>
      </w:pPr>
      <w:r>
        <w:rPr>
          <w:rFonts w:ascii="Liberation Sans" w:hAnsi="Liberation Sans"/>
          <w:color w:val="1E2D38"/>
          <w:sz w:val="18"/>
        </w:rPr>
        <w:t>B. Add another evidence-based technique to increase the chance that something works.</w:t>
      </w:r>
    </w:p>
    <w:p>
      <w:pPr>
        <w:keepNext/>
        <w:spacing w:after="50"/>
        <w:ind w:left="259" w:hanging="259"/>
      </w:pPr>
      <w:r>
        <w:rPr>
          <w:rFonts w:ascii="Liberation Sans" w:hAnsi="Liberation Sans"/>
          <w:color w:val="1E2D38"/>
          <w:sz w:val="18"/>
        </w:rPr>
        <w:t>C. Continue the original plan until enough sessions have passed for every method to take effect.</w:t>
      </w:r>
    </w:p>
    <w:p>
      <w:pPr>
        <w:keepNext/>
        <w:spacing w:after="50"/>
        <w:ind w:left="259" w:hanging="259"/>
      </w:pPr>
      <w:r>
        <w:rPr>
          <w:rFonts w:ascii="Liberation Sans" w:hAnsi="Liberation Sans"/>
          <w:color w:val="1E2D38"/>
          <w:sz w:val="18"/>
        </w:rPr>
        <w:t>D. Attribute nonresponse to client resistance because several models have already been tried.</w:t>
      </w:r>
    </w:p>
    <w:p>
      <w:pPr>
        <w:spacing w:after="100"/>
      </w:pPr>
      <w:r>
        <w:rPr>
          <w:rFonts w:ascii="Liberation Sans" w:hAnsi="Liberation Sans"/>
          <w:i/>
          <w:color w:val="5A6872"/>
          <w:sz w:val="17"/>
        </w:rPr>
        <w:t>Confidence:  1   2   3   4     Answer: ______</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F2F4F7"/>
            <w:tcMar>
              <w:top w:w="130" w:type="dxa"/>
              <w:start w:w="180" w:type="dxa"/>
              <w:bottom w:w="130" w:type="dxa"/>
              <w:end w:w="180" w:type="dxa"/>
            </w:tcMar>
          </w:tcPr>
          <w:p>
            <w:pPr>
              <w:spacing w:after="0"/>
            </w:pPr>
            <w:r>
              <w:rPr>
                <w:rFonts w:ascii="Liberation Sans" w:hAnsi="Liberation Sans"/>
                <w:b/>
                <w:color w:val="12385B"/>
                <w:sz w:val="18"/>
              </w:rPr>
              <w:t xml:space="preserve">SCORE REFLECTION  </w:t>
            </w:r>
            <w:r>
              <w:rPr>
                <w:rFonts w:ascii="Liberation Sans" w:hAnsi="Liberation Sans"/>
                <w:color w:val="1E2D38"/>
                <w:sz w:val="18"/>
              </w:rPr>
              <w:t>Raw score: ____ / 10     High-confidence misses: ____     Primary error code: ____     One rule I will apply next time: ___________________________________________</w:t>
            </w:r>
          </w:p>
        </w:tc>
      </w:tr>
    </w:tbl>
    <w:p>
      <w:pPr>
        <w:spacing w:after="20"/>
      </w:pPr>
    </w:p>
    <w:p>
      <w:r>
        <w:br w:type="page"/>
      </w:r>
    </w:p>
    <w:p>
      <w:pPr>
        <w:pStyle w:val="Heading1"/>
      </w:pPr>
      <w:r>
        <w:t>Answer Key and Detailed Rationales</w:t>
      </w:r>
    </w:p>
    <w:p>
      <w:pPr>
        <w:spacing w:after="90"/>
      </w:pPr>
      <w:r>
        <w:rPr>
          <w:rFonts w:ascii="Liberation Sans" w:hAnsi="Liberation Sans"/>
          <w:i w:val="0"/>
          <w:color w:val="1E2D38"/>
          <w:sz w:val="18"/>
        </w:rPr>
        <w:t>Review the clinical decision, not only the letter. For every miss or low-confidence correct answer, identify the remediation code and write a transferable rule.</w:t>
      </w:r>
    </w:p>
    <w:p>
      <w:pPr>
        <w:keepNext/>
        <w:spacing w:before="160" w:after="60"/>
      </w:pPr>
      <w:r>
        <w:rPr>
          <w:rFonts w:ascii="Liberation Sans" w:hAnsi="Liberation Sans"/>
          <w:b/>
          <w:color w:val="12385B"/>
          <w:sz w:val="20"/>
        </w:rPr>
        <w:t>1. Correct Answer: B</w:t>
      </w:r>
    </w:p>
    <w:p>
      <w:pPr>
        <w:spacing w:after="90"/>
      </w:pPr>
      <w:r>
        <w:rPr>
          <w:rFonts w:ascii="Liberation Sans" w:hAnsi="Liberation Sans"/>
          <w:b/>
          <w:color w:val="1E2D38"/>
          <w:sz w:val="18"/>
        </w:rPr>
        <w:t>Why A:</w:t>
      </w:r>
      <w:r>
        <w:rPr>
          <w:rFonts w:ascii="Liberation Sans" w:hAnsi="Liberation Sans"/>
          <w:i w:val="0"/>
          <w:color w:val="1E2D38"/>
          <w:sz w:val="18"/>
        </w:rPr>
        <w:t xml:space="preserve"> Premature. A structured skill may help, but its usefulness depends on the mechanism, treatment unit, readiness, context, and response plan.</w:t>
      </w:r>
    </w:p>
    <w:p>
      <w:pPr>
        <w:spacing w:after="90"/>
      </w:pPr>
      <w:r>
        <w:rPr>
          <w:rFonts w:ascii="Liberation Sans" w:hAnsi="Liberation Sans"/>
          <w:b/>
          <w:color w:val="1E2D38"/>
          <w:sz w:val="18"/>
        </w:rPr>
        <w:t>Why B:</w:t>
      </w:r>
      <w:r>
        <w:rPr>
          <w:rFonts w:ascii="Liberation Sans" w:hAnsi="Liberation Sans"/>
          <w:i w:val="0"/>
          <w:color w:val="1E2D38"/>
          <w:sz w:val="18"/>
        </w:rPr>
        <w:t xml:space="preserve"> Correct. MATCH places formulation, agreed goal, fit, safety, preference, and observable feedback before technique selection.</w:t>
      </w:r>
    </w:p>
    <w:p>
      <w:pPr>
        <w:spacing w:after="90"/>
      </w:pPr>
      <w:r>
        <w:rPr>
          <w:rFonts w:ascii="Liberation Sans" w:hAnsi="Liberation Sans"/>
          <w:b/>
          <w:color w:val="1E2D38"/>
          <w:sz w:val="18"/>
        </w:rPr>
        <w:t>Why C:</w:t>
      </w:r>
      <w:r>
        <w:rPr>
          <w:rFonts w:ascii="Liberation Sans" w:hAnsi="Liberation Sans"/>
          <w:i w:val="0"/>
          <w:color w:val="1E2D38"/>
          <w:sz w:val="18"/>
        </w:rPr>
        <w:t xml:space="preserve"> Insufficient. Client preference matters, but choosing a label is not the same as building a clinical rationale.</w:t>
      </w:r>
    </w:p>
    <w:p>
      <w:pPr>
        <w:spacing w:after="90"/>
      </w:pPr>
      <w:r>
        <w:rPr>
          <w:rFonts w:ascii="Liberation Sans" w:hAnsi="Liberation Sans"/>
          <w:b/>
          <w:color w:val="1E2D38"/>
          <w:sz w:val="18"/>
        </w:rPr>
        <w:t>Why D:</w:t>
      </w:r>
      <w:r>
        <w:rPr>
          <w:rFonts w:ascii="Liberation Sans" w:hAnsi="Liberation Sans"/>
          <w:i w:val="0"/>
          <w:color w:val="1E2D38"/>
          <w:sz w:val="18"/>
        </w:rPr>
        <w:t xml:space="preserve"> Incorrect. Adding methods before clarifying one working hypothesis increases technique accumulation and obscures evaluation.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When the stem lacks a formulation, choose the option that establishes the logic chain before technique.</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Intervention choice follows mechanism, goal, fit, and a response indicator.  Remediation: R1/R2</w:t>
      </w:r>
    </w:p>
    <w:p>
      <w:pPr>
        <w:keepNext/>
        <w:spacing w:before="160" w:after="60"/>
      </w:pPr>
      <w:r>
        <w:rPr>
          <w:rFonts w:ascii="Liberation Sans" w:hAnsi="Liberation Sans"/>
          <w:b/>
          <w:color w:val="12385B"/>
          <w:sz w:val="20"/>
        </w:rPr>
        <w:t>2. Correct Answer: D</w:t>
      </w:r>
    </w:p>
    <w:p>
      <w:pPr>
        <w:spacing w:after="90"/>
      </w:pPr>
      <w:r>
        <w:rPr>
          <w:rFonts w:ascii="Liberation Sans" w:hAnsi="Liberation Sans"/>
          <w:b/>
          <w:color w:val="1E2D38"/>
          <w:sz w:val="18"/>
        </w:rPr>
        <w:t>Why A:</w:t>
      </w:r>
      <w:r>
        <w:rPr>
          <w:rFonts w:ascii="Liberation Sans" w:hAnsi="Liberation Sans"/>
          <w:i w:val="0"/>
          <w:color w:val="1E2D38"/>
          <w:sz w:val="18"/>
        </w:rPr>
        <w:t xml:space="preserve"> Minimizing. A softer label can erase concrete harm and responsibility rather than support meaningful externalizing.</w:t>
      </w:r>
    </w:p>
    <w:p>
      <w:pPr>
        <w:spacing w:after="90"/>
      </w:pPr>
      <w:r>
        <w:rPr>
          <w:rFonts w:ascii="Liberation Sans" w:hAnsi="Liberation Sans"/>
          <w:b/>
          <w:color w:val="1E2D38"/>
          <w:sz w:val="18"/>
        </w:rPr>
        <w:t>Why B:</w:t>
      </w:r>
      <w:r>
        <w:rPr>
          <w:rFonts w:ascii="Liberation Sans" w:hAnsi="Liberation Sans"/>
          <w:i w:val="0"/>
          <w:color w:val="1E2D38"/>
          <w:sz w:val="18"/>
        </w:rPr>
        <w:t xml:space="preserve"> Incorrect. Narrative practice separates identity from the problem but does not remove accountability for behavior and impact.</w:t>
      </w:r>
    </w:p>
    <w:p>
      <w:pPr>
        <w:spacing w:after="90"/>
      </w:pPr>
      <w:r>
        <w:rPr>
          <w:rFonts w:ascii="Liberation Sans" w:hAnsi="Liberation Sans"/>
          <w:b/>
          <w:color w:val="1E2D38"/>
          <w:sz w:val="18"/>
        </w:rPr>
        <w:t>Why C:</w:t>
      </w:r>
      <w:r>
        <w:rPr>
          <w:rFonts w:ascii="Liberation Sans" w:hAnsi="Liberation Sans"/>
          <w:i w:val="0"/>
          <w:color w:val="1E2D38"/>
          <w:sz w:val="18"/>
        </w:rPr>
        <w:t xml:space="preserve"> Incomplete. Strengths matter, but exclusive positive focus bypasses safety, effects, repair, and the family's stated concern.</w:t>
      </w:r>
    </w:p>
    <w:p>
      <w:pPr>
        <w:spacing w:after="90"/>
      </w:pPr>
      <w:r>
        <w:rPr>
          <w:rFonts w:ascii="Liberation Sans" w:hAnsi="Liberation Sans"/>
          <w:b/>
          <w:color w:val="1E2D38"/>
          <w:sz w:val="18"/>
        </w:rPr>
        <w:t>Why D:</w:t>
      </w:r>
      <w:r>
        <w:rPr>
          <w:rFonts w:ascii="Liberation Sans" w:hAnsi="Liberation Sans"/>
          <w:i w:val="0"/>
          <w:color w:val="1E2D38"/>
          <w:sz w:val="18"/>
        </w:rPr>
        <w:t xml:space="preserve"> Correct. STORY protects personhood while mapping harmful effects, context, responsibility, and accountable preferred action.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Externalizing is not exoneration; look for both non-shaming identity and accurate accountability.</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Separate the person from the pattern without separating behavior from impact and repair.  Remediation: R4</w:t>
      </w:r>
    </w:p>
    <w:p>
      <w:pPr>
        <w:keepNext/>
        <w:spacing w:before="160" w:after="60"/>
      </w:pPr>
      <w:r>
        <w:rPr>
          <w:rFonts w:ascii="Liberation Sans" w:hAnsi="Liberation Sans"/>
          <w:b/>
          <w:color w:val="12385B"/>
          <w:sz w:val="20"/>
        </w:rPr>
        <w:t>3. Correct Answer: A</w:t>
      </w:r>
    </w:p>
    <w:p>
      <w:pPr>
        <w:spacing w:after="90"/>
      </w:pPr>
      <w:r>
        <w:rPr>
          <w:rFonts w:ascii="Liberation Sans" w:hAnsi="Liberation Sans"/>
          <w:b/>
          <w:color w:val="1E2D38"/>
          <w:sz w:val="18"/>
        </w:rPr>
        <w:t>Why A:</w:t>
      </w:r>
      <w:r>
        <w:rPr>
          <w:rFonts w:ascii="Liberation Sans" w:hAnsi="Liberation Sans"/>
          <w:i w:val="0"/>
          <w:color w:val="1E2D38"/>
          <w:sz w:val="18"/>
        </w:rPr>
        <w:t xml:space="preserve"> Correct. A unique outcome becomes clinically useful when its details are linked to agency, values, abilities, relationships, and a preferred future.</w:t>
      </w:r>
    </w:p>
    <w:p>
      <w:pPr>
        <w:spacing w:after="90"/>
      </w:pPr>
      <w:r>
        <w:rPr>
          <w:rFonts w:ascii="Liberation Sans" w:hAnsi="Liberation Sans"/>
          <w:b/>
          <w:color w:val="1E2D38"/>
          <w:sz w:val="18"/>
        </w:rPr>
        <w:t>Why B:</w:t>
      </w:r>
      <w:r>
        <w:rPr>
          <w:rFonts w:ascii="Liberation Sans" w:hAnsi="Liberation Sans"/>
          <w:i w:val="0"/>
          <w:color w:val="1E2D38"/>
          <w:sz w:val="18"/>
        </w:rPr>
        <w:t xml:space="preserve"> Overgeneralized. One exception does not establish that the concern is resolved.</w:t>
      </w:r>
    </w:p>
    <w:p>
      <w:pPr>
        <w:spacing w:after="90"/>
      </w:pPr>
      <w:r>
        <w:rPr>
          <w:rFonts w:ascii="Liberation Sans" w:hAnsi="Liberation Sans"/>
          <w:b/>
          <w:color w:val="1E2D38"/>
          <w:sz w:val="18"/>
        </w:rPr>
        <w:t>Why C:</w:t>
      </w:r>
      <w:r>
        <w:rPr>
          <w:rFonts w:ascii="Liberation Sans" w:hAnsi="Liberation Sans"/>
          <w:i w:val="0"/>
          <w:color w:val="1E2D38"/>
          <w:sz w:val="18"/>
        </w:rPr>
        <w:t xml:space="preserve"> Prescriptive. Exact replication may be impossible and ignores which elements actually mattered.</w:t>
      </w:r>
    </w:p>
    <w:p>
      <w:pPr>
        <w:spacing w:after="90"/>
      </w:pPr>
      <w:r>
        <w:rPr>
          <w:rFonts w:ascii="Liberation Sans" w:hAnsi="Liberation Sans"/>
          <w:b/>
          <w:color w:val="1E2D38"/>
          <w:sz w:val="18"/>
        </w:rPr>
        <w:t>Why D:</w:t>
      </w:r>
      <w:r>
        <w:rPr>
          <w:rFonts w:ascii="Liberation Sans" w:hAnsi="Liberation Sans"/>
          <w:i w:val="0"/>
          <w:color w:val="1E2D38"/>
          <w:sz w:val="18"/>
        </w:rPr>
        <w:t xml:space="preserve"> Incorrect. Exceptions and unique outcomes are central resources in narrative re-authoring.</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Do not stop at finding an exception; develop its meaning and link it to future action.</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Thicken a unique outcome into a client-authored account of agency and preference.  Remediation: R3</w:t>
      </w:r>
    </w:p>
    <w:p>
      <w:pPr>
        <w:keepNext/>
        <w:spacing w:before="160" w:after="60"/>
      </w:pPr>
      <w:r>
        <w:rPr>
          <w:rFonts w:ascii="Liberation Sans" w:hAnsi="Liberation Sans"/>
          <w:b/>
          <w:color w:val="12385B"/>
          <w:sz w:val="20"/>
        </w:rPr>
        <w:t>4. Correct Answer: C</w:t>
      </w:r>
    </w:p>
    <w:p>
      <w:pPr>
        <w:spacing w:after="90"/>
      </w:pPr>
      <w:r>
        <w:rPr>
          <w:rFonts w:ascii="Liberation Sans" w:hAnsi="Liberation Sans"/>
          <w:b/>
          <w:color w:val="1E2D38"/>
          <w:sz w:val="18"/>
        </w:rPr>
        <w:t>Why A:</w:t>
      </w:r>
      <w:r>
        <w:rPr>
          <w:rFonts w:ascii="Liberation Sans" w:hAnsi="Liberation Sans"/>
          <w:i w:val="0"/>
          <w:color w:val="1E2D38"/>
          <w:sz w:val="18"/>
        </w:rPr>
        <w:t xml:space="preserve"> Unsafe sequencing. Preferred-future work must not replace direct assessment of escalating threats and immediate safety.</w:t>
      </w:r>
    </w:p>
    <w:p>
      <w:pPr>
        <w:spacing w:after="90"/>
      </w:pPr>
      <w:r>
        <w:rPr>
          <w:rFonts w:ascii="Liberation Sans" w:hAnsi="Liberation Sans"/>
          <w:b/>
          <w:color w:val="1E2D38"/>
          <w:sz w:val="18"/>
        </w:rPr>
        <w:t>Why B:</w:t>
      </w:r>
      <w:r>
        <w:rPr>
          <w:rFonts w:ascii="Liberation Sans" w:hAnsi="Liberation Sans"/>
          <w:i w:val="0"/>
          <w:color w:val="1E2D38"/>
          <w:sz w:val="18"/>
        </w:rPr>
        <w:t xml:space="preserve"> Premature. An exception-based task may increase risk or minimize danger before stabilization and planning.</w:t>
      </w:r>
    </w:p>
    <w:p>
      <w:pPr>
        <w:spacing w:after="90"/>
      </w:pPr>
      <w:r>
        <w:rPr>
          <w:rFonts w:ascii="Liberation Sans" w:hAnsi="Liberation Sans"/>
          <w:b/>
          <w:color w:val="1E2D38"/>
          <w:sz w:val="18"/>
        </w:rPr>
        <w:t>Why C:</w:t>
      </w:r>
      <w:r>
        <w:rPr>
          <w:rFonts w:ascii="Liberation Sans" w:hAnsi="Liberation Sans"/>
          <w:i w:val="0"/>
          <w:color w:val="1E2D38"/>
          <w:sz w:val="18"/>
        </w:rPr>
        <w:t xml:space="preserve"> Correct. Safety and level-of-care decisions override routine solution-focused technique.</w:t>
      </w:r>
    </w:p>
    <w:p>
      <w:pPr>
        <w:spacing w:after="90"/>
      </w:pPr>
      <w:r>
        <w:rPr>
          <w:rFonts w:ascii="Liberation Sans" w:hAnsi="Liberation Sans"/>
          <w:b/>
          <w:color w:val="1E2D38"/>
          <w:sz w:val="18"/>
        </w:rPr>
        <w:t>Why D:</w:t>
      </w:r>
      <w:r>
        <w:rPr>
          <w:rFonts w:ascii="Liberation Sans" w:hAnsi="Liberation Sans"/>
          <w:i w:val="0"/>
          <w:color w:val="1E2D38"/>
          <w:sz w:val="18"/>
        </w:rPr>
        <w:t xml:space="preserve"> Incorrect. A scale can supplement but cannot substitute for behaviorally specific safety assessment.</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Risk changes the order of operations even when the requested model is brief and strengths-based.</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Assess and stabilize danger before routine exception, future, or task questions.  Remediation: R5</w:t>
      </w:r>
    </w:p>
    <w:p>
      <w:pPr>
        <w:keepNext/>
        <w:spacing w:before="160" w:after="60"/>
      </w:pPr>
      <w:r>
        <w:rPr>
          <w:rFonts w:ascii="Liberation Sans" w:hAnsi="Liberation Sans"/>
          <w:b/>
          <w:color w:val="12385B"/>
          <w:sz w:val="20"/>
        </w:rPr>
        <w:t>5. Correct Answer: B</w:t>
      </w:r>
    </w:p>
    <w:p>
      <w:pPr>
        <w:spacing w:after="90"/>
      </w:pPr>
      <w:r>
        <w:rPr>
          <w:rFonts w:ascii="Liberation Sans" w:hAnsi="Liberation Sans"/>
          <w:b/>
          <w:color w:val="1E2D38"/>
          <w:sz w:val="18"/>
        </w:rPr>
        <w:t>Why A:</w:t>
      </w:r>
      <w:r>
        <w:rPr>
          <w:rFonts w:ascii="Liberation Sans" w:hAnsi="Liberation Sans"/>
          <w:i w:val="0"/>
          <w:color w:val="1E2D38"/>
          <w:sz w:val="18"/>
        </w:rPr>
        <w:t xml:space="preserve"> Persuasive and likely to evoke argument. The client already voices concern; the therapist should explore rather than take the pro-change side.</w:t>
      </w:r>
    </w:p>
    <w:p>
      <w:pPr>
        <w:spacing w:after="90"/>
      </w:pPr>
      <w:r>
        <w:rPr>
          <w:rFonts w:ascii="Liberation Sans" w:hAnsi="Liberation Sans"/>
          <w:b/>
          <w:color w:val="1E2D38"/>
          <w:sz w:val="18"/>
        </w:rPr>
        <w:t>Why B:</w:t>
      </w:r>
      <w:r>
        <w:rPr>
          <w:rFonts w:ascii="Liberation Sans" w:hAnsi="Liberation Sans"/>
          <w:i w:val="0"/>
          <w:color w:val="1E2D38"/>
          <w:sz w:val="18"/>
        </w:rPr>
        <w:t xml:space="preserve"> Correct. The response reflects ambivalence and evokes the client's own values, reasons, and readiness while protecting autonomy.</w:t>
      </w:r>
    </w:p>
    <w:p>
      <w:pPr>
        <w:spacing w:after="90"/>
      </w:pPr>
      <w:r>
        <w:rPr>
          <w:rFonts w:ascii="Liberation Sans" w:hAnsi="Liberation Sans"/>
          <w:b/>
          <w:color w:val="1E2D38"/>
          <w:sz w:val="18"/>
        </w:rPr>
        <w:t>Why C:</w:t>
      </w:r>
      <w:r>
        <w:rPr>
          <w:rFonts w:ascii="Liberation Sans" w:hAnsi="Liberation Sans"/>
          <w:i w:val="0"/>
          <w:color w:val="1E2D38"/>
          <w:sz w:val="18"/>
        </w:rPr>
        <w:t xml:space="preserve"> Autonomy-limiting. Recruiting a partner to pressure change can increase discord and distort the treatment alliance.</w:t>
      </w:r>
    </w:p>
    <w:p>
      <w:pPr>
        <w:spacing w:after="90"/>
      </w:pPr>
      <w:r>
        <w:rPr>
          <w:rFonts w:ascii="Liberation Sans" w:hAnsi="Liberation Sans"/>
          <w:b/>
          <w:color w:val="1E2D38"/>
          <w:sz w:val="18"/>
        </w:rPr>
        <w:t>Why D:</w:t>
      </w:r>
      <w:r>
        <w:rPr>
          <w:rFonts w:ascii="Liberation Sans" w:hAnsi="Liberation Sans"/>
          <w:i w:val="0"/>
          <w:color w:val="1E2D38"/>
          <w:sz w:val="18"/>
        </w:rPr>
        <w:t xml:space="preserve"> Incorrect. Sustain talk is information, not proof of resistance or a reason to withdraw care.</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When ambivalence is explicit, prefer reflection and evocation over confrontation or persuasion.</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Reflect both sides and let the client voice the argument for change.  Remediation: R6</w:t>
      </w:r>
    </w:p>
    <w:p>
      <w:pPr>
        <w:keepNext/>
        <w:spacing w:before="160" w:after="60"/>
      </w:pPr>
      <w:r>
        <w:rPr>
          <w:rFonts w:ascii="Liberation Sans" w:hAnsi="Liberation Sans"/>
          <w:b/>
          <w:color w:val="12385B"/>
          <w:sz w:val="20"/>
        </w:rPr>
        <w:t>6. Correct Answer: D</w:t>
      </w:r>
    </w:p>
    <w:p>
      <w:pPr>
        <w:spacing w:after="90"/>
      </w:pPr>
      <w:r>
        <w:rPr>
          <w:rFonts w:ascii="Liberation Sans" w:hAnsi="Liberation Sans"/>
          <w:b/>
          <w:color w:val="1E2D38"/>
          <w:sz w:val="18"/>
        </w:rPr>
        <w:t>Why A:</w:t>
      </w:r>
      <w:r>
        <w:rPr>
          <w:rFonts w:ascii="Liberation Sans" w:hAnsi="Liberation Sans"/>
          <w:i w:val="0"/>
          <w:color w:val="1E2D38"/>
          <w:sz w:val="18"/>
        </w:rPr>
        <w:t xml:space="preserve"> Unsafe. Completion does not take priority over orientation, regulation, and the client's ability to choose.</w:t>
      </w:r>
    </w:p>
    <w:p>
      <w:pPr>
        <w:spacing w:after="90"/>
      </w:pPr>
      <w:r>
        <w:rPr>
          <w:rFonts w:ascii="Liberation Sans" w:hAnsi="Liberation Sans"/>
          <w:b/>
          <w:color w:val="1E2D38"/>
          <w:sz w:val="18"/>
        </w:rPr>
        <w:t>Why B:</w:t>
      </w:r>
      <w:r>
        <w:rPr>
          <w:rFonts w:ascii="Liberation Sans" w:hAnsi="Liberation Sans"/>
          <w:i w:val="0"/>
          <w:color w:val="1E2D38"/>
          <w:sz w:val="18"/>
        </w:rPr>
        <w:t xml:space="preserve"> Premature and blaming. Observable disorientation requires assessment before an interpretive conclusion.</w:t>
      </w:r>
    </w:p>
    <w:p>
      <w:pPr>
        <w:spacing w:after="90"/>
      </w:pPr>
      <w:r>
        <w:rPr>
          <w:rFonts w:ascii="Liberation Sans" w:hAnsi="Liberation Sans"/>
          <w:b/>
          <w:color w:val="1E2D38"/>
          <w:sz w:val="18"/>
        </w:rPr>
        <w:t>Why C:</w:t>
      </w:r>
      <w:r>
        <w:rPr>
          <w:rFonts w:ascii="Liberation Sans" w:hAnsi="Liberation Sans"/>
          <w:i w:val="0"/>
          <w:color w:val="1E2D38"/>
          <w:sz w:val="18"/>
        </w:rPr>
        <w:t xml:space="preserve"> Inappropriate. Another person should not replace direct stabilization and assessment of the client.</w:t>
      </w:r>
    </w:p>
    <w:p>
      <w:pPr>
        <w:spacing w:after="90"/>
      </w:pPr>
      <w:r>
        <w:rPr>
          <w:rFonts w:ascii="Liberation Sans" w:hAnsi="Liberation Sans"/>
          <w:b/>
          <w:color w:val="1E2D38"/>
          <w:sz w:val="18"/>
        </w:rPr>
        <w:t>Why D:</w:t>
      </w:r>
      <w:r>
        <w:rPr>
          <w:rFonts w:ascii="Liberation Sans" w:hAnsi="Liberation Sans"/>
          <w:i w:val="0"/>
          <w:color w:val="1E2D38"/>
          <w:sz w:val="18"/>
        </w:rPr>
        <w:t xml:space="preserve"> Correct. FEEL requires stopping evocation, orienting, restoring choice, and assessing dissociation, safety, and immediate needs.</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Shutdown or disorientation moves the item from emotional deepening to regulation and safety.</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Evocation proceeds only within a tolerable, voluntary range.  Remediation: R7</w:t>
      </w:r>
    </w:p>
    <w:p>
      <w:pPr>
        <w:keepNext/>
        <w:spacing w:before="160" w:after="60"/>
      </w:pPr>
      <w:r>
        <w:rPr>
          <w:rFonts w:ascii="Liberation Sans" w:hAnsi="Liberation Sans"/>
          <w:b/>
          <w:color w:val="12385B"/>
          <w:sz w:val="20"/>
        </w:rPr>
        <w:t>7. Correct Answer: A</w:t>
      </w:r>
    </w:p>
    <w:p>
      <w:pPr>
        <w:spacing w:after="90"/>
      </w:pPr>
      <w:r>
        <w:rPr>
          <w:rFonts w:ascii="Liberation Sans" w:hAnsi="Liberation Sans"/>
          <w:b/>
          <w:color w:val="1E2D38"/>
          <w:sz w:val="18"/>
        </w:rPr>
        <w:t>Why A:</w:t>
      </w:r>
      <w:r>
        <w:rPr>
          <w:rFonts w:ascii="Liberation Sans" w:hAnsi="Liberation Sans"/>
          <w:i w:val="0"/>
          <w:color w:val="1E2D38"/>
          <w:sz w:val="18"/>
        </w:rPr>
        <w:t xml:space="preserve"> Correct. CHANGE begins with functional and relational assessment plus fit before arranging an experiment.</w:t>
      </w:r>
    </w:p>
    <w:p>
      <w:pPr>
        <w:spacing w:after="90"/>
      </w:pPr>
      <w:r>
        <w:rPr>
          <w:rFonts w:ascii="Liberation Sans" w:hAnsi="Liberation Sans"/>
          <w:b/>
          <w:color w:val="1E2D38"/>
          <w:sz w:val="18"/>
        </w:rPr>
        <w:t>Why B:</w:t>
      </w:r>
      <w:r>
        <w:rPr>
          <w:rFonts w:ascii="Liberation Sans" w:hAnsi="Liberation Sans"/>
          <w:i w:val="0"/>
          <w:color w:val="1E2D38"/>
          <w:sz w:val="18"/>
        </w:rPr>
        <w:t xml:space="preserve"> Blaming. Homework is a collaborative test, not a compliance device assigned to one partner.</w:t>
      </w:r>
    </w:p>
    <w:p>
      <w:pPr>
        <w:spacing w:after="90"/>
      </w:pPr>
      <w:r>
        <w:rPr>
          <w:rFonts w:ascii="Liberation Sans" w:hAnsi="Liberation Sans"/>
          <w:b/>
          <w:color w:val="1E2D38"/>
          <w:sz w:val="18"/>
        </w:rPr>
        <w:t>Why C:</w:t>
      </w:r>
      <w:r>
        <w:rPr>
          <w:rFonts w:ascii="Liberation Sans" w:hAnsi="Liberation Sans"/>
          <w:i w:val="0"/>
          <w:color w:val="1E2D38"/>
          <w:sz w:val="18"/>
        </w:rPr>
        <w:t xml:space="preserve"> Technique-first reasoning. Availability of a worksheet does not establish its relevance or accessibility.</w:t>
      </w:r>
    </w:p>
    <w:p>
      <w:pPr>
        <w:spacing w:after="90"/>
      </w:pPr>
      <w:r>
        <w:rPr>
          <w:rFonts w:ascii="Liberation Sans" w:hAnsi="Liberation Sans"/>
          <w:b/>
          <w:color w:val="1E2D38"/>
          <w:sz w:val="18"/>
        </w:rPr>
        <w:t>Why D:</w:t>
      </w:r>
      <w:r>
        <w:rPr>
          <w:rFonts w:ascii="Liberation Sans" w:hAnsi="Liberation Sans"/>
          <w:i w:val="0"/>
          <w:color w:val="1E2D38"/>
          <w:sz w:val="18"/>
        </w:rPr>
        <w:t xml:space="preserve"> Therapist preference is not a clinical mechanism and should not control the intervention.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Before homework, look for an explicit target, functional analysis, relational loop, and feasibility check.</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A behavioral experiment tests a hypothesis and must fit the client system.  Remediation: R2/R8</w:t>
      </w:r>
    </w:p>
    <w:p>
      <w:pPr>
        <w:keepNext/>
        <w:spacing w:before="160" w:after="60"/>
      </w:pPr>
      <w:r>
        <w:rPr>
          <w:rFonts w:ascii="Liberation Sans" w:hAnsi="Liberation Sans"/>
          <w:b/>
          <w:color w:val="12385B"/>
          <w:sz w:val="20"/>
        </w:rPr>
        <w:t>8. Correct Answer: C</w:t>
      </w:r>
    </w:p>
    <w:p>
      <w:pPr>
        <w:spacing w:after="90"/>
      </w:pPr>
      <w:r>
        <w:rPr>
          <w:rFonts w:ascii="Liberation Sans" w:hAnsi="Liberation Sans"/>
          <w:b/>
          <w:color w:val="1E2D38"/>
          <w:sz w:val="18"/>
        </w:rPr>
        <w:t>Why A:</w:t>
      </w:r>
      <w:r>
        <w:rPr>
          <w:rFonts w:ascii="Liberation Sans" w:hAnsi="Liberation Sans"/>
          <w:i w:val="0"/>
          <w:color w:val="1E2D38"/>
          <w:sz w:val="18"/>
        </w:rPr>
        <w:t xml:space="preserve"> Too individual and potentially invalidating. The appraisal should be examined within the actual relational and contextual feedback loop.</w:t>
      </w:r>
    </w:p>
    <w:p>
      <w:pPr>
        <w:spacing w:after="90"/>
      </w:pPr>
      <w:r>
        <w:rPr>
          <w:rFonts w:ascii="Liberation Sans" w:hAnsi="Liberation Sans"/>
          <w:b/>
          <w:color w:val="1E2D38"/>
          <w:sz w:val="18"/>
        </w:rPr>
        <w:t>Why B:</w:t>
      </w:r>
      <w:r>
        <w:rPr>
          <w:rFonts w:ascii="Liberation Sans" w:hAnsi="Liberation Sans"/>
          <w:i w:val="0"/>
          <w:color w:val="1E2D38"/>
          <w:sz w:val="18"/>
        </w:rPr>
        <w:t xml:space="preserve"> Likely to reinforce dependence on reassurance and does not create a sustainable alternative interaction.</w:t>
      </w:r>
    </w:p>
    <w:p>
      <w:pPr>
        <w:spacing w:after="90"/>
      </w:pPr>
      <w:r>
        <w:rPr>
          <w:rFonts w:ascii="Liberation Sans" w:hAnsi="Liberation Sans"/>
          <w:b/>
          <w:color w:val="1E2D38"/>
          <w:sz w:val="18"/>
        </w:rPr>
        <w:t>Why C:</w:t>
      </w:r>
      <w:r>
        <w:rPr>
          <w:rFonts w:ascii="Liberation Sans" w:hAnsi="Liberation Sans"/>
          <w:i w:val="0"/>
          <w:color w:val="1E2D38"/>
          <w:sz w:val="18"/>
        </w:rPr>
        <w:t xml:space="preserve"> Correct. The option links cognition, protective behavior, partner response, reciprocal reinforcement, and an observable experiment.</w:t>
      </w:r>
    </w:p>
    <w:p>
      <w:pPr>
        <w:spacing w:after="90"/>
      </w:pPr>
      <w:r>
        <w:rPr>
          <w:rFonts w:ascii="Liberation Sans" w:hAnsi="Liberation Sans"/>
          <w:b/>
          <w:color w:val="1E2D38"/>
          <w:sz w:val="18"/>
        </w:rPr>
        <w:t>Why D:</w:t>
      </w:r>
      <w:r>
        <w:rPr>
          <w:rFonts w:ascii="Liberation Sans" w:hAnsi="Liberation Sans"/>
          <w:i w:val="0"/>
          <w:color w:val="1E2D38"/>
          <w:sz w:val="18"/>
        </w:rPr>
        <w:t xml:space="preserve"> Incorrect. Systemic cognitive-behavioral work includes appraisals when connected to interaction and context.</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The systemic answer connects thought, action, other-person response, and feedback.</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Cognition is one part of a reciprocal loop, not an isolated defect.  Remediation: R8</w:t>
      </w:r>
    </w:p>
    <w:p>
      <w:r>
        <w:br w:type="page"/>
      </w:r>
    </w:p>
    <w:p>
      <w:pPr>
        <w:keepNext/>
        <w:spacing w:before="160" w:after="60"/>
      </w:pPr>
      <w:r>
        <w:rPr>
          <w:rFonts w:ascii="Liberation Sans" w:hAnsi="Liberation Sans"/>
          <w:b/>
          <w:color w:val="12385B"/>
          <w:sz w:val="20"/>
        </w:rPr>
        <w:t>9. Correct Answer: B</w:t>
      </w:r>
    </w:p>
    <w:p>
      <w:pPr>
        <w:spacing w:after="90"/>
      </w:pPr>
      <w:r>
        <w:rPr>
          <w:rFonts w:ascii="Liberation Sans" w:hAnsi="Liberation Sans"/>
          <w:b/>
          <w:color w:val="1E2D38"/>
          <w:sz w:val="18"/>
        </w:rPr>
        <w:t>Why A:</w:t>
      </w:r>
      <w:r>
        <w:rPr>
          <w:rFonts w:ascii="Liberation Sans" w:hAnsi="Liberation Sans"/>
          <w:i w:val="0"/>
          <w:color w:val="1E2D38"/>
          <w:sz w:val="18"/>
        </w:rPr>
        <w:t xml:space="preserve"> Unsafe. Persistence may reflect compliance while dissociation or detachment worsens.</w:t>
      </w:r>
    </w:p>
    <w:p>
      <w:pPr>
        <w:spacing w:after="90"/>
      </w:pPr>
      <w:r>
        <w:rPr>
          <w:rFonts w:ascii="Liberation Sans" w:hAnsi="Liberation Sans"/>
          <w:b/>
          <w:color w:val="1E2D38"/>
          <w:sz w:val="18"/>
        </w:rPr>
        <w:t>Why B:</w:t>
      </w:r>
      <w:r>
        <w:rPr>
          <w:rFonts w:ascii="Liberation Sans" w:hAnsi="Liberation Sans"/>
          <w:i w:val="0"/>
          <w:color w:val="1E2D38"/>
          <w:sz w:val="18"/>
        </w:rPr>
        <w:t xml:space="preserve"> Correct. PAUSE prioritizes stopping, external orientation, assessment, choice, adaptation, and client feedback.</w:t>
      </w:r>
    </w:p>
    <w:p>
      <w:pPr>
        <w:spacing w:after="90"/>
      </w:pPr>
      <w:r>
        <w:rPr>
          <w:rFonts w:ascii="Liberation Sans" w:hAnsi="Liberation Sans"/>
          <w:b/>
          <w:color w:val="1E2D38"/>
          <w:sz w:val="18"/>
        </w:rPr>
        <w:t>Why C:</w:t>
      </w:r>
      <w:r>
        <w:rPr>
          <w:rFonts w:ascii="Liberation Sans" w:hAnsi="Liberation Sans"/>
          <w:i w:val="0"/>
          <w:color w:val="1E2D38"/>
          <w:sz w:val="18"/>
        </w:rPr>
        <w:t xml:space="preserve"> Incorrect. Increased detachment is an adverse response to assess, not automatic evidence of therapeutic defusion.</w:t>
      </w:r>
    </w:p>
    <w:p>
      <w:pPr>
        <w:spacing w:after="90"/>
      </w:pPr>
      <w:r>
        <w:rPr>
          <w:rFonts w:ascii="Liberation Sans" w:hAnsi="Liberation Sans"/>
          <w:b/>
          <w:color w:val="1E2D38"/>
          <w:sz w:val="18"/>
        </w:rPr>
        <w:t>Why D:</w:t>
      </w:r>
      <w:r>
        <w:rPr>
          <w:rFonts w:ascii="Liberation Sans" w:hAnsi="Liberation Sans"/>
          <w:i w:val="0"/>
          <w:color w:val="1E2D38"/>
          <w:sz w:val="18"/>
        </w:rPr>
        <w:t xml:space="preserve"> Unsafe and unsupported. Removing therapist monitoring could increase harm and does not repair consent.</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Mindfulness is never automatically correct; adverse response and loss of choice control the next step.</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Offer rationale and alternatives, then adapt or stop when the practice destabilizes.  Remediation: R9</w:t>
      </w:r>
    </w:p>
    <w:p>
      <w:pPr>
        <w:keepNext/>
        <w:spacing w:before="160" w:after="60"/>
      </w:pPr>
      <w:r>
        <w:rPr>
          <w:rFonts w:ascii="Liberation Sans" w:hAnsi="Liberation Sans"/>
          <w:b/>
          <w:color w:val="12385B"/>
          <w:sz w:val="20"/>
        </w:rPr>
        <w:t>10. Correct Answer: A</w:t>
      </w:r>
    </w:p>
    <w:p>
      <w:pPr>
        <w:spacing w:after="90"/>
      </w:pPr>
      <w:r>
        <w:rPr>
          <w:rFonts w:ascii="Liberation Sans" w:hAnsi="Liberation Sans"/>
          <w:b/>
          <w:color w:val="1E2D38"/>
          <w:sz w:val="18"/>
        </w:rPr>
        <w:t>Why A:</w:t>
      </w:r>
      <w:r>
        <w:rPr>
          <w:rFonts w:ascii="Liberation Sans" w:hAnsi="Liberation Sans"/>
          <w:i w:val="0"/>
          <w:color w:val="1E2D38"/>
          <w:sz w:val="18"/>
        </w:rPr>
        <w:t xml:space="preserve"> Correct. MATCH reconnects hypothesis, target, distributed outcome, alliance, competence, and revision before further intervention.</w:t>
      </w:r>
    </w:p>
    <w:p>
      <w:pPr>
        <w:spacing w:after="90"/>
      </w:pPr>
      <w:r>
        <w:rPr>
          <w:rFonts w:ascii="Liberation Sans" w:hAnsi="Liberation Sans"/>
          <w:b/>
          <w:color w:val="1E2D38"/>
          <w:sz w:val="18"/>
        </w:rPr>
        <w:t>Why B:</w:t>
      </w:r>
      <w:r>
        <w:rPr>
          <w:rFonts w:ascii="Liberation Sans" w:hAnsi="Liberation Sans"/>
          <w:i w:val="0"/>
          <w:color w:val="1E2D38"/>
          <w:sz w:val="18"/>
        </w:rPr>
        <w:t xml:space="preserve"> Incorrect. Another technique deepens drift and makes response harder to interpret.</w:t>
      </w:r>
    </w:p>
    <w:p>
      <w:pPr>
        <w:spacing w:after="90"/>
      </w:pPr>
      <w:r>
        <w:rPr>
          <w:rFonts w:ascii="Liberation Sans" w:hAnsi="Liberation Sans"/>
          <w:b/>
          <w:color w:val="1E2D38"/>
          <w:sz w:val="18"/>
        </w:rPr>
        <w:t>Why C:</w:t>
      </w:r>
      <w:r>
        <w:rPr>
          <w:rFonts w:ascii="Liberation Sans" w:hAnsi="Liberation Sans"/>
          <w:i w:val="0"/>
          <w:color w:val="1E2D38"/>
          <w:sz w:val="18"/>
        </w:rPr>
        <w:t xml:space="preserve"> Feedback neglect. Worsening alliance and outcomes require reassessment now, not passive continuation.</w:t>
      </w:r>
    </w:p>
    <w:p>
      <w:pPr>
        <w:spacing w:after="90"/>
      </w:pPr>
      <w:r>
        <w:rPr>
          <w:rFonts w:ascii="Liberation Sans" w:hAnsi="Liberation Sans"/>
          <w:b/>
          <w:color w:val="1E2D38"/>
          <w:sz w:val="18"/>
        </w:rPr>
        <w:t>Why D:</w:t>
      </w:r>
      <w:r>
        <w:rPr>
          <w:rFonts w:ascii="Liberation Sans" w:hAnsi="Liberation Sans"/>
          <w:i w:val="0"/>
          <w:color w:val="1E2D38"/>
          <w:sz w:val="18"/>
        </w:rPr>
        <w:t xml:space="preserve"> Blaming and unsupported. Multiple attempted methods do not establish that the client is resistant.</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When many methods and worsening feedback appear together, the answer is coherent reassessment and revision.</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Integration requires one working hypothesis, explicit functions, and response-based revision.  Remediation: R1/R10</w:t>
      </w:r>
    </w:p>
    <w:p>
      <w:pPr>
        <w:pStyle w:val="Heading1"/>
      </w:pPr>
      <w:r>
        <w:t>Remediation and Workbook 8 Readiness Plan</w:t>
      </w:r>
    </w:p>
    <w:tbl>
      <w:tblPr>
        <w:tblW w:type="dxa" w:w="10560"/>
        <w:jc w:val="left"/>
        <w:tblLayout w:type="fixed"/>
        <w:tblLook w:firstColumn="1" w:firstRow="1" w:lastColumn="0" w:lastRow="0" w:noHBand="0" w:noVBand="1" w:val="04A0"/>
        <w:tblInd w:w="0" w:type="dxa"/>
      </w:tblPr>
      <w:tblGrid>
        <w:gridCol w:w="900"/>
        <w:gridCol w:w="3500"/>
        <w:gridCol w:w="6160"/>
      </w:tblGrid>
      <w:tr>
        <w:trPr>
          <w:tblHeader w:val="true"/>
          <w:cantSplit/>
        </w:trPr>
        <w:tc>
          <w:tcPr>
            <w:tcW w:type="dxa" w:w="900"/>
            <w:shd w:fill="12385B"/>
            <w:tcMar>
              <w:top w:w="95" w:type="dxa"/>
              <w:start w:w="120" w:type="dxa"/>
              <w:bottom w:w="95" w:type="dxa"/>
              <w:end w:w="120" w:type="dxa"/>
            </w:tcMar>
            <w:vAlign w:val="center"/>
          </w:tcPr>
          <w:p>
            <w:pPr>
              <w:spacing w:after="0"/>
            </w:pPr>
            <w:r/>
            <w:r>
              <w:rPr>
                <w:rFonts w:ascii="Liberation Sans" w:hAnsi="Liberation Sans"/>
                <w:b/>
                <w:color w:val="FFFFFF"/>
                <w:sz w:val="17"/>
              </w:rPr>
              <w:t>Code</w:t>
            </w:r>
          </w:p>
        </w:tc>
        <w:tc>
          <w:tcPr>
            <w:tcW w:type="dxa" w:w="3500"/>
            <w:shd w:fill="12385B"/>
            <w:tcMar>
              <w:top w:w="95" w:type="dxa"/>
              <w:start w:w="120" w:type="dxa"/>
              <w:bottom w:w="95" w:type="dxa"/>
              <w:end w:w="120" w:type="dxa"/>
            </w:tcMar>
            <w:vAlign w:val="center"/>
          </w:tcPr>
          <w:p>
            <w:pPr>
              <w:spacing w:after="0"/>
            </w:pPr>
            <w:r/>
            <w:r>
              <w:rPr>
                <w:rFonts w:ascii="Liberation Sans" w:hAnsi="Liberation Sans"/>
                <w:b/>
                <w:color w:val="FFFFFF"/>
                <w:sz w:val="17"/>
              </w:rPr>
              <w:t>Reasoning error</w:t>
            </w:r>
          </w:p>
        </w:tc>
        <w:tc>
          <w:tcPr>
            <w:tcW w:type="dxa" w:w="6160"/>
            <w:shd w:fill="12385B"/>
            <w:tcMar>
              <w:top w:w="95" w:type="dxa"/>
              <w:start w:w="120" w:type="dxa"/>
              <w:bottom w:w="95" w:type="dxa"/>
              <w:end w:w="120" w:type="dxa"/>
            </w:tcMar>
            <w:vAlign w:val="center"/>
          </w:tcPr>
          <w:p>
            <w:pPr>
              <w:spacing w:after="0"/>
            </w:pPr>
            <w:r/>
            <w:r>
              <w:rPr>
                <w:rFonts w:ascii="Liberation Sans" w:hAnsi="Liberation Sans"/>
                <w:b/>
                <w:color w:val="FFFFFF"/>
                <w:sz w:val="17"/>
              </w:rPr>
              <w:t>Repair</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R1</w:t>
            </w:r>
          </w:p>
        </w:tc>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6"/>
              </w:rPr>
              <w:t>Technique accumulation</w:t>
            </w:r>
          </w:p>
        </w:tc>
        <w:tc>
          <w:tcPr>
            <w:tcW w:type="dxa" w:w="6160"/>
            <w:tcMar>
              <w:top w:w="90" w:type="dxa"/>
              <w:start w:w="120" w:type="dxa"/>
              <w:bottom w:w="90" w:type="dxa"/>
              <w:end w:w="120" w:type="dxa"/>
            </w:tcMar>
            <w:vAlign w:val="center"/>
          </w:tcPr>
          <w:p>
            <w:pPr>
              <w:spacing w:after="0" w:line="252" w:lineRule="auto"/>
            </w:pPr>
            <w:r/>
            <w:r>
              <w:rPr>
                <w:rFonts w:ascii="Liberation Sans" w:hAnsi="Liberation Sans"/>
                <w:color w:val="1E2D38"/>
                <w:sz w:val="16"/>
              </w:rPr>
              <w:t>Return to one working hypothesis, mechanism, goal, and response indicator.</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R2</w:t>
            </w:r>
          </w:p>
        </w:tc>
        <w:tc>
          <w:tcPr>
            <w:tcW w:type="dxa" w:w="3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Model-mechanism mismatch</w:t>
            </w:r>
          </w:p>
        </w:tc>
        <w:tc>
          <w:tcPr>
            <w:tcW w:type="dxa" w:w="61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Choose the method because it fits the maintaining process, client, and decision point.</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R3</w:t>
            </w:r>
          </w:p>
        </w:tc>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6"/>
              </w:rPr>
              <w:t>Expert-author trap</w:t>
            </w:r>
          </w:p>
        </w:tc>
        <w:tc>
          <w:tcPr>
            <w:tcW w:type="dxa" w:w="6160"/>
            <w:tcMar>
              <w:top w:w="90" w:type="dxa"/>
              <w:start w:w="120" w:type="dxa"/>
              <w:bottom w:w="90" w:type="dxa"/>
              <w:end w:w="120" w:type="dxa"/>
            </w:tcMar>
            <w:vAlign w:val="center"/>
          </w:tcPr>
          <w:p>
            <w:pPr>
              <w:spacing w:after="0" w:line="252" w:lineRule="auto"/>
            </w:pPr>
            <w:r/>
            <w:r>
              <w:rPr>
                <w:rFonts w:ascii="Liberation Sans" w:hAnsi="Liberation Sans"/>
                <w:color w:val="1E2D38"/>
                <w:sz w:val="16"/>
              </w:rPr>
              <w:t>Elicit the client system's language, preferences, values, and authorship.</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R4</w:t>
            </w:r>
          </w:p>
        </w:tc>
        <w:tc>
          <w:tcPr>
            <w:tcW w:type="dxa" w:w="3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Problem-saturated or excusing language</w:t>
            </w:r>
          </w:p>
        </w:tc>
        <w:tc>
          <w:tcPr>
            <w:tcW w:type="dxa" w:w="61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Externalize the problem without externalizing responsibility or concrete harm.</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R5</w:t>
            </w:r>
          </w:p>
        </w:tc>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6"/>
              </w:rPr>
              <w:t>Solution rush / exception inflation</w:t>
            </w:r>
          </w:p>
        </w:tc>
        <w:tc>
          <w:tcPr>
            <w:tcW w:type="dxa" w:w="6160"/>
            <w:tcMar>
              <w:top w:w="90" w:type="dxa"/>
              <w:start w:w="120" w:type="dxa"/>
              <w:bottom w:w="90" w:type="dxa"/>
              <w:end w:w="120" w:type="dxa"/>
            </w:tcMar>
            <w:vAlign w:val="center"/>
          </w:tcPr>
          <w:p>
            <w:pPr>
              <w:spacing w:after="0" w:line="252" w:lineRule="auto"/>
            </w:pPr>
            <w:r/>
            <w:r>
              <w:rPr>
                <w:rFonts w:ascii="Liberation Sans" w:hAnsi="Liberation Sans"/>
                <w:color w:val="1E2D38"/>
                <w:sz w:val="16"/>
              </w:rPr>
              <w:t>Validate the problem and assess safety before building from exceptions or small steps.</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R6</w:t>
            </w:r>
          </w:p>
        </w:tc>
        <w:tc>
          <w:tcPr>
            <w:tcW w:type="dxa" w:w="3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Ambivalence override</w:t>
            </w:r>
          </w:p>
        </w:tc>
        <w:tc>
          <w:tcPr>
            <w:tcW w:type="dxa" w:w="61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Reflect both sides and evoke the client's own reasons, readiness, and choice.</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R7</w:t>
            </w:r>
          </w:p>
        </w:tc>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6"/>
              </w:rPr>
              <w:t>Evocation before regulation</w:t>
            </w:r>
          </w:p>
        </w:tc>
        <w:tc>
          <w:tcPr>
            <w:tcW w:type="dxa" w:w="6160"/>
            <w:tcMar>
              <w:top w:w="90" w:type="dxa"/>
              <w:start w:w="120" w:type="dxa"/>
              <w:bottom w:w="90" w:type="dxa"/>
              <w:end w:w="120" w:type="dxa"/>
            </w:tcMar>
            <w:vAlign w:val="center"/>
          </w:tcPr>
          <w:p>
            <w:pPr>
              <w:spacing w:after="0" w:line="252" w:lineRule="auto"/>
            </w:pPr>
            <w:r/>
            <w:r>
              <w:rPr>
                <w:rFonts w:ascii="Liberation Sans" w:hAnsi="Liberation Sans"/>
                <w:color w:val="1E2D38"/>
                <w:sz w:val="16"/>
              </w:rPr>
              <w:t>Restore safety, regulation, consent, and tolerable pacing before deepening experience.</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R8</w:t>
            </w:r>
          </w:p>
        </w:tc>
        <w:tc>
          <w:tcPr>
            <w:tcW w:type="dxa" w:w="3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Individual-reduction trap</w:t>
            </w:r>
          </w:p>
        </w:tc>
        <w:tc>
          <w:tcPr>
            <w:tcW w:type="dxa" w:w="61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Reconnect behavior and cognition to reciprocal patterns, culture, development, and context.</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R9</w:t>
            </w:r>
          </w:p>
        </w:tc>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6"/>
              </w:rPr>
              <w:t>Mindfulness universalization</w:t>
            </w:r>
          </w:p>
        </w:tc>
        <w:tc>
          <w:tcPr>
            <w:tcW w:type="dxa" w:w="6160"/>
            <w:tcMar>
              <w:top w:w="90" w:type="dxa"/>
              <w:start w:w="120" w:type="dxa"/>
              <w:bottom w:w="90" w:type="dxa"/>
              <w:end w:w="120" w:type="dxa"/>
            </w:tcMar>
            <w:vAlign w:val="center"/>
          </w:tcPr>
          <w:p>
            <w:pPr>
              <w:spacing w:after="0" w:line="252" w:lineRule="auto"/>
            </w:pPr>
            <w:r/>
            <w:r>
              <w:rPr>
                <w:rFonts w:ascii="Liberation Sans" w:hAnsi="Liberation Sans"/>
                <w:color w:val="1E2D38"/>
                <w:sz w:val="16"/>
              </w:rPr>
              <w:t>Offer rationale and alternatives; adapt or stop when the practice is unwanted or destabilizing.</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R10</w:t>
            </w:r>
          </w:p>
        </w:tc>
        <w:tc>
          <w:tcPr>
            <w:tcW w:type="dxa" w:w="35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Feedback or competence neglect</w:t>
            </w:r>
          </w:p>
        </w:tc>
        <w:tc>
          <w:tcPr>
            <w:tcW w:type="dxa" w:w="61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Review response, document, consult, revise, refer, or narrow scope as indicated.</w:t>
            </w:r>
          </w:p>
        </w:tc>
      </w:tr>
    </w:tbl>
    <w:p>
      <w:pPr>
        <w:spacing w:after="20"/>
      </w:pPr>
    </w:p>
    <w:p>
      <w:pPr>
        <w:pStyle w:val="Heading2"/>
      </w:pPr>
      <w:r>
        <w:t>Readiness Gate</w:t>
      </w:r>
    </w:p>
    <w:p>
      <w:pPr>
        <w:pStyle w:val="ListBullet"/>
        <w:spacing w:after="70"/>
      </w:pPr>
      <w:r>
        <w:rPr>
          <w:rFonts w:ascii="Liberation Sans" w:hAnsi="Liberation Sans"/>
          <w:color w:val="1E2D38"/>
          <w:sz w:val="18"/>
        </w:rPr>
        <w:t>[ ] I can state the treatment unit, maintaining mechanism, agreed goal, and response indicator before choosing a technique.</w:t>
      </w:r>
    </w:p>
    <w:p>
      <w:pPr>
        <w:pStyle w:val="ListBullet"/>
        <w:spacing w:after="70"/>
      </w:pPr>
      <w:r>
        <w:rPr>
          <w:rFonts w:ascii="Liberation Sans" w:hAnsi="Liberation Sans"/>
          <w:color w:val="1E2D38"/>
          <w:sz w:val="18"/>
        </w:rPr>
        <w:t>[ ] I can distinguish coherent integration from technique accumulation.</w:t>
      </w:r>
    </w:p>
    <w:p>
      <w:pPr>
        <w:pStyle w:val="ListBullet"/>
        <w:spacing w:after="70"/>
      </w:pPr>
      <w:r>
        <w:rPr>
          <w:rFonts w:ascii="Liberation Sans" w:hAnsi="Liberation Sans"/>
          <w:color w:val="1E2D38"/>
          <w:sz w:val="18"/>
        </w:rPr>
        <w:t>[ ] I preserve client authorship while providing accurate clinical structure and informed choice.</w:t>
      </w:r>
    </w:p>
    <w:p>
      <w:pPr>
        <w:pStyle w:val="ListBullet"/>
        <w:spacing w:after="70"/>
      </w:pPr>
      <w:r>
        <w:rPr>
          <w:rFonts w:ascii="Liberation Sans" w:hAnsi="Liberation Sans"/>
          <w:color w:val="1E2D38"/>
          <w:sz w:val="18"/>
        </w:rPr>
        <w:t>[ ] I can use narrative externalizing and re-authoring without minimizing responsibility or material context.</w:t>
      </w:r>
    </w:p>
    <w:p>
      <w:pPr>
        <w:pStyle w:val="ListBullet"/>
        <w:spacing w:after="70"/>
      </w:pPr>
      <w:r>
        <w:rPr>
          <w:rFonts w:ascii="Liberation Sans" w:hAnsi="Liberation Sans"/>
          <w:color w:val="1E2D38"/>
          <w:sz w:val="18"/>
        </w:rPr>
        <w:t>[ ] I can use preferred-future, exception, scaling, coping, and motivational methods without rushing solutions or overriding ambivalence.</w:t>
      </w:r>
    </w:p>
    <w:p>
      <w:pPr>
        <w:pStyle w:val="ListBullet"/>
        <w:spacing w:after="70"/>
      </w:pPr>
      <w:r>
        <w:rPr>
          <w:rFonts w:ascii="Liberation Sans" w:hAnsi="Liberation Sans"/>
          <w:color w:val="1E2D38"/>
          <w:sz w:val="18"/>
        </w:rPr>
        <w:t>[ ] I assess regulation, consent, trauma response, dissociation, and accessibility before experiential evocation.</w:t>
      </w:r>
    </w:p>
    <w:p>
      <w:pPr>
        <w:pStyle w:val="ListBullet"/>
        <w:spacing w:after="70"/>
      </w:pPr>
      <w:r>
        <w:rPr>
          <w:rFonts w:ascii="Liberation Sans" w:hAnsi="Liberation Sans"/>
          <w:color w:val="1E2D38"/>
          <w:sz w:val="18"/>
        </w:rPr>
        <w:t>[ ] I can connect behavior and cognition to antecedents, consequences, reciprocal reinforcement, culture, and context.</w:t>
      </w:r>
    </w:p>
    <w:p>
      <w:pPr>
        <w:pStyle w:val="ListBullet"/>
        <w:spacing w:after="70"/>
      </w:pPr>
      <w:r>
        <w:rPr>
          <w:rFonts w:ascii="Liberation Sans" w:hAnsi="Liberation Sans"/>
          <w:color w:val="1E2D38"/>
          <w:sz w:val="18"/>
        </w:rPr>
        <w:t>[ ] I offer mindfulness and acceptance practices with rationale, alternatives, adaptation, and adverse-response monitoring.</w:t>
      </w:r>
    </w:p>
    <w:p>
      <w:pPr>
        <w:pStyle w:val="ListBullet"/>
        <w:spacing w:after="70"/>
      </w:pPr>
      <w:r>
        <w:rPr>
          <w:rFonts w:ascii="Liberation Sans" w:hAnsi="Liberation Sans"/>
          <w:color w:val="1E2D38"/>
          <w:sz w:val="18"/>
        </w:rPr>
        <w:t>[ ] I evaluate alliance and outcomes by participant and revise when progress is uneven, absent, or harmful.</w:t>
      </w:r>
    </w:p>
    <w:p>
      <w:pPr>
        <w:pStyle w:val="ListBullet"/>
        <w:spacing w:after="70"/>
      </w:pPr>
      <w:r>
        <w:rPr>
          <w:rFonts w:ascii="Liberation Sans" w:hAnsi="Liberation Sans"/>
          <w:color w:val="1E2D38"/>
          <w:sz w:val="18"/>
        </w:rPr>
        <w:t>[ ] I recognize evidence, competence, ethical, documentation, safety, consultation, referral, and jurisdiction limits.</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ADVANCEMENT RULE  </w:t>
            </w:r>
            <w:r>
              <w:rPr>
                <w:rFonts w:ascii="Liberation Sans" w:hAnsi="Liberation Sans"/>
                <w:color w:val="1E2D38"/>
                <w:sz w:val="18"/>
              </w:rPr>
              <w:t>Before moving to the Workbook 8 candidate bank or Checkpoint 2 development, review every missed or low-confidence item, complete the relevant integrative intervention record, and state a transferable decision rule. A raw score alone does not establish readiness.</w:t>
            </w:r>
          </w:p>
        </w:tc>
      </w:tr>
    </w:tbl>
    <w:p>
      <w:pPr>
        <w:spacing w:after="20"/>
      </w:pPr>
    </w:p>
    <w:p>
      <w:pPr>
        <w:pStyle w:val="Heading2"/>
      </w:pPr>
      <w:r>
        <w:t>My Workbook 8 Action Plan</w:t>
      </w:r>
    </w:p>
    <w:tbl>
      <w:tblPr>
        <w:tblW w:type="dxa" w:w="10560"/>
        <w:jc w:val="left"/>
        <w:tblLayout w:type="fixed"/>
        <w:tblLook w:firstColumn="1" w:firstRow="1" w:lastColumn="0" w:lastRow="0" w:noHBand="0" w:noVBand="1" w:val="04A0"/>
        <w:tblInd w:w="0" w:type="dxa"/>
      </w:tblPr>
      <w:tblGrid>
        <w:gridCol w:w="3500"/>
        <w:gridCol w:w="7060"/>
      </w:tblGrid>
      <w:tr>
        <w:trPr>
          <w:tblHeader w:val="true"/>
          <w:cantSplit/>
        </w:trPr>
        <w:tc>
          <w:tcPr>
            <w:tcW w:type="dxa" w:w="35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70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7"/>
              </w:rPr>
              <w:t>Priority skill</w:t>
            </w:r>
          </w:p>
        </w:tc>
        <w:tc>
          <w:tcPr>
            <w:tcW w:type="dxa" w:w="70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7"/>
              </w:rPr>
              <w:t>Evidence from my work</w:t>
            </w:r>
          </w:p>
        </w:tc>
        <w:tc>
          <w:tcPr>
            <w:tcW w:type="dxa" w:w="70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7"/>
              </w:rPr>
              <w:t>Error code</w:t>
            </w:r>
          </w:p>
        </w:tc>
        <w:tc>
          <w:tcPr>
            <w:tcW w:type="dxa" w:w="70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7"/>
              </w:rPr>
              <w:t>Repair activity</w:t>
            </w:r>
          </w:p>
        </w:tc>
        <w:tc>
          <w:tcPr>
            <w:tcW w:type="dxa" w:w="70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7"/>
              </w:rPr>
              <w:t>Next practice date</w:t>
            </w:r>
          </w:p>
        </w:tc>
        <w:tc>
          <w:tcPr>
            <w:tcW w:type="dxa" w:w="70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500"/>
            <w:tcMar>
              <w:top w:w="90" w:type="dxa"/>
              <w:start w:w="120" w:type="dxa"/>
              <w:bottom w:w="90" w:type="dxa"/>
              <w:end w:w="120" w:type="dxa"/>
            </w:tcMar>
            <w:vAlign w:val="center"/>
          </w:tcPr>
          <w:p>
            <w:pPr>
              <w:spacing w:after="0" w:line="252" w:lineRule="auto"/>
            </w:pPr>
            <w:r/>
            <w:r>
              <w:rPr>
                <w:rFonts w:ascii="Liberation Sans" w:hAnsi="Liberation Sans"/>
                <w:color w:val="1E2D38"/>
                <w:sz w:val="17"/>
              </w:rPr>
              <w:t>Result / new rule</w:t>
            </w:r>
          </w:p>
        </w:tc>
        <w:tc>
          <w:tcPr>
            <w:tcW w:type="dxa" w:w="70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bl>
    <w:p>
      <w:pPr>
        <w:spacing w:after="20"/>
      </w:pPr>
    </w:p>
    <w:p>
      <w:pPr>
        <w:pStyle w:val="Heading1"/>
      </w:pPr>
      <w:r>
        <w:t>Workbook 8 Source, Ethics, and Safety Notes</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EDUCATIONAL USE  </w:t>
            </w:r>
            <w:r>
              <w:rPr>
                <w:rFonts w:ascii="Liberation Sans" w:hAnsi="Liberation Sans"/>
                <w:color w:val="1E2D38"/>
                <w:sz w:val="18"/>
              </w:rPr>
              <w:t>This workbook is exam preparation. It does not provide legal advice, psychotherapy, diagnosis, treatment, supervision, emergency services, or a substitute for current organizational procedures, professional consultation, or jurisdiction-specific requirements.</w:t>
            </w:r>
          </w:p>
        </w:tc>
      </w:tr>
    </w:tbl>
    <w:p>
      <w:pPr>
        <w:spacing w:after="20"/>
      </w:pPr>
    </w:p>
    <w:p>
      <w:pPr>
        <w:pStyle w:val="Heading2"/>
      </w:pPr>
      <w:r>
        <w:t>Authoritative and Practice Sources</w:t>
      </w:r>
    </w:p>
    <w:p>
      <w:pPr>
        <w:pStyle w:val="ListBullet"/>
        <w:spacing w:after="30" w:line="252" w:lineRule="auto"/>
      </w:pPr>
      <w:r>
        <w:rPr>
          <w:rFonts w:ascii="Liberation Sans" w:hAnsi="Liberation Sans"/>
          <w:color w:val="1E2D38"/>
          <w:sz w:val="17"/>
        </w:rPr>
        <w:t>Association of Marital &amp; Family Therapy Regulatory Boards (AMFTRB). Current Handbook for Candidates and corrected examination content outline. Verify the current official edition and correction notices before publication or study.</w:t>
      </w:r>
    </w:p>
    <w:p>
      <w:pPr>
        <w:pStyle w:val="ListBullet"/>
        <w:spacing w:after="30" w:line="252" w:lineRule="auto"/>
      </w:pPr>
      <w:r>
        <w:rPr>
          <w:rFonts w:ascii="Liberation Sans" w:hAnsi="Liberation Sans"/>
          <w:color w:val="1E2D38"/>
          <w:sz w:val="17"/>
        </w:rPr>
        <w:t>American Association for Marriage and Family Therapy (AAMFT). Revised Code of Ethics, effective January 1, 2026. Apply together with controlling law, regulation, and licensing-board guidance.</w:t>
      </w:r>
    </w:p>
    <w:p>
      <w:pPr>
        <w:pStyle w:val="ListBullet"/>
        <w:spacing w:after="30" w:line="252" w:lineRule="auto"/>
      </w:pPr>
      <w:r>
        <w:rPr>
          <w:rFonts w:ascii="Liberation Sans" w:hAnsi="Liberation Sans"/>
          <w:color w:val="1E2D38"/>
          <w:sz w:val="17"/>
        </w:rPr>
        <w:t>White, M., &amp; Epston, D. (1990). Narrative Means to Therapeutic Ends. W. W. Norton.</w:t>
      </w:r>
    </w:p>
    <w:p>
      <w:pPr>
        <w:pStyle w:val="ListBullet"/>
        <w:spacing w:after="30" w:line="252" w:lineRule="auto"/>
      </w:pPr>
      <w:r>
        <w:rPr>
          <w:rFonts w:ascii="Liberation Sans" w:hAnsi="Liberation Sans"/>
          <w:color w:val="1E2D38"/>
          <w:sz w:val="17"/>
        </w:rPr>
        <w:t>de Shazer, S., et al. (2007). More Than Miracles: The State of the Art of Solution-Focused Brief Therapy. Routledge.</w:t>
      </w:r>
    </w:p>
    <w:p>
      <w:pPr>
        <w:pStyle w:val="ListBullet"/>
        <w:spacing w:after="30" w:line="252" w:lineRule="auto"/>
      </w:pPr>
      <w:r>
        <w:rPr>
          <w:rFonts w:ascii="Liberation Sans" w:hAnsi="Liberation Sans"/>
          <w:color w:val="1E2D38"/>
          <w:sz w:val="17"/>
        </w:rPr>
        <w:t>Miller, W. R., &amp; Rollnick, S. (2023). Motivational Interviewing: Helping People Change and Grow (4th ed.). Guilford Press.</w:t>
      </w:r>
    </w:p>
    <w:p>
      <w:pPr>
        <w:pStyle w:val="ListBullet"/>
        <w:spacing w:after="30" w:line="252" w:lineRule="auto"/>
      </w:pPr>
      <w:r>
        <w:rPr>
          <w:rFonts w:ascii="Liberation Sans" w:hAnsi="Liberation Sans"/>
          <w:color w:val="1E2D38"/>
          <w:sz w:val="17"/>
        </w:rPr>
        <w:t>Greenberg, L. S. (2015). Emotion-Focused Therapy: Coaching Clients to Work Through Their Feelings (2nd ed.). American Psychological Association.</w:t>
      </w:r>
    </w:p>
    <w:p>
      <w:pPr>
        <w:pStyle w:val="ListBullet"/>
        <w:spacing w:after="30" w:line="252" w:lineRule="auto"/>
      </w:pPr>
      <w:r>
        <w:rPr>
          <w:rFonts w:ascii="Liberation Sans" w:hAnsi="Liberation Sans"/>
          <w:color w:val="1E2D38"/>
          <w:sz w:val="17"/>
        </w:rPr>
        <w:t>Dattilio, F. M. (2010). Cognitive-Behavioral Therapy with Couples and Families: A Comprehensive Guide for Clinicians. Guilford Press.</w:t>
      </w:r>
    </w:p>
    <w:p>
      <w:pPr>
        <w:pStyle w:val="ListBullet"/>
        <w:spacing w:after="30" w:line="252" w:lineRule="auto"/>
      </w:pPr>
      <w:r>
        <w:rPr>
          <w:rFonts w:ascii="Liberation Sans" w:hAnsi="Liberation Sans"/>
          <w:color w:val="1E2D38"/>
          <w:sz w:val="17"/>
        </w:rPr>
        <w:t>Hayes, S. C., Strosahl, K. D., &amp; Wilson, K. G. (2012). Acceptance and Commitment Therapy (2nd ed.). Guilford Press.</w:t>
      </w:r>
    </w:p>
    <w:p>
      <w:pPr>
        <w:pStyle w:val="ListBullet"/>
        <w:spacing w:after="30" w:line="252" w:lineRule="auto"/>
      </w:pPr>
      <w:r>
        <w:rPr>
          <w:rFonts w:ascii="Liberation Sans" w:hAnsi="Liberation Sans"/>
          <w:color w:val="1E2D38"/>
          <w:sz w:val="17"/>
        </w:rPr>
        <w:t>Current licensing-jurisdiction statutes, regulations, board guidance, telepractice requirements, organizational policy, and local referral resources.</w:t>
      </w:r>
    </w:p>
    <w:p>
      <w:pPr>
        <w:pStyle w:val="Heading2"/>
      </w:pPr>
      <w:r>
        <w:t>Source-Control Rules</w:t>
      </w:r>
    </w:p>
    <w:p>
      <w:pPr>
        <w:pStyle w:val="ListBullet"/>
        <w:spacing w:after="30" w:line="252" w:lineRule="auto"/>
      </w:pPr>
      <w:r>
        <w:rPr>
          <w:rFonts w:ascii="Liberation Sans" w:hAnsi="Liberation Sans"/>
          <w:color w:val="1E2D38"/>
          <w:sz w:val="17"/>
        </w:rPr>
        <w:t>Use the current corrected official AMFTRB outline when validating domain, task, knowledge, scoring, or administration claims.</w:t>
      </w:r>
    </w:p>
    <w:p>
      <w:pPr>
        <w:pStyle w:val="ListBullet"/>
        <w:spacing w:after="30" w:line="252" w:lineRule="auto"/>
      </w:pPr>
      <w:r>
        <w:rPr>
          <w:rFonts w:ascii="Liberation Sans" w:hAnsi="Liberation Sans"/>
          <w:color w:val="1E2D38"/>
          <w:sz w:val="17"/>
        </w:rPr>
        <w:t>Use the current effective ethics code and current jurisdictional law; do not present one state's rule as a universal national rule.</w:t>
      </w:r>
    </w:p>
    <w:p>
      <w:pPr>
        <w:pStyle w:val="ListBullet"/>
        <w:spacing w:after="30" w:line="252" w:lineRule="auto"/>
      </w:pPr>
      <w:r>
        <w:rPr>
          <w:rFonts w:ascii="Liberation Sans" w:hAnsi="Liberation Sans"/>
          <w:color w:val="1E2D38"/>
          <w:sz w:val="17"/>
        </w:rPr>
        <w:t>Teach model terminology accurately and distinguish shared factors, model-specific mechanisms, and evidence limits.</w:t>
      </w:r>
    </w:p>
    <w:p>
      <w:pPr>
        <w:pStyle w:val="ListBullet"/>
        <w:spacing w:after="30" w:line="252" w:lineRule="auto"/>
      </w:pPr>
      <w:r>
        <w:rPr>
          <w:rFonts w:ascii="Liberation Sans" w:hAnsi="Liberation Sans"/>
          <w:color w:val="1E2D38"/>
          <w:sz w:val="17"/>
        </w:rPr>
        <w:t>Do not reproduce, solicit, purchase, or reverse-engineer live, recalled, proprietary, or confidential examination items.</w:t>
      </w:r>
    </w:p>
    <w:p>
      <w:pPr>
        <w:pStyle w:val="ListBullet"/>
        <w:spacing w:after="30" w:line="252" w:lineRule="auto"/>
      </w:pPr>
      <w:r>
        <w:rPr>
          <w:rFonts w:ascii="Liberation Sans" w:hAnsi="Liberation Sans"/>
          <w:color w:val="1E2D38"/>
          <w:sz w:val="17"/>
        </w:rPr>
        <w:t>Review digital privacy, teletherapy, AI, record, consent, and information-sharing content whenever standards or technology change.</w:t>
      </w:r>
    </w:p>
    <w:p>
      <w:pPr>
        <w:pStyle w:val="ListBullet"/>
        <w:spacing w:after="30" w:line="252" w:lineRule="auto"/>
      </w:pPr>
      <w:r>
        <w:rPr>
          <w:rFonts w:ascii="Liberation Sans" w:hAnsi="Liberation Sans"/>
          <w:color w:val="1E2D38"/>
          <w:sz w:val="17"/>
        </w:rPr>
        <w:t>This workbook is licensed for the learner's personal study; copying or distributing protected assessment content is not permitted.</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OFFICIAL-SOURCE DISCLAIMER  </w:t>
            </w:r>
            <w:r>
              <w:rPr>
                <w:rFonts w:ascii="Liberation Sans" w:hAnsi="Liberation Sans"/>
                <w:color w:val="1E2D38"/>
                <w:sz w:val="18"/>
              </w:rPr>
              <w:t>CTA is an independent educational resource and is not affiliated with or endorsed by AMFTRB, PTC, Prometric, AAMFT, or any licensing board. Examination specifications and jurisdictional requirements can change. Participation does not guarantee passage. This program provides no CE credit.</w:t>
            </w:r>
          </w:p>
        </w:tc>
      </w:tr>
    </w:tbl>
    <w:p>
      <w:pPr>
        <w:spacing w:after="20"/>
      </w:pPr>
    </w:p>
    <w:p>
      <w:pPr>
        <w:pStyle w:val="Heading1"/>
      </w:pPr>
      <w:r>
        <w:t>Workbook 8 Completion and Reflection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FINAL SELF-CHECK  </w:t>
            </w:r>
            <w:r>
              <w:rPr>
                <w:rFonts w:ascii="Liberation Sans" w:hAnsi="Liberation Sans"/>
                <w:color w:val="1E2D38"/>
                <w:sz w:val="18"/>
              </w:rPr>
              <w:t>Before signing, identify the decision rule you can now apply under pressure, the intervention family most likely to attract you before formulation, and the specific evidence that will tell you to continue, adapt, consult, refer, or stop.</w:t>
            </w:r>
          </w:p>
        </w:tc>
      </w:tr>
    </w:tbl>
    <w:p>
      <w:pPr>
        <w:spacing w:after="20"/>
      </w:pPr>
    </w:p>
    <w:tbl>
      <w:tblPr>
        <w:tblW w:type="dxa" w:w="10560"/>
        <w:jc w:val="left"/>
        <w:tblLayout w:type="fixed"/>
        <w:tblLook w:firstColumn="1" w:firstRow="1" w:lastColumn="0" w:lastRow="0" w:noHBand="0" w:noVBand="1" w:val="04A0"/>
        <w:tblInd w:w="0" w:type="dxa"/>
      </w:tblPr>
      <w:tblGrid>
        <w:gridCol w:w="4100"/>
        <w:gridCol w:w="6460"/>
      </w:tblGrid>
      <w:tr>
        <w:trPr>
          <w:tblHeader w:val="true"/>
          <w:cantSplit/>
        </w:trPr>
        <w:tc>
          <w:tcPr>
            <w:tcW w:type="dxa" w:w="4100"/>
            <w:shd w:fill="12385B"/>
            <w:tcMar>
              <w:top w:w="95" w:type="dxa"/>
              <w:start w:w="120" w:type="dxa"/>
              <w:bottom w:w="95" w:type="dxa"/>
              <w:end w:w="120" w:type="dxa"/>
            </w:tcMar>
            <w:vAlign w:val="center"/>
          </w:tcPr>
          <w:p>
            <w:pPr>
              <w:spacing w:after="0"/>
            </w:pPr>
            <w:r/>
            <w:r>
              <w:rPr>
                <w:rFonts w:ascii="Liberation Sans" w:hAnsi="Liberation Sans"/>
                <w:b/>
                <w:color w:val="FFFFFF"/>
                <w:sz w:val="17"/>
              </w:rPr>
              <w:t>Reflection prompt</w:t>
            </w:r>
          </w:p>
        </w:tc>
        <w:tc>
          <w:tcPr>
            <w:tcW w:type="dxa" w:w="64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4100"/>
            <w:tcMar>
              <w:top w:w="90" w:type="dxa"/>
              <w:start w:w="120" w:type="dxa"/>
              <w:bottom w:w="90" w:type="dxa"/>
              <w:end w:w="120" w:type="dxa"/>
            </w:tcMar>
            <w:vAlign w:val="center"/>
          </w:tcPr>
          <w:p>
            <w:pPr>
              <w:spacing w:after="0" w:line="252" w:lineRule="auto"/>
            </w:pPr>
            <w:r/>
            <w:r>
              <w:rPr>
                <w:rFonts w:ascii="Liberation Sans" w:hAnsi="Liberation Sans"/>
                <w:color w:val="1E2D38"/>
                <w:sz w:val="17"/>
              </w:rPr>
              <w:t>My strongest model-selection rule</w:t>
            </w:r>
          </w:p>
        </w:tc>
        <w:tc>
          <w:tcPr>
            <w:tcW w:type="dxa" w:w="64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4100"/>
            <w:tcMar>
              <w:top w:w="90" w:type="dxa"/>
              <w:start w:w="120" w:type="dxa"/>
              <w:bottom w:w="90" w:type="dxa"/>
              <w:end w:w="120" w:type="dxa"/>
            </w:tcMar>
            <w:vAlign w:val="center"/>
          </w:tcPr>
          <w:p>
            <w:pPr>
              <w:spacing w:after="0" w:line="252" w:lineRule="auto"/>
            </w:pPr>
            <w:r/>
            <w:r>
              <w:rPr>
                <w:rFonts w:ascii="Liberation Sans" w:hAnsi="Liberation Sans"/>
                <w:color w:val="1E2D38"/>
                <w:sz w:val="17"/>
              </w:rPr>
              <w:t>A model or method I need to distinguish more clearly</w:t>
            </w:r>
          </w:p>
        </w:tc>
        <w:tc>
          <w:tcPr>
            <w:tcW w:type="dxa" w:w="64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4100"/>
            <w:tcMar>
              <w:top w:w="90" w:type="dxa"/>
              <w:start w:w="120" w:type="dxa"/>
              <w:bottom w:w="90" w:type="dxa"/>
              <w:end w:w="120" w:type="dxa"/>
            </w:tcMar>
            <w:vAlign w:val="center"/>
          </w:tcPr>
          <w:p>
            <w:pPr>
              <w:spacing w:after="0" w:line="252" w:lineRule="auto"/>
            </w:pPr>
            <w:r/>
            <w:r>
              <w:rPr>
                <w:rFonts w:ascii="Liberation Sans" w:hAnsi="Liberation Sans"/>
                <w:color w:val="1E2D38"/>
                <w:sz w:val="17"/>
              </w:rPr>
              <w:t>My most important safety / regulation / choice rule</w:t>
            </w:r>
          </w:p>
        </w:tc>
        <w:tc>
          <w:tcPr>
            <w:tcW w:type="dxa" w:w="64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4100"/>
            <w:tcMar>
              <w:top w:w="90" w:type="dxa"/>
              <w:start w:w="120" w:type="dxa"/>
              <w:bottom w:w="90" w:type="dxa"/>
              <w:end w:w="120" w:type="dxa"/>
            </w:tcMar>
            <w:vAlign w:val="center"/>
          </w:tcPr>
          <w:p>
            <w:pPr>
              <w:spacing w:after="0" w:line="252" w:lineRule="auto"/>
            </w:pPr>
            <w:r/>
            <w:r>
              <w:rPr>
                <w:rFonts w:ascii="Liberation Sans" w:hAnsi="Liberation Sans"/>
                <w:color w:val="1E2D38"/>
                <w:sz w:val="17"/>
              </w:rPr>
              <w:t>A cultural, accessibility, or power question I will ask sooner</w:t>
            </w:r>
          </w:p>
        </w:tc>
        <w:tc>
          <w:tcPr>
            <w:tcW w:type="dxa" w:w="64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4100"/>
            <w:tcMar>
              <w:top w:w="90" w:type="dxa"/>
              <w:start w:w="120" w:type="dxa"/>
              <w:bottom w:w="90" w:type="dxa"/>
              <w:end w:w="120" w:type="dxa"/>
            </w:tcMar>
            <w:vAlign w:val="center"/>
          </w:tcPr>
          <w:p>
            <w:pPr>
              <w:spacing w:after="0" w:line="252" w:lineRule="auto"/>
            </w:pPr>
            <w:r/>
            <w:r>
              <w:rPr>
                <w:rFonts w:ascii="Liberation Sans" w:hAnsi="Liberation Sans"/>
                <w:color w:val="1E2D38"/>
                <w:sz w:val="17"/>
              </w:rPr>
              <w:t>The response indicator I most often forget to define</w:t>
            </w:r>
          </w:p>
        </w:tc>
        <w:tc>
          <w:tcPr>
            <w:tcW w:type="dxa" w:w="64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4100"/>
            <w:tcMar>
              <w:top w:w="90" w:type="dxa"/>
              <w:start w:w="120" w:type="dxa"/>
              <w:bottom w:w="90" w:type="dxa"/>
              <w:end w:w="120" w:type="dxa"/>
            </w:tcMar>
            <w:vAlign w:val="center"/>
          </w:tcPr>
          <w:p>
            <w:pPr>
              <w:spacing w:after="0" w:line="252" w:lineRule="auto"/>
            </w:pPr>
            <w:r/>
            <w:r>
              <w:rPr>
                <w:rFonts w:ascii="Liberation Sans" w:hAnsi="Liberation Sans"/>
                <w:color w:val="1E2D38"/>
                <w:sz w:val="17"/>
              </w:rPr>
              <w:t>My next deliberate-practice case and date</w:t>
            </w:r>
          </w:p>
        </w:tc>
        <w:tc>
          <w:tcPr>
            <w:tcW w:type="dxa" w:w="64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bl>
    <w:p>
      <w:pPr>
        <w:spacing w:after="20"/>
      </w:pPr>
    </w:p>
    <w:p>
      <w:pPr>
        <w:pStyle w:val="Heading2"/>
        <w:keepNext/>
      </w:pPr>
      <w:r>
        <w:t>Completion Attestation</w:t>
      </w:r>
    </w:p>
    <w:p>
      <w:pPr>
        <w:keepNext/>
        <w:spacing w:after="90"/>
      </w:pPr>
      <w:r>
        <w:rPr>
          <w:rFonts w:ascii="Liberation Sans" w:hAnsi="Liberation Sans"/>
          <w:i w:val="0"/>
          <w:color w:val="1E2D38"/>
          <w:sz w:val="18"/>
        </w:rPr>
        <w:t>Learner name: ____________________________________     Date completed: ____________________</w:t>
      </w:r>
    </w:p>
    <w:p>
      <w:pPr>
        <w:keepNext/>
        <w:spacing w:after="90"/>
      </w:pPr>
      <w:r>
        <w:rPr>
          <w:rFonts w:ascii="Liberation Sans" w:hAnsi="Liberation Sans"/>
          <w:i w:val="0"/>
          <w:color w:val="1E2D38"/>
          <w:sz w:val="18"/>
        </w:rPr>
        <w:t>Workbook 8 remediation completed:  Yes / Not yet     Ready to advance:  Yes / Not yet</w:t>
      </w:r>
    </w:p>
    <w:p>
      <w:pPr>
        <w:spacing w:after="90"/>
      </w:pPr>
      <w:r>
        <w:rPr>
          <w:rFonts w:ascii="Liberation Sans" w:hAnsi="Liberation Sans"/>
          <w:i w:val="0"/>
          <w:color w:val="1E2D38"/>
          <w:sz w:val="18"/>
        </w:rPr>
        <w:t>Signature / initials: ______________________________________________</w:t>
      </w:r>
    </w:p>
    <w:sectPr w:rsidR="00883110" w:rsidSect="00034616">
      <w:headerReference w:type="even" r:id="rId9"/>
      <w:headerReference w:type="default" r:id="rId10"/>
      <w:footerReference w:type="even" r:id="rId11"/>
      <w:footerReference w:type="default" r:id="rId12"/>
      <w:headerReference w:type="first" r:id="rId13"/>
      <w:footerReference w:type="first" r:id="rId14"/>
      <w:pgSz w:w="12240" w:h="15840"/>
      <w:pgMar w:top="691" w:right="840" w:bottom="691" w:left="840" w:header="259" w:footer="31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56CB36" w14:textId="77777777" w:rsidR="001C74BE" w:rsidRDefault="001C74BE">
      <w:pPr>
        <w:spacing w:after="0" w:line="240" w:lineRule="auto"/>
      </w:pPr>
      <w:r>
        <w:separator/>
      </w:r>
    </w:p>
  </w:endnote>
  <w:endnote w:type="continuationSeparator" w:id="0">
    <w:p w14:paraId="4E904C30" w14:textId="77777777" w:rsidR="001C74BE" w:rsidRDefault="001C7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859163" w14:textId="77777777" w:rsidR="00883110" w:rsidRDefault="008831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AAF8A" w14:textId="77777777" w:rsidR="00883110" w:rsidRDefault="001C74BE">
    <w:pPr>
      <w:spacing w:after="0" w:line="240" w:lineRule="auto"/>
      <w:jc w:val="center"/>
    </w:pPr>
    <w:r>
      <w:rPr>
        <w:rFonts w:ascii="Liberation Sans" w:hAnsi="Liberation Sans"/>
        <w:color w:val="5A6872"/>
        <w:sz w:val="15"/>
      </w:rPr>
      <w:t xml:space="preserve">Clinical Training &amp; Supervision Academy | LMFT AMFTRB Student Workbook 8 v1.0 | Page </w:t>
    </w:r>
    <w:r>
      <w:rPr>
        <w:rFonts w:ascii="Liberation Sans" w:hAnsi="Liberation Sans"/>
        <w:color w:val="5A6872"/>
        <w:sz w:val="16"/>
      </w:rPr>
      <w:fldChar w:fldCharType="begin"/>
      <w:instrText xml:space="preserve">PAGE</w:instrText>
      <w:fldChar w:fldCharType="separate"/>
      <w:t>1</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845DC8" w14:textId="77777777" w:rsidR="00883110" w:rsidRDefault="00883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16D5C4" w14:textId="77777777" w:rsidR="001C74BE" w:rsidRDefault="001C74BE">
      <w:pPr>
        <w:spacing w:after="0" w:line="240" w:lineRule="auto"/>
      </w:pPr>
      <w:r>
        <w:separator/>
      </w:r>
    </w:p>
  </w:footnote>
  <w:footnote w:type="continuationSeparator" w:id="0">
    <w:p w14:paraId="54C310C4" w14:textId="77777777" w:rsidR="001C74BE" w:rsidRDefault="001C7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88B261" w14:textId="77777777" w:rsidR="00883110" w:rsidRDefault="008831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254474" w14:textId="77777777" w:rsidR="00883110" w:rsidRDefault="001C74BE">
    <w:pPr>
      <w:spacing w:after="20"/>
      <w:jc w:val="center"/>
    </w:pPr>
    <w:r>
      <w:rPr>
        <w:rFonts w:ascii="Liberation Sans" w:hAnsi="Liberation Sans"/>
        <w:b/>
        <w:color w:val="12385B"/>
        <w:sz w:val="15"/>
      </w:rPr>
      <w:t>CLINICAL TRAINING &amp; SUPERVISION ACADEMY  |  LMFT AMFTRB EXAM PREPARATION</w:t>
    </w:r>
  </w:p>
  <w:p>
    <w:pPr>
      <w:spacing w:after="0"/>
      <w:jc w:val="center"/>
    </w:pPr>
    <w:r>
      <w:rPr>
        <w:rFonts w:ascii="Liberation Sans" w:hAnsi="Liberation Sans"/>
        <w:color w:val="5A6872"/>
        <w:sz w:val="14"/>
      </w:rPr>
      <w:t>CTA LMFT AMFTRB Workbook 8 | Narrative, Solution-Focused, Experiential, Behavioral, Cognitive, and Mindfulness Interventions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DBD973" w14:textId="77777777" w:rsidR="00883110" w:rsidRDefault="008831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9861081">
    <w:abstractNumId w:val="8"/>
  </w:num>
  <w:num w:numId="2" w16cid:durableId="1827890650">
    <w:abstractNumId w:val="6"/>
  </w:num>
  <w:num w:numId="3" w16cid:durableId="476915223">
    <w:abstractNumId w:val="5"/>
  </w:num>
  <w:num w:numId="4" w16cid:durableId="1881165114">
    <w:abstractNumId w:val="4"/>
  </w:num>
  <w:num w:numId="5" w16cid:durableId="1014766728">
    <w:abstractNumId w:val="7"/>
  </w:num>
  <w:num w:numId="6" w16cid:durableId="1454905029">
    <w:abstractNumId w:val="3"/>
  </w:num>
  <w:num w:numId="7" w16cid:durableId="402873195">
    <w:abstractNumId w:val="2"/>
  </w:num>
  <w:num w:numId="8" w16cid:durableId="372196563">
    <w:abstractNumId w:val="1"/>
  </w:num>
  <w:num w:numId="9" w16cid:durableId="2680520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445"/>
    <w:rsid w:val="0015074B"/>
    <w:rsid w:val="001C74BE"/>
    <w:rsid w:val="0029639D"/>
    <w:rsid w:val="00326F90"/>
    <w:rsid w:val="00883110"/>
    <w:rsid w:val="00957E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42C0D"/>
  <w14:defaultImageDpi w14:val="300"/>
  <w15:docId w15:val="{A425ABDA-2FA5-2442-97EC-B65F264B3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69" w:lineRule="auto"/>
    </w:pPr>
    <w:rPr>
      <w:rFonts w:ascii="Liberation Sans" w:eastAsia="Liberation Sans" w:hAnsi="Liberation Sans"/>
      <w:color w:val="1E2D38"/>
      <w:sz w:val="18"/>
    </w:rPr>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Liberation Sans" w:hAnsi="Liberation Sans"/>
      <w:b/>
      <w:bCs/>
      <w:color w:val="12385B"/>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13A6A6"/>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1238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238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Liberation Sans" w:hAnsi="Liberation Sans"/>
      <w:b w:val="0"/>
      <w:i/>
      <w:iCs/>
      <w:color w:val="13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69" w:lineRule="auto"/>
      <w:ind w:left="547" w:hanging="274"/>
      <w:contextualSpacing/>
    </w:pPr>
    <w:rPr>
      <w:rFonts w:ascii="Liberation Sans" w:hAnsi="Liberation Sans"/>
      <w:color w:val="1E2D38"/>
      <w:sz w:val="18"/>
    </w:rPr>
  </w:style>
  <w:style w:type="paragraph" w:styleId="ListBullet2">
    <w:name w:val="List Bullet 2"/>
    <w:basedOn w:val="Normal"/>
    <w:uiPriority w:val="99"/>
    <w:unhideWhenUsed/>
    <w:rsid w:val="00326F90"/>
    <w:pPr>
      <w:numPr>
        <w:numId w:val="2"/>
      </w:numPr>
      <w:spacing w:after="70" w:line="269" w:lineRule="auto"/>
      <w:ind w:left="936" w:hanging="274"/>
      <w:contextualSpacing/>
    </w:pPr>
    <w:rPr>
      <w:rFonts w:ascii="Liberation Sans" w:hAnsi="Liberation Sans"/>
      <w:color w:val="1E2D38"/>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69" w:lineRule="auto"/>
      <w:ind w:left="547" w:hanging="274"/>
      <w:contextualSpacing/>
    </w:pPr>
    <w:rPr>
      <w:rFonts w:ascii="Liberation Sans" w:hAnsi="Liberation Sans"/>
      <w:color w:val="1E2D38"/>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5911</Words>
  <Characters>41970</Characters>
  <Application>Microsoft Office Word</Application>
  <DocSecurity>0</DocSecurity>
  <Lines>892</Lines>
  <Paragraphs>798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8 Student Workbook</dc:title>
  <dc:subject>Narrative, solution-focused, motivational, experiential, behavioral, cognitive, mindfulness, and integrative interventions; exam preparation only; no CE credit</dc:subject>
  <dc:creator>Clinical Training &amp; Supervision Academy</dc:creator>
  <cp:keywords>LMFT, AMFTRB, narrative therapy, solution-focused therapy, motivational interviewing, experiential therapy, cognitive behavioral therapy, mindfulness, exam preparation</cp:keywords>
  <dc:description>Exam preparation program — No CE Credit</dc:description>
  <cp:lastModifiedBy>Candice Fuimaono</cp:lastModifiedBy>
  <cp:revision>2</cp:revision>
  <dcterms:created xsi:type="dcterms:W3CDTF">2026-07-30T14:08:00Z</dcterms:created>
  <dcterms:modified xsi:type="dcterms:W3CDTF">2026-07-30T14:08:00Z</dcterms:modified>
  <cp:category/>
</cp:coreProperties>
</file>