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drawing>
          <wp:inline xmlns:a="http://schemas.openxmlformats.org/drawingml/2006/main" xmlns:pic="http://schemas.openxmlformats.org/drawingml/2006/picture">
            <wp:extent cx="3977639" cy="273594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7"/>
                    <a:stretch>
                      <a:fillRect/>
                    </a:stretch>
                  </pic:blipFill>
                  <pic:spPr>
                    <a:xfrm>
                      <a:off x="0" y="0"/>
                      <a:ext cx="3977639" cy="2735942"/>
                    </a:xfrm>
                    <a:prstGeom prst="rect"/>
                  </pic:spPr>
                </pic:pic>
              </a:graphicData>
            </a:graphic>
          </wp:inline>
        </w:drawing>
      </w:r>
    </w:p>
    <w:p>
      <w:pPr>
        <w:spacing w:after="0"/>
        <w:jc w:val="center"/>
      </w:pPr>
      <w:r>
        <w:rPr>
          <w:rFonts w:ascii="Liberation Sans" w:hAnsi="Liberation Sans"/>
          <w:b/>
          <w:color w:val="12385B"/>
          <w:sz w:val="24"/>
        </w:rPr>
        <w:t>CTA LMFT AMFTRB</w:t>
      </w:r>
    </w:p>
    <w:p>
      <w:pPr>
        <w:spacing w:after="240"/>
        <w:jc w:val="center"/>
      </w:pPr>
      <w:r>
        <w:rPr>
          <w:rFonts w:ascii="Liberation Sans" w:hAnsi="Liberation Sans"/>
          <w:b/>
          <w:color w:val="13A6A6"/>
          <w:sz w:val="19"/>
        </w:rPr>
        <w:t>NATIONAL EXAM PREPARATION PROGRAM</w:t>
      </w:r>
    </w:p>
    <w:p>
      <w:pPr>
        <w:spacing w:after="60"/>
        <w:jc w:val="center"/>
      </w:pPr>
      <w:r>
        <w:rPr>
          <w:rFonts w:ascii="Liberation Sans" w:hAnsi="Liberation Sans"/>
          <w:b/>
          <w:color w:val="5A6872"/>
          <w:sz w:val="22"/>
        </w:rPr>
        <w:t>Student Workbook</w:t>
      </w:r>
    </w:p>
    <w:p>
      <w:pPr>
        <w:spacing w:after="80"/>
        <w:jc w:val="center"/>
      </w:pPr>
      <w:r>
        <w:rPr>
          <w:rFonts w:ascii="Liberation Sans" w:hAnsi="Liberation Sans"/>
          <w:b/>
          <w:color w:val="12385B"/>
          <w:sz w:val="28"/>
        </w:rPr>
        <w:t>CTA LMFT AMFTRB Workbook 9</w:t>
      </w:r>
    </w:p>
    <w:p>
      <w:pPr>
        <w:pStyle w:val="Title"/>
        <w:jc w:val="center"/>
      </w:pPr>
      <w:r>
        <w:rPr>
          <w:rFonts w:ascii="Liberation Sans" w:hAnsi="Liberation Sans"/>
          <w:b/>
          <w:color w:val="12385B"/>
          <w:sz w:val="40"/>
        </w:rPr>
        <w:t>Complex Presentations: Substance Use, Recovery, Sexuality, Health, Development, Grief, and Integrated Care</w:t>
      </w:r>
    </w:p>
    <w:p>
      <w:pPr>
        <w:pStyle w:val="Subtitle"/>
        <w:jc w:val="center"/>
      </w:pPr>
      <w:r>
        <w:rPr>
          <w:rFonts w:ascii="Liberation Sans" w:hAnsi="Liberation Sans"/>
          <w:color w:val="13A6A6"/>
          <w:sz w:val="21"/>
        </w:rPr>
        <w:t>Formulate multidimensionally, identify acuity, preserve client choice, coordinate within scope, and revise complex-care plans from response data.</w:t>
      </w:r>
    </w:p>
    <w:p>
      <w:pPr>
        <w:spacing w:after="40"/>
        <w:jc w:val="center"/>
      </w:pPr>
      <w:r>
        <w:rPr>
          <w:rFonts w:ascii="Liberation Sans" w:hAnsi="Liberation Sans"/>
          <w:i w:val="0"/>
          <w:color w:val="1E2D38"/>
          <w:sz w:val="18"/>
        </w:rPr>
        <w:t>Version 1.0 - August 2026</w:t>
      </w:r>
    </w:p>
    <w:p>
      <w:pPr>
        <w:spacing w:after="40"/>
        <w:jc w:val="center"/>
      </w:pPr>
      <w:r>
        <w:rPr>
          <w:rFonts w:ascii="Liberation Sans" w:hAnsi="Liberation Sans"/>
          <w:i w:val="0"/>
          <w:color w:val="1E2D38"/>
          <w:sz w:val="18"/>
        </w:rPr>
        <w:t>Clinical Training &amp; Supervision Academy</w:t>
      </w:r>
    </w:p>
    <w:p>
      <w:pPr>
        <w:spacing w:after="120"/>
        <w:jc w:val="center"/>
      </w:pPr>
      <w:r>
        <w:rPr>
          <w:rFonts w:ascii="Liberation Sans" w:hAnsi="Liberation Sans"/>
          <w:i w:val="0"/>
          <w:color w:val="1E2D38"/>
          <w:sz w:val="18"/>
        </w:rPr>
        <w:t>Editable Word workbook | Self-paced study | Exam preparation | No CE Credit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INDEPENDENT RESOURCE  </w:t>
            </w:r>
            <w:r>
              <w:rPr>
                <w:rFonts w:ascii="Liberation Sans" w:hAnsi="Liberation Sans"/>
                <w:color w:val="1E2D38"/>
                <w:sz w:val="18"/>
              </w:rPr>
              <w:t>CTA is not affiliated with or endorsed by AMFTRB, PTC, Prometric, AAMFT, ASAM, APA, SAMHSA, CDC, HHS, or any licensing board. This original educational program supports readiness but does not guarantee examination passage or determine eligibility.</w:t>
            </w:r>
          </w:p>
        </w:tc>
      </w:tr>
    </w:tbl>
    <w:p>
      <w:pPr>
        <w:spacing w:after="20"/>
      </w:pPr>
    </w:p>
    <w:p>
      <w:r>
        <w:br w:type="page"/>
      </w:r>
    </w:p>
    <w:p>
      <w:pPr>
        <w:pStyle w:val="Heading1"/>
        <w:pageBreakBefore w:val="0"/>
      </w:pPr>
      <w:r>
        <w:t>How to Use This Workbook</w:t>
      </w:r>
    </w:p>
    <w:p>
      <w:pPr>
        <w:spacing w:after="90"/>
      </w:pPr>
      <w:r>
        <w:rPr>
          <w:rFonts w:ascii="Liberation Sans" w:hAnsi="Liberation Sans"/>
          <w:i w:val="0"/>
          <w:color w:val="1E2D38"/>
          <w:sz w:val="18"/>
        </w:rPr>
        <w:t>Workbook 9 teaches complex-presentation reasoning when several explanations and service needs compete for attention. Identify the client and treatment unit, separate urgent from nonurgent concerns, build a provisional multidimensional systemic hypothesis, select an appropriately scoped response, coordinate with informed permission, and revise from safety, functioning, alliance, access, and outcome data.</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LEARN -&gt; ORGANIZE -&gt; APPLY -&gt; ANALYZE -&gt; REPAIR  </w:t>
            </w:r>
            <w:r>
              <w:rPr>
                <w:rFonts w:ascii="Liberation Sans" w:hAnsi="Liberation Sans"/>
                <w:color w:val="1E2D38"/>
                <w:sz w:val="18"/>
              </w:rPr>
              <w:t>Study the six chapters in order. Use the six reasoning tools to organize each case, complete all eight case labs and the reusable decision record, answer all ten formative questions before reading the rationales, and remediate every miss or low-confidence response. Mnemonics do not replace direct assessment, medical evaluation, current law, ethics, specialty competence, consultation, supervision, or individualized care.</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SAFETY AND STABILITY OVERRIDE  </w:t>
            </w:r>
            <w:r>
              <w:rPr>
                <w:rFonts w:ascii="Liberation Sans" w:hAnsi="Liberation Sans"/>
                <w:color w:val="1E2D38"/>
                <w:sz w:val="18"/>
              </w:rPr>
              <w:t>Immediate danger, intoxication or withdrawal, overdose risk, acute medical or psychiatric instability, abuse, coercion, exploitation, neglect, or inability to participate voluntarily requires direct assessment, stabilization, and an appropriate level-of-care response before routine outpatient technique.</w:t>
            </w:r>
          </w:p>
        </w:tc>
      </w:tr>
    </w:tbl>
    <w:p>
      <w:pPr>
        <w:spacing w:after="20"/>
      </w:pPr>
    </w:p>
    <w:p>
      <w:pPr>
        <w:pStyle w:val="Heading1"/>
        <w:pageBreakBefore w:val="0"/>
      </w:pPr>
      <w:r>
        <w:t>Workbook Learning Objectives</w:t>
      </w:r>
    </w:p>
    <w:p>
      <w:pPr>
        <w:pStyle w:val="ListBullet"/>
        <w:keepLines/>
        <w:spacing w:after="70"/>
      </w:pPr>
      <w:r>
        <w:rPr>
          <w:rFonts w:ascii="Liberation Sans" w:hAnsi="Liberation Sans"/>
          <w:color w:val="1E2D38"/>
          <w:sz w:val="18"/>
        </w:rPr>
        <w:t>Integrate biological, psychological, relational, developmental, cultural, spiritual, environmental, and structural information into a provisional systemic hypothesis without diagnostic overshadowing.</w:t>
      </w:r>
    </w:p>
    <w:p>
      <w:pPr>
        <w:pStyle w:val="ListBullet"/>
        <w:keepLines/>
        <w:spacing w:after="70"/>
      </w:pPr>
      <w:r>
        <w:rPr>
          <w:rFonts w:ascii="Liberation Sans" w:hAnsi="Liberation Sans"/>
          <w:color w:val="1E2D38"/>
          <w:sz w:val="18"/>
        </w:rPr>
        <w:t>Assess substance-use patterns, intoxication or withdrawal concerns, co-occurring conditions, motivation, recovery supports, family impact, and level-of-care indicators within professional scope.</w:t>
      </w:r>
    </w:p>
    <w:p>
      <w:pPr>
        <w:pStyle w:val="ListBullet"/>
        <w:keepLines/>
        <w:spacing w:after="70"/>
      </w:pPr>
      <w:r>
        <w:rPr>
          <w:rFonts w:ascii="Liberation Sans" w:hAnsi="Liberation Sans"/>
          <w:color w:val="1E2D38"/>
          <w:sz w:val="18"/>
        </w:rPr>
        <w:t>Conduct inclusive sexuality and sexual-health inquiry using permission, client-defined language, consent and coercion screening, trauma sensitivity, reproductive context, and competence limits.</w:t>
      </w:r>
    </w:p>
    <w:p>
      <w:pPr>
        <w:pStyle w:val="ListBullet"/>
        <w:keepLines/>
        <w:spacing w:after="70"/>
      </w:pPr>
      <w:r>
        <w:rPr>
          <w:rFonts w:ascii="Liberation Sans" w:hAnsi="Liberation Sans"/>
          <w:color w:val="1E2D38"/>
          <w:sz w:val="18"/>
        </w:rPr>
        <w:t>Evaluate chronic illness, disability, pain, sleep, medication effects, cognitive or functional change, access needs, caregiving patterns, and bidirectional effects on the client system.</w:t>
      </w:r>
    </w:p>
    <w:p>
      <w:pPr>
        <w:pStyle w:val="ListBullet"/>
        <w:keepLines/>
        <w:spacing w:after="70"/>
      </w:pPr>
      <w:r>
        <w:rPr>
          <w:rFonts w:ascii="Liberation Sans" w:hAnsi="Liberation Sans"/>
          <w:color w:val="1E2D38"/>
          <w:sz w:val="18"/>
        </w:rPr>
        <w:t>Distinguish developmentally and culturally expectable transitions and grief from clinically significant disorder, trauma response, acute risk, exploitation, neglect, or functional decline.</w:t>
      </w:r>
    </w:p>
    <w:p>
      <w:pPr>
        <w:pStyle w:val="ListBullet"/>
        <w:keepLines/>
        <w:spacing w:after="70"/>
      </w:pPr>
      <w:r>
        <w:rPr>
          <w:rFonts w:ascii="Liberation Sans" w:hAnsi="Liberation Sans"/>
          <w:color w:val="1E2D38"/>
          <w:sz w:val="18"/>
        </w:rPr>
        <w:t>Select and adapt treatment goals, modality, pacing, family involvement, recovery supports, referrals, and integrated-care roles to the presentation, preferences, access, and evidence.</w:t>
      </w:r>
    </w:p>
    <w:p>
      <w:pPr>
        <w:pStyle w:val="ListBullet"/>
        <w:keepLines/>
        <w:spacing w:after="70"/>
      </w:pPr>
      <w:r>
        <w:rPr>
          <w:rFonts w:ascii="Liberation Sans" w:hAnsi="Liberation Sans"/>
          <w:color w:val="1E2D38"/>
          <w:sz w:val="18"/>
        </w:rPr>
        <w:t>Recognize safety and stabilization priorities, determine when a higher or different level of care is indicated, and coordinate emergency, medical, addiction, or specialty resources without abandoning the client system.</w:t>
      </w:r>
    </w:p>
    <w:p>
      <w:pPr>
        <w:pStyle w:val="ListBullet"/>
        <w:keepLines/>
        <w:spacing w:after="70"/>
      </w:pPr>
      <w:r>
        <w:rPr>
          <w:rFonts w:ascii="Liberation Sans" w:hAnsi="Liberation Sans"/>
          <w:color w:val="1E2D38"/>
          <w:sz w:val="18"/>
        </w:rPr>
        <w:t>Use alliance, functioning, safety, adherence, quality-of-life, and outcome information to continue, adapt, step up, step down, transfer, or end a complex-care plan with clear documentation and continuity.</w:t>
      </w:r>
    </w:p>
    <w:p>
      <w:pPr>
        <w:pStyle w:val="Heading1"/>
        <w:pageBreakBefore w:val="0"/>
      </w:pPr>
      <w:r>
        <w:t>Workbook Roadmap</w:t>
      </w:r>
    </w:p>
    <w:tbl>
      <w:tblPr>
        <w:tblW w:type="dxa" w:w="10560"/>
        <w:jc w:val="left"/>
        <w:tblLayout w:type="fixed"/>
        <w:tblLook w:firstColumn="1" w:firstRow="1" w:lastColumn="0" w:lastRow="0" w:noHBand="0" w:noVBand="1" w:val="04A0"/>
        <w:tblInd w:w="0" w:type="dxa"/>
      </w:tblPr>
      <w:tblGrid>
        <w:gridCol w:w="900"/>
        <w:gridCol w:w="7100"/>
        <w:gridCol w:w="25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Chapter</w:t>
            </w:r>
          </w:p>
        </w:tc>
        <w:tc>
          <w:tcPr>
            <w:tcW w:type="dxa" w:w="7100"/>
            <w:shd w:fill="12385B"/>
            <w:tcMar>
              <w:top w:w="95" w:type="dxa"/>
              <w:start w:w="120" w:type="dxa"/>
              <w:bottom w:w="95" w:type="dxa"/>
              <w:end w:w="120" w:type="dxa"/>
            </w:tcMar>
            <w:vAlign w:val="center"/>
          </w:tcPr>
          <w:p>
            <w:pPr>
              <w:spacing w:after="0"/>
            </w:pPr>
            <w:r/>
            <w:r>
              <w:rPr>
                <w:rFonts w:ascii="Liberation Sans" w:hAnsi="Liberation Sans"/>
                <w:b/>
                <w:color w:val="FFFFFF"/>
                <w:sz w:val="17"/>
              </w:rPr>
              <w:t>Focus</w:t>
            </w:r>
          </w:p>
        </w:tc>
        <w:tc>
          <w:tcPr>
            <w:tcW w:type="dxa" w:w="2560"/>
            <w:shd w:fill="12385B"/>
            <w:tcMar>
              <w:top w:w="95" w:type="dxa"/>
              <w:start w:w="120" w:type="dxa"/>
              <w:bottom w:w="95" w:type="dxa"/>
              <w:end w:w="120" w:type="dxa"/>
            </w:tcMar>
            <w:vAlign w:val="center"/>
          </w:tcPr>
          <w:p>
            <w:pPr>
              <w:spacing w:after="0"/>
            </w:pPr>
            <w:r/>
            <w:r>
              <w:rPr>
                <w:rFonts w:ascii="Liberation Sans" w:hAnsi="Liberation Sans"/>
                <w:b/>
                <w:color w:val="FFFFFF"/>
                <w:sz w:val="17"/>
              </w:rPr>
              <w:t>Primary Tool</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1</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Complex presentation integration, scope, and treatment unit</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MOSAIC</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2</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Substance use, co-occurring conditions, and recovery systems</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RECOVER</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3</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Sexuality, sexual health, reproductive context, and relational care</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OPENS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4</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Health, disability, medication, and integrated care</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BRIDGE</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5</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Development, aging, caregiving, grief, and loss</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SEASONS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6</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Trauma complexity, level of care, coordination, and adaptation</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STEADY / MOSAIC</w:t>
            </w:r>
          </w:p>
        </w:tc>
      </w:tr>
    </w:tbl>
    <w:p>
      <w:pPr>
        <w:spacing w:after="20"/>
      </w:pPr>
    </w:p>
    <w:p>
      <w:pPr>
        <w:pStyle w:val="Heading1"/>
        <w:pageBreakBefore w:val="0"/>
      </w:pPr>
      <w:r>
        <w:t>High-Yield Complex-Presentation Distinctions</w:t>
      </w:r>
    </w:p>
    <w:tbl>
      <w:tblPr>
        <w:tblW w:type="dxa" w:w="10560"/>
        <w:jc w:val="left"/>
        <w:tblLayout w:type="fixed"/>
        <w:tblLook w:firstColumn="1" w:firstRow="1" w:lastColumn="0" w:lastRow="0" w:noHBand="0" w:noVBand="1" w:val="04A0"/>
        <w:tblInd w:w="0" w:type="dxa"/>
      </w:tblPr>
      <w:tblGrid>
        <w:gridCol w:w="2800"/>
        <w:gridCol w:w="7760"/>
      </w:tblGrid>
      <w:tr>
        <w:trPr>
          <w:tblHeader w:val="true"/>
          <w:cantSplit/>
        </w:trPr>
        <w:tc>
          <w:tcPr>
            <w:tcW w:type="dxa" w:w="2800"/>
            <w:shd w:fill="12385B"/>
            <w:tcMar>
              <w:top w:w="95" w:type="dxa"/>
              <w:start w:w="120" w:type="dxa"/>
              <w:bottom w:w="95" w:type="dxa"/>
              <w:end w:w="120" w:type="dxa"/>
            </w:tcMar>
            <w:vAlign w:val="center"/>
          </w:tcPr>
          <w:p>
            <w:pPr>
              <w:spacing w:after="0"/>
            </w:pPr>
            <w:r/>
            <w:r>
              <w:rPr>
                <w:rFonts w:ascii="Liberation Sans" w:hAnsi="Liberation Sans"/>
                <w:b/>
                <w:color w:val="FFFFFF"/>
                <w:sz w:val="17"/>
              </w:rPr>
              <w:t>Distinction</w:t>
            </w:r>
          </w:p>
        </w:tc>
        <w:tc>
          <w:tcPr>
            <w:tcW w:type="dxa" w:w="776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rule</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Multidimensional formulation vs. list making</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Explain how the most relevant factors interact, identify what is provisional, and state what new evidence would change the hypothesis.</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Urgent vs. important</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Address danger, instability, withdrawal, overdose, abuse, coercion, neglect, and participation capacity before routine outpatient goals.</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Recovery support vs. pathway imposition</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Clarify goals, readiness, evidence, resources, and risks without making one identity, support model, or endpoint universally correct.</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Inclusive inquiry vs. assumption</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permission and distinguish anatomy, identity, behavior, desire, function, consent, relationship structure, and context.</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Health context vs. medical practice</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Assess relational and functional effects, coordinate with permission, and refer for medical evaluation without diagnosing or prescribing beyond role.</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Expected variation vs. disorder</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duration, severity, distress, function, safety, culture, development, and differential evidence rather than one symptom or timeline.</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Referral vs. abandonment</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Explain rationale, coordinate a warm handoff when possible, clarify continuing roles, and preserve continuity.</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More services vs. better care</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Change intensity because current need and response data support it, not because complexity automatically requires more.</w:t>
            </w:r>
          </w:p>
        </w:tc>
      </w:tr>
    </w:tbl>
    <w:p>
      <w:pPr>
        <w:spacing w:after="20"/>
      </w:pPr>
    </w:p>
    <w:p>
      <w:pPr>
        <w:pageBreakBefore/>
        <w:spacing w:after="80"/>
      </w:pPr>
      <w:r>
        <w:rPr>
          <w:rFonts w:ascii="Liberation Sans" w:hAnsi="Liberation Sans"/>
          <w:b/>
          <w:color w:val="13A6A6"/>
          <w:sz w:val="28"/>
        </w:rPr>
        <w:t>CHAPTER 1</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Complex Presentation Integration, Scope, and Treatment Unit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Complexity requires disciplined narrowing, not a single-cause story. Map interacting conditions and relational sequences, identify the decision point, test acuity and scope, then keep the hypothesis revisable.</w:t>
            </w:r>
          </w:p>
        </w:tc>
      </w:tr>
    </w:tbl>
    <w:p>
      <w:pPr>
        <w:spacing w:after="20"/>
      </w:pPr>
    </w:p>
    <w:p>
      <w:pPr>
        <w:pStyle w:val="Heading2"/>
        <w:pageBreakBefore w:val="0"/>
      </w:pPr>
      <w:r>
        <w:t>The MOSAIC Formulation Sequence</w:t>
      </w:r>
    </w:p>
    <w:tbl>
      <w:tblPr>
        <w:tblW w:type="dxa" w:w="10560"/>
        <w:jc w:val="left"/>
        <w:tblLayout w:type="fixed"/>
        <w:tblLook w:firstColumn="1" w:firstRow="1" w:lastColumn="0" w:lastRow="0" w:noHBand="0" w:noVBand="1" w:val="04A0"/>
        <w:tblInd w:w="0" w:type="dxa"/>
      </w:tblPr>
      <w:tblGrid>
        <w:gridCol w:w="2600"/>
        <w:gridCol w:w="7960"/>
      </w:tblGrid>
      <w:tr>
        <w:trPr>
          <w:tblHeader w:val="true"/>
          <w:cantSplit/>
        </w:trPr>
        <w:tc>
          <w:tcPr>
            <w:tcW w:type="dxa" w:w="26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9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M - Map interacting conditions and relational sequences</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Gather biological, psychological, relational, developmental, cultural, spiritual, environmental, and structural information; describe observable feedback loops.</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 - Observe function, acuity, strengths, and context</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Track changes in daily function, participation, safety, resources, protective factors, access, and the conditions under which the concern changes.</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Select client, treatment unit, and decision point</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Clarify who is the client, who participates, what collateral roles exist, what decision must be made now, and whose consent is required.</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 Assess safety, readiness, access, and scope</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Separate urgent from nonurgent needs and determine whether the therapist has the competence, setting, information, and support to proceed.</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I - Integrate provisional hypotheses</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State the leading interactional explanation, plausible alternatives, evidence for and against each, and what information would change the plan.</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 - Check response and revise</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alliance, function, safety, adherence, barriers, quality of life, and outcome indicators to continue, adapt, coordinate, step up/down, transfer, or end.</w:t>
            </w:r>
          </w:p>
        </w:tc>
      </w:tr>
    </w:tbl>
    <w:p>
      <w:pPr>
        <w:spacing w:after="20"/>
      </w:pPr>
    </w:p>
    <w:p>
      <w:pPr>
        <w:pStyle w:val="Heading2"/>
        <w:pageBreakBefore w:val="0"/>
      </w:pPr>
      <w:r>
        <w:t>Build a Provisional Hypothesis, Not a Verdict</w:t>
      </w:r>
    </w:p>
    <w:tbl>
      <w:tblPr>
        <w:tblW w:type="dxa" w:w="10560"/>
        <w:jc w:val="left"/>
        <w:tblLayout w:type="fixed"/>
        <w:tblLook w:firstColumn="1" w:firstRow="1" w:lastColumn="0" w:lastRow="0" w:noHBand="0" w:noVBand="1" w:val="04A0"/>
        <w:tblInd w:w="0" w:type="dxa"/>
      </w:tblPr>
      <w:tblGrid>
        <w:gridCol w:w="3000"/>
        <w:gridCol w:w="7560"/>
      </w:tblGrid>
      <w:tr>
        <w:trPr>
          <w:tblHeader w:val="true"/>
          <w:cantSplit/>
        </w:trPr>
        <w:tc>
          <w:tcPr>
            <w:tcW w:type="dxa" w:w="300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w:t>
            </w:r>
          </w:p>
        </w:tc>
        <w:tc>
          <w:tcPr>
            <w:tcW w:type="dxa" w:w="7560"/>
            <w:shd w:fill="12385B"/>
            <w:tcMar>
              <w:top w:w="95" w:type="dxa"/>
              <w:start w:w="120" w:type="dxa"/>
              <w:bottom w:w="95" w:type="dxa"/>
              <w:end w:w="120" w:type="dxa"/>
            </w:tcMar>
            <w:vAlign w:val="center"/>
          </w:tcPr>
          <w:p>
            <w:pPr>
              <w:spacing w:after="0"/>
            </w:pPr>
            <w:r/>
            <w:r>
              <w:rPr>
                <w:rFonts w:ascii="Liberation Sans" w:hAnsi="Liberation Sans"/>
                <w:b/>
                <w:color w:val="FFFFFF"/>
                <w:sz w:val="17"/>
              </w:rPr>
              <w:t>Complex-presentation answer</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changed?</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Specify timing, course, severity, function, relationships, environment, and what preceded the change.</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interacts?</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Connect symptoms, health, substances, sleep, development, trauma, medication, caregiving, culture, resources, and relational responses.</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is urgent?</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Directly assess danger, instability, intoxication or withdrawal, overdose, abuse, coercion, neglect, and inability to participate.</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is the treatment unit?</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Name the identified client, participants, collateral sources, confidentiality boundaries, and target of intervention.</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is outside role?</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Identify medical, prescribing, withdrawal-management, specialty, legal, protective, or higher-level services that require coordination or referral.</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will change the hypothesis?</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Predefine new findings, nonresponse, adverse effects, functional change, or consultation results that require revision.</w:t>
            </w:r>
          </w:p>
        </w:tc>
      </w:tr>
    </w:tbl>
    <w:p>
      <w:pPr>
        <w:spacing w:after="20"/>
      </w:pPr>
    </w:p>
    <w:p>
      <w:pPr>
        <w:pStyle w:val="Heading2"/>
        <w:pageBreakBefore/>
      </w:pPr>
      <w:r>
        <w:t>Prevent Diagnostic Overshadowing</w:t>
      </w:r>
    </w:p>
    <w:p>
      <w:pPr>
        <w:pStyle w:val="ListBullet"/>
        <w:keepLines/>
        <w:spacing w:after="70"/>
      </w:pPr>
      <w:r>
        <w:rPr>
          <w:rFonts w:ascii="Liberation Sans" w:hAnsi="Liberation Sans"/>
          <w:color w:val="1E2D38"/>
          <w:sz w:val="18"/>
        </w:rPr>
        <w:t>Do not attribute every new symptom or conflict to an existing psychiatric diagnosis, disability, substance pattern, trauma history, age, identity, or relationship problem.</w:t>
      </w:r>
    </w:p>
    <w:p>
      <w:pPr>
        <w:pStyle w:val="ListBullet"/>
        <w:keepLines/>
        <w:spacing w:after="70"/>
      </w:pPr>
      <w:r>
        <w:rPr>
          <w:rFonts w:ascii="Liberation Sans" w:hAnsi="Liberation Sans"/>
          <w:color w:val="1E2D38"/>
          <w:sz w:val="18"/>
        </w:rPr>
        <w:t>Ask what is new, what is baseline, what is worsening, and what information comes from the client versus collateral sources.</w:t>
      </w:r>
    </w:p>
    <w:p>
      <w:pPr>
        <w:pStyle w:val="ListBullet"/>
        <w:keepLines/>
        <w:spacing w:after="70"/>
      </w:pPr>
      <w:r>
        <w:rPr>
          <w:rFonts w:ascii="Liberation Sans" w:hAnsi="Liberation Sans"/>
          <w:color w:val="1E2D38"/>
          <w:sz w:val="18"/>
        </w:rPr>
        <w:t>Consider medication effects, sleep, pain, acute illness, cognitive or functional change, environmental stress, oppression, and access barriers before narrowing.</w:t>
      </w:r>
    </w:p>
    <w:p>
      <w:pPr>
        <w:pStyle w:val="ListBullet"/>
        <w:keepLines/>
        <w:spacing w:after="70"/>
      </w:pPr>
      <w:r>
        <w:rPr>
          <w:rFonts w:ascii="Liberation Sans" w:hAnsi="Liberation Sans"/>
          <w:color w:val="1E2D38"/>
          <w:sz w:val="18"/>
        </w:rPr>
        <w:t>Preserve strengths and client meaning while documenting impairment and risk precisely.</w:t>
      </w:r>
    </w:p>
    <w:p>
      <w:pPr>
        <w:pStyle w:val="ListBullet"/>
        <w:keepLines/>
        <w:spacing w:after="70"/>
      </w:pPr>
      <w:r>
        <w:rPr>
          <w:rFonts w:ascii="Liberation Sans" w:hAnsi="Liberation Sans"/>
          <w:color w:val="1E2D38"/>
          <w:sz w:val="18"/>
        </w:rPr>
        <w:t>Use consultation and referral when the differential or level-of-care decision exceeds competence; maintain appropriate continuity and follow-up.</w:t>
      </w:r>
    </w:p>
    <w:p>
      <w:pPr>
        <w:pStyle w:val="Heading2"/>
      </w:pPr>
      <w:r>
        <w:t>Case Lab 1: When One Diagnosis Explains Everything</w:t>
      </w:r>
    </w:p>
    <w:p>
      <w:pPr>
        <w:spacing w:after="90"/>
      </w:pPr>
      <w:r>
        <w:rPr>
          <w:rFonts w:ascii="Liberation Sans" w:hAnsi="Liberation Sans"/>
          <w:i w:val="0"/>
          <w:color w:val="1E2D38"/>
          <w:sz w:val="18"/>
        </w:rPr>
        <w:t>DeShawn, who has a history of depression, attends with his spouse after three weeks of new confusion, irritability, missed medication doses, poor sleep, and falls. The spouse assumes the depression has returned. The therapist is considering increasing session frequency without asking about recent medical changes or clarifying who prescribed the medication.</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assess and coordinate before treating this as routine depressive relapse?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MOSAIC. Clarify baseline and timing, directly assess safety and function, ask about medication and health changes within scope, identify the client and collateral roles, obtain permission for appropriate medical coordination, and preserve several provisional hypotheses. New confusion and falls require timely medical evaluation rather than diagnostic overshadowing.</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Baseline and onset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Functional change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safety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Health/medication context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Substance/sleep factors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Relational sequence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Identified client and permission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Provisional hypotheses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Coordination/referral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Reassessment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2</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Substance Use, Co-Occurring Conditions, and Recovery Systems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Assess pattern, function, acuity, co-occurring conditions, readiness, recovery capital, family effects, and level of care. Preserve multiple recovery pathways while acting directly on withdrawal, overdose, and acute instability.</w:t>
            </w:r>
          </w:p>
        </w:tc>
      </w:tr>
    </w:tbl>
    <w:p>
      <w:pPr>
        <w:spacing w:after="20"/>
      </w:pPr>
    </w:p>
    <w:p>
      <w:pPr>
        <w:pStyle w:val="Heading2"/>
        <w:pageBreakBefore w:val="0"/>
      </w:pPr>
      <w:r>
        <w:t>The RECOVER Sequence</w:t>
      </w:r>
    </w:p>
    <w:tbl>
      <w:tblPr>
        <w:tblW w:type="dxa" w:w="10560"/>
        <w:jc w:val="left"/>
        <w:tblLayout w:type="fixed"/>
        <w:tblLook w:firstColumn="1" w:firstRow="1" w:lastColumn="0" w:lastRow="0" w:noHBand="0" w:noVBand="1" w:val="04A0"/>
        <w:tblInd w:w="0" w:type="dxa"/>
      </w:tblPr>
      <w:tblGrid>
        <w:gridCol w:w="2850"/>
        <w:gridCol w:w="7710"/>
      </w:tblGrid>
      <w:tr>
        <w:trPr>
          <w:tblHeader w:val="true"/>
          <w:cantSplit/>
        </w:trPr>
        <w:tc>
          <w:tcPr>
            <w:tcW w:type="dxa" w:w="28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7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R - Recognize pattern, function, and recovery context</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about substance, route, amount, frequency, timing, context, perceived benefits, consequences, past change, and current recovery supports.</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Evaluate intoxication, withdrawal, overdose, and co-occurring risk</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Assess reported and observed signs, medical or psychiatric instability, self-harm/violence risk, pregnancy context when relevant, and need for emergency or specialty evaluation.</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C - Clarify goals and readiness</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Elicit the client's concerns, priorities, confidence, ambivalence, language, and preferred outcomes without covertly imposing a pathway.</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 - Organize level of care and supports</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Match needs to appropriate care using qualified addiction/medical consultation and current criteria when beyond MFT scope.</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V - Verify systemic effects and resources</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Map family responses, reinforcement, caregiving, children/dependents, housing, work, culture, spirituality, peer support, and recovery capital.</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Engage appropriate care</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Clarify roles, obtain permission, coordinate medical/addiction/community resources, and create a warm handoff and continuity plan.</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R - Review response</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Track safety, use, craving, function, relationships, attendance, barriers, quality of life, and unintended effects; revise level and plan as indicated.</w:t>
            </w:r>
          </w:p>
        </w:tc>
      </w:tr>
    </w:tbl>
    <w:p>
      <w:pPr>
        <w:spacing w:after="20"/>
      </w:pPr>
    </w:p>
    <w:p>
      <w:pPr>
        <w:pStyle w:val="Heading2"/>
        <w:pageBreakBefore w:val="0"/>
      </w:pPr>
      <w:r>
        <w:t>Assessment Domains Without Practicing Medicine</w:t>
      </w:r>
    </w:p>
    <w:tbl>
      <w:tblPr>
        <w:tblW w:type="dxa" w:w="10560"/>
        <w:jc w:val="left"/>
        <w:tblLayout w:type="fixed"/>
        <w:tblLook w:firstColumn="1" w:firstRow="1" w:lastColumn="0" w:lastRow="0" w:noHBand="0" w:noVBand="1" w:val="04A0"/>
        <w:tblInd w:w="0" w:type="dxa"/>
      </w:tblPr>
      <w:tblGrid>
        <w:gridCol w:w="2100"/>
        <w:gridCol w:w="5300"/>
        <w:gridCol w:w="3160"/>
      </w:tblGrid>
      <w:tr>
        <w:trPr>
          <w:tblHeader w:val="true"/>
          <w:cantSplit/>
        </w:trPr>
        <w:tc>
          <w:tcPr>
            <w:tcW w:type="dxa" w:w="2100"/>
            <w:shd w:fill="12385B"/>
            <w:tcMar>
              <w:top w:w="95" w:type="dxa"/>
              <w:start w:w="120" w:type="dxa"/>
              <w:bottom w:w="95" w:type="dxa"/>
              <w:end w:w="120" w:type="dxa"/>
            </w:tcMar>
            <w:vAlign w:val="center"/>
          </w:tcPr>
          <w:p>
            <w:pPr>
              <w:spacing w:after="0"/>
            </w:pPr>
            <w:r/>
            <w:r>
              <w:rPr>
                <w:rFonts w:ascii="Liberation Sans" w:hAnsi="Liberation Sans"/>
                <w:b/>
                <w:color w:val="FFFFFF"/>
                <w:sz w:val="17"/>
              </w:rPr>
              <w:t>Domain</w:t>
            </w:r>
          </w:p>
        </w:tc>
        <w:tc>
          <w:tcPr>
            <w:tcW w:type="dxa" w:w="5300"/>
            <w:shd w:fill="12385B"/>
            <w:tcMar>
              <w:top w:w="95" w:type="dxa"/>
              <w:start w:w="120" w:type="dxa"/>
              <w:bottom w:w="95" w:type="dxa"/>
              <w:end w:w="120" w:type="dxa"/>
            </w:tcMar>
            <w:vAlign w:val="center"/>
          </w:tcPr>
          <w:p>
            <w:pPr>
              <w:spacing w:after="0"/>
            </w:pPr>
            <w:r/>
            <w:r>
              <w:rPr>
                <w:rFonts w:ascii="Liberation Sans" w:hAnsi="Liberation Sans"/>
                <w:b/>
                <w:color w:val="FFFFFF"/>
                <w:sz w:val="17"/>
              </w:rPr>
              <w:t>Ask / observe</w:t>
            </w:r>
          </w:p>
        </w:tc>
        <w:tc>
          <w:tcPr>
            <w:tcW w:type="dxa" w:w="3160"/>
            <w:shd w:fill="12385B"/>
            <w:tcMar>
              <w:top w:w="95" w:type="dxa"/>
              <w:start w:w="120" w:type="dxa"/>
              <w:bottom w:w="95" w:type="dxa"/>
              <w:end w:w="120" w:type="dxa"/>
            </w:tcMar>
            <w:vAlign w:val="center"/>
          </w:tcPr>
          <w:p>
            <w:pPr>
              <w:spacing w:after="0"/>
            </w:pPr>
            <w:r/>
            <w:r>
              <w:rPr>
                <w:rFonts w:ascii="Liberation Sans" w:hAnsi="Liberation Sans"/>
                <w:b/>
                <w:color w:val="FFFFFF"/>
                <w:sz w:val="17"/>
              </w:rPr>
              <w:t>Boundary</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Pattern and function</w:t>
            </w:r>
          </w:p>
        </w:tc>
        <w:tc>
          <w:tcPr>
            <w:tcW w:type="dxa" w:w="5300"/>
            <w:tcMar>
              <w:top w:w="90" w:type="dxa"/>
              <w:start w:w="120" w:type="dxa"/>
              <w:bottom w:w="90" w:type="dxa"/>
              <w:end w:w="120" w:type="dxa"/>
            </w:tcMar>
            <w:vAlign w:val="center"/>
          </w:tcPr>
          <w:p>
            <w:pPr>
              <w:spacing w:after="0" w:line="252" w:lineRule="auto"/>
            </w:pPr>
            <w:r/>
            <w:r>
              <w:rPr>
                <w:rFonts w:ascii="Liberation Sans" w:hAnsi="Liberation Sans"/>
                <w:color w:val="1E2D38"/>
                <w:sz w:val="16"/>
              </w:rPr>
              <w:t>What is used, how, when, with whom, for what effect, and with what short- and long-term consequences?</w:t>
            </w:r>
          </w:p>
        </w:tc>
        <w:tc>
          <w:tcPr>
            <w:tcW w:type="dxa" w:w="3160"/>
            <w:tcMar>
              <w:top w:w="90" w:type="dxa"/>
              <w:start w:w="120" w:type="dxa"/>
              <w:bottom w:w="90" w:type="dxa"/>
              <w:end w:w="120" w:type="dxa"/>
            </w:tcMar>
            <w:vAlign w:val="center"/>
          </w:tcPr>
          <w:p>
            <w:pPr>
              <w:spacing w:after="0" w:line="252" w:lineRule="auto"/>
            </w:pPr>
            <w:r/>
            <w:r>
              <w:rPr>
                <w:rFonts w:ascii="Liberation Sans" w:hAnsi="Liberation Sans"/>
                <w:color w:val="1E2D38"/>
                <w:sz w:val="16"/>
              </w:rPr>
              <w:t>Do not infer severity from one label, substance, or family report.</w:t>
            </w:r>
          </w:p>
        </w:tc>
      </w:tr>
      <w:tr>
        <w:trPr>
          <w:cantSplit/>
        </w:trPr>
        <w:tc>
          <w:tcPr>
            <w:tcW w:type="dxa" w:w="2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Acuity</w:t>
            </w:r>
          </w:p>
        </w:tc>
        <w:tc>
          <w:tcPr>
            <w:tcW w:type="dxa" w:w="5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Current intoxication, withdrawal concerns, overdose indicators, medical/psychiatric instability, driving, caregiving, and immediate safety.</w:t>
            </w:r>
          </w:p>
        </w:tc>
        <w:tc>
          <w:tcPr>
            <w:tcW w:type="dxa" w:w="3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Emergencies and withdrawal management require appropriate medical care.</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Co-occurrence</w:t>
            </w:r>
          </w:p>
        </w:tc>
        <w:tc>
          <w:tcPr>
            <w:tcW w:type="dxa" w:w="5300"/>
            <w:tcMar>
              <w:top w:w="90" w:type="dxa"/>
              <w:start w:w="120" w:type="dxa"/>
              <w:bottom w:w="90" w:type="dxa"/>
              <w:end w:w="120" w:type="dxa"/>
            </w:tcMar>
            <w:vAlign w:val="center"/>
          </w:tcPr>
          <w:p>
            <w:pPr>
              <w:spacing w:after="0" w:line="252" w:lineRule="auto"/>
            </w:pPr>
            <w:r/>
            <w:r>
              <w:rPr>
                <w:rFonts w:ascii="Liberation Sans" w:hAnsi="Liberation Sans"/>
                <w:color w:val="1E2D38"/>
                <w:sz w:val="16"/>
              </w:rPr>
              <w:t>Mood, anxiety, trauma, psychosis, cognition, sleep, pain, medication, and health symptoms across time.</w:t>
            </w:r>
          </w:p>
        </w:tc>
        <w:tc>
          <w:tcPr>
            <w:tcW w:type="dxa" w:w="3160"/>
            <w:tcMar>
              <w:top w:w="90" w:type="dxa"/>
              <w:start w:w="120" w:type="dxa"/>
              <w:bottom w:w="90" w:type="dxa"/>
              <w:end w:w="120" w:type="dxa"/>
            </w:tcMar>
            <w:vAlign w:val="center"/>
          </w:tcPr>
          <w:p>
            <w:pPr>
              <w:spacing w:after="0" w:line="252" w:lineRule="auto"/>
            </w:pPr>
            <w:r/>
            <w:r>
              <w:rPr>
                <w:rFonts w:ascii="Liberation Sans" w:hAnsi="Liberation Sans"/>
                <w:color w:val="1E2D38"/>
                <w:sz w:val="16"/>
              </w:rPr>
              <w:t>Keep causal conclusions provisional and coordinate differential evaluation.</w:t>
            </w:r>
          </w:p>
        </w:tc>
      </w:tr>
      <w:tr>
        <w:trPr>
          <w:cantSplit/>
        </w:trPr>
        <w:tc>
          <w:tcPr>
            <w:tcW w:type="dxa" w:w="2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Readiness and recovery</w:t>
            </w:r>
          </w:p>
        </w:tc>
        <w:tc>
          <w:tcPr>
            <w:tcW w:type="dxa" w:w="5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Goals, ambivalence, prior attempts, strengths, recovery capital, treatment/support preferences, and barriers.</w:t>
            </w:r>
          </w:p>
        </w:tc>
        <w:tc>
          <w:tcPr>
            <w:tcW w:type="dxa" w:w="3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Do not make one recovery identity or pathway mandatory.</w:t>
            </w:r>
          </w:p>
        </w:tc>
      </w:tr>
      <w:tr>
        <w:trPr>
          <w:cantSplit/>
        </w:trPr>
        <w:tc>
          <w:tcPr>
            <w:tcW w:type="dxa" w:w="210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 system</w:t>
            </w:r>
          </w:p>
        </w:tc>
        <w:tc>
          <w:tcPr>
            <w:tcW w:type="dxa" w:w="53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Accommodation, conflict, secrecy, protection, reinforcement, burden, children/dependents, and safety.</w:t>
            </w:r>
          </w:p>
        </w:tc>
        <w:tc>
          <w:tcPr>
            <w:tcW w:type="dxa" w:w="316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 involvement requires rationale, safety assessment, and appropriate consent.</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OVERDOSE AND WITHDRAWAL BOUNDARY  </w:t>
            </w:r>
            <w:r>
              <w:rPr>
                <w:rFonts w:ascii="Liberation Sans" w:hAnsi="Liberation Sans"/>
                <w:color w:val="1E2D38"/>
                <w:sz w:val="18"/>
              </w:rPr>
              <w:t>Suspected overdose, severe withdrawal, altered consciousness, respiratory compromise, seizure, delirium, or acute medical instability requires emergency activation and medical care according to current local protocols. Relationship treatment does not substitute for stabilization.</w:t>
            </w:r>
          </w:p>
        </w:tc>
      </w:tr>
    </w:tbl>
    <w:p>
      <w:pPr>
        <w:spacing w:after="20"/>
      </w:pPr>
    </w:p>
    <w:p>
      <w:pPr>
        <w:pStyle w:val="Heading2"/>
      </w:pPr>
      <w:r>
        <w:t>Case Lab 2: Morning Tremor and Couple Conflict</w:t>
      </w:r>
    </w:p>
    <w:p>
      <w:pPr>
        <w:spacing w:after="90"/>
      </w:pPr>
      <w:r>
        <w:rPr>
          <w:rFonts w:ascii="Liberation Sans" w:hAnsi="Liberation Sans"/>
          <w:i w:val="0"/>
          <w:color w:val="1E2D38"/>
          <w:sz w:val="18"/>
        </w:rPr>
        <w:t>Luis reports escalating alcohol use and morning tremors. His partner says arguments are worse and wants communication training today. Luis is sweating, appears unsteady, and says he plans to stop drinking abruptly after the session. The therapist has not assessed withdrawal history, recent use, medical status, or transportation.</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takes priority before routine couple work?</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RECOVER and STEADY. Assess current instability and immediate danger, obtain urgent medical evaluation or emergency care as indicated, and avoid directing unsupervised withdrawal. Clarify transportation, dependents, and the partner's safety. Couple work can resume only after the immediate level-of-care need is addressed and roles are clear.</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use and last use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Withdrawal indicators/history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Medical/psychiatric stability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emergency action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Transportation/dependents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Partner safety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Scope boundary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Coordination role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Continuity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2"/>
      </w:pPr>
      <w:r>
        <w:t>Case Lab 3: Recovery Without One Prescribed Path</w:t>
      </w:r>
    </w:p>
    <w:p>
      <w:pPr>
        <w:spacing w:after="90"/>
      </w:pPr>
      <w:r>
        <w:rPr>
          <w:rFonts w:ascii="Liberation Sans" w:hAnsi="Liberation Sans"/>
          <w:i w:val="0"/>
          <w:color w:val="1E2D38"/>
          <w:sz w:val="18"/>
        </w:rPr>
        <w:t>Nia wants fewer opioid-related harms and better parenting stability but does not identify with the therapist's preferred mutual-help model. Nia is interested in medication treatment and a culturally specific peer program. The therapist worries that supporting these choices is “not real recovery.”</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plan care?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RECOVER to clarify Nia's goals, readiness, risks, evidence-informed options, family needs, recovery capital, and barriers. Support informed, person-driven choices and coordinate qualified medical and recovery services with permission. Do not equate one recovery identity or support model with the only legitimate pathway.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Client-defined goals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Safety/acuity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Readiness and confidence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Recovery strengths/capital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Evidence-informed options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Family/parenting needs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bias check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Consented coordination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indicators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Revision point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3</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Sexuality, Sexual Health, Reproductive Context, and Relational Care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Use permission, privacy, inclusive language, and behaviorally specific inquiry. Distinguish identity, anatomy, behavior, desire, function, relationship structure, consent, safety, health, trauma, culture, and reproductive context without assumption.</w:t>
            </w:r>
          </w:p>
        </w:tc>
      </w:tr>
    </w:tbl>
    <w:p>
      <w:pPr>
        <w:spacing w:after="20"/>
      </w:pPr>
    </w:p>
    <w:p>
      <w:pPr>
        <w:pStyle w:val="Heading2"/>
        <w:pageBreakBefore w:val="0"/>
      </w:pPr>
      <w:r>
        <w:t>The OPENS Sequence</w:t>
      </w:r>
    </w:p>
    <w:tbl>
      <w:tblPr>
        <w:tblW w:type="dxa" w:w="10560"/>
        <w:jc w:val="left"/>
        <w:tblLayout w:type="fixed"/>
        <w:tblLook w:firstColumn="1" w:firstRow="1" w:lastColumn="0" w:lastRow="0" w:noHBand="0" w:noVBand="1" w:val="04A0"/>
        <w:tblInd w:w="0" w:type="dxa"/>
      </w:tblPr>
      <w:tblGrid>
        <w:gridCol w:w="2700"/>
        <w:gridCol w:w="7860"/>
      </w:tblGrid>
      <w:tr>
        <w:trPr>
          <w:tblHeader w:val="true"/>
          <w:cantSplit/>
        </w:trPr>
        <w:tc>
          <w:tcPr>
            <w:tcW w:type="dxa" w:w="27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8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Offer permission, privacy, and inclusive language</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Explain why the topic may matter, ask permission, clarify confidentiality and participation, and use the client's terms for body, identity, partners, and relationships.</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 - Pinpoint the concern and client-defined goal</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Clarify who experiences the concern, what has changed, how it affects function and relationships, and what useful care would look like.</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Evaluate consent, coercion, safety, trauma, medical, and relational factors</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behaviorally specific questions without assuming that desire, agreement, silence, identity, or relationship status establishes consent.</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 - Normalize variation without assumption</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accurate information and a nonpathologizing stance while remaining alert to distress, impairment, exploitation, trauma, pain, and health needs.</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Scope treatment, adapt, coordinate, or refer</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Determine what fits MFT competence; coordinate medical, sexual-health, reproductive, pelvic-health, trauma, or specialty services with permission and continuity.</w:t>
            </w:r>
          </w:p>
        </w:tc>
      </w:tr>
    </w:tbl>
    <w:p>
      <w:pPr>
        <w:spacing w:after="20"/>
      </w:pPr>
    </w:p>
    <w:p>
      <w:pPr>
        <w:pStyle w:val="Heading2"/>
        <w:pageBreakBefore w:val="0"/>
      </w:pPr>
      <w:r>
        <w:t>Separate the Dimensions</w:t>
      </w:r>
    </w:p>
    <w:tbl>
      <w:tblPr>
        <w:tblW w:type="dxa" w:w="10560"/>
        <w:jc w:val="left"/>
        <w:tblLayout w:type="fixed"/>
        <w:tblLook w:firstColumn="1" w:firstRow="1" w:lastColumn="0" w:lastRow="0" w:noHBand="0" w:noVBand="1" w:val="04A0"/>
        <w:tblInd w:w="0" w:type="dxa"/>
      </w:tblPr>
      <w:tblGrid>
        <w:gridCol w:w="2600"/>
        <w:gridCol w:w="7960"/>
      </w:tblGrid>
      <w:tr>
        <w:trPr>
          <w:tblHeader w:val="true"/>
          <w:cantSplit/>
        </w:trPr>
        <w:tc>
          <w:tcPr>
            <w:tcW w:type="dxa" w:w="2600"/>
            <w:shd w:fill="12385B"/>
            <w:tcMar>
              <w:top w:w="95" w:type="dxa"/>
              <w:start w:w="120" w:type="dxa"/>
              <w:bottom w:w="95" w:type="dxa"/>
              <w:end w:w="120" w:type="dxa"/>
            </w:tcMar>
            <w:vAlign w:val="center"/>
          </w:tcPr>
          <w:p>
            <w:pPr>
              <w:spacing w:after="0"/>
            </w:pPr>
            <w:r/>
            <w:r>
              <w:rPr>
                <w:rFonts w:ascii="Liberation Sans" w:hAnsi="Liberation Sans"/>
                <w:b/>
                <w:color w:val="FFFFFF"/>
                <w:sz w:val="17"/>
              </w:rPr>
              <w:t>Dimension</w:t>
            </w:r>
          </w:p>
        </w:tc>
        <w:tc>
          <w:tcPr>
            <w:tcW w:type="dxa" w:w="7960"/>
            <w:shd w:fill="12385B"/>
            <w:tcMar>
              <w:top w:w="95" w:type="dxa"/>
              <w:start w:w="120" w:type="dxa"/>
              <w:bottom w:w="95" w:type="dxa"/>
              <w:end w:w="120" w:type="dxa"/>
            </w:tcMar>
            <w:vAlign w:val="center"/>
          </w:tcPr>
          <w:p>
            <w:pPr>
              <w:spacing w:after="0"/>
            </w:pPr>
            <w:r/>
            <w:r>
              <w:rPr>
                <w:rFonts w:ascii="Liberation Sans" w:hAnsi="Liberation Sans"/>
                <w:b/>
                <w:color w:val="FFFFFF"/>
                <w:sz w:val="17"/>
              </w:rPr>
              <w:t>Do not assume</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Identity</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Identity predicts anatomy, partners, behavior, desire, fertility goals, or relationship structure.</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Anatomy and health</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The therapist knows which terms, organs, procedures, or reproductive possibilities apply without asking.</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Behavior and practices</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Relationship status, orientation, or appearance describes actual sexual behavior or exposure.</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Desire and function</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Discrepant desire means dysfunction, lack of love, infidelity, coercion, or a single medical cause.</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Consent and coercion</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Prior consent, marriage, silence, compliance, or absence of physical force establishes current voluntary agreement.</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Culture and spirituality</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group identity determines the client's values, language, disclosure preferences, or meaning.</w:t>
            </w:r>
          </w:p>
        </w:tc>
      </w:tr>
    </w:tbl>
    <w:p>
      <w:pPr>
        <w:spacing w:after="20"/>
      </w:pPr>
    </w:p>
    <w:p>
      <w:pPr>
        <w:pStyle w:val="Heading2"/>
        <w:pageBreakBefore w:val="0"/>
      </w:pPr>
      <w:r>
        <w:t>When to Coordinate or Refer</w:t>
      </w:r>
    </w:p>
    <w:p>
      <w:pPr>
        <w:pStyle w:val="ListBullet"/>
        <w:keepLines/>
        <w:spacing w:after="70"/>
      </w:pPr>
      <w:r>
        <w:rPr>
          <w:rFonts w:ascii="Liberation Sans" w:hAnsi="Liberation Sans"/>
          <w:color w:val="1E2D38"/>
          <w:sz w:val="18"/>
        </w:rPr>
        <w:t>New pain, bleeding, sudden functional change, medication-related concerns, pregnancy/reproductive needs, or other health questions require appropriate medical or sexual-health evaluation.</w:t>
      </w:r>
    </w:p>
    <w:p>
      <w:pPr>
        <w:pStyle w:val="ListBullet"/>
        <w:keepLines/>
        <w:spacing w:after="70"/>
      </w:pPr>
      <w:r>
        <w:rPr>
          <w:rFonts w:ascii="Liberation Sans" w:hAnsi="Liberation Sans"/>
          <w:color w:val="1E2D38"/>
          <w:sz w:val="18"/>
        </w:rPr>
        <w:t>Coercion, violence, exploitation, inability to consent, or immediate danger changes the task to safety and jurisdiction-specific protective action.</w:t>
      </w:r>
    </w:p>
    <w:p>
      <w:pPr>
        <w:pStyle w:val="ListBullet"/>
        <w:keepLines/>
        <w:spacing w:after="70"/>
      </w:pPr>
      <w:r>
        <w:rPr>
          <w:rFonts w:ascii="Liberation Sans" w:hAnsi="Liberation Sans"/>
          <w:color w:val="1E2D38"/>
          <w:sz w:val="18"/>
        </w:rPr>
        <w:t>Specialized sex therapy, trauma treatment, reproductive counseling, pelvic-health care, or medical treatment requires relevant competence and role clarity.</w:t>
      </w:r>
    </w:p>
    <w:p>
      <w:pPr>
        <w:pStyle w:val="ListBullet"/>
        <w:keepLines/>
        <w:spacing w:after="70"/>
      </w:pPr>
      <w:r>
        <w:rPr>
          <w:rFonts w:ascii="Liberation Sans" w:hAnsi="Liberation Sans"/>
          <w:color w:val="1E2D38"/>
          <w:sz w:val="18"/>
        </w:rPr>
        <w:t>Do not make disclosure to a partner a universal condition of care; assess law, ethics, safety, identified client, consent, and clinical context.</w:t>
      </w:r>
    </w:p>
    <w:p>
      <w:pPr>
        <w:pStyle w:val="ListBullet"/>
        <w:keepLines/>
        <w:spacing w:after="70"/>
      </w:pPr>
      <w:r>
        <w:rPr>
          <w:rFonts w:ascii="Liberation Sans" w:hAnsi="Liberation Sans"/>
          <w:color w:val="1E2D38"/>
          <w:sz w:val="18"/>
        </w:rPr>
        <w:t>Document permission, language preferences, boundaries, referrals, coordination, and the basis for the chosen treatment unit.</w:t>
      </w:r>
    </w:p>
    <w:p>
      <w:pPr>
        <w:pStyle w:val="Heading2"/>
      </w:pPr>
      <w:r>
        <w:t>Case Lab 4: Desire Discrepancy and Pressure</w:t>
      </w:r>
    </w:p>
    <w:p>
      <w:pPr>
        <w:spacing w:after="90"/>
      </w:pPr>
      <w:r>
        <w:rPr>
          <w:rFonts w:ascii="Liberation Sans" w:hAnsi="Liberation Sans"/>
          <w:i w:val="0"/>
          <w:color w:val="1E2D38"/>
          <w:sz w:val="18"/>
        </w:rPr>
        <w:t>A couple reports different levels of sexual desire. One partner says, “If you loved me, you would agree,” while the other looks down and says they usually consent to avoid conflict. The requesting partner wants techniques to increase frequency. The therapist has not met with either partner privately or assessed retaliation, pain, trauma, or medical factors.</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before routine desire-focused intervention?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OPENS. Establish privacy and client-defined language, assess voluntariness, coercion, retaliation, safety, trauma, pain, and health factors, and clarify whether conjoint work is safe and appropriate. Normalize desire variation without normalizing pressure. Coordinate or refer within competence and current jurisdictional duties.</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Permission/privacy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Client-defined concern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Consent/coercion findings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Retaliation/safety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Trauma/health factors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Treatment-unit decision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Competence/referral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Jurisdiction question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Conditions for intervention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4</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Health, Disability, Medication, and Integrated Care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Health and disability affect and are affected by relationships, function, access, identity, and resources. Assess the systemic impact, avoid diagnostic overshadowing and ableism, adapt access, and coordinate medical information with permission and role clarity.</w:t>
            </w:r>
          </w:p>
        </w:tc>
      </w:tr>
    </w:tbl>
    <w:p>
      <w:pPr>
        <w:spacing w:after="20"/>
      </w:pPr>
    </w:p>
    <w:p>
      <w:pPr>
        <w:pStyle w:val="Heading2"/>
        <w:pageBreakBefore w:val="0"/>
      </w:pPr>
      <w:r>
        <w:t>The BRIDGE Coordination Sequence</w:t>
      </w:r>
    </w:p>
    <w:tbl>
      <w:tblPr>
        <w:tblW w:type="dxa" w:w="10560"/>
        <w:jc w:val="left"/>
        <w:tblLayout w:type="fixed"/>
        <w:tblLook w:firstColumn="1" w:firstRow="1" w:lastColumn="0" w:lastRow="0" w:noHBand="0" w:noVBand="1" w:val="04A0"/>
        <w:tblInd w:w="0" w:type="dxa"/>
      </w:tblPr>
      <w:tblGrid>
        <w:gridCol w:w="2850"/>
        <w:gridCol w:w="7710"/>
      </w:tblGrid>
      <w:tr>
        <w:trPr>
          <w:tblHeader w:val="true"/>
          <w:cantSplit/>
        </w:trPr>
        <w:tc>
          <w:tcPr>
            <w:tcW w:type="dxa" w:w="28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7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B - Build the shared care question</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State the specific clinical question, the identified client, why coordination may help, and what the client wants from it.</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 - Review health, medication, disability, function, and access</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Clarify client-reported diagnoses, symptoms, sleep, pain, medication experience, cognition, daily function, accommodations, and barriers without practicing medicine.</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I - Identify bidirectional relational effects</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Map how health affects roles and relationships and how relational stress, resources, caregiving, and access affect health management.</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 - Define consent, roles, and information limits</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Obtain informed permission, identify recipients, specify the minimum necessary information, communication method, and each professional's role.</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G - Generate an adapted plan</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Adjust format, pacing, communication, goals, caregiving expectations, referrals, and supports to improve equitable participation.</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Evaluate and communicate response</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Track function, access, burden, safety, adherence barriers, alliance, and outcomes; update collaborators and the client within permission and need.</w:t>
            </w:r>
          </w:p>
        </w:tc>
      </w:tr>
    </w:tbl>
    <w:p>
      <w:pPr>
        <w:spacing w:after="20"/>
      </w:pPr>
    </w:p>
    <w:p>
      <w:pPr>
        <w:pStyle w:val="Heading2"/>
        <w:pageBreakBefore w:val="0"/>
      </w:pPr>
      <w:r>
        <w:t>Anti-Ableist and Access-Responsive Practice</w:t>
      </w:r>
    </w:p>
    <w:tbl>
      <w:tblPr>
        <w:tblW w:type="dxa" w:w="10560"/>
        <w:jc w:val="left"/>
        <w:tblLayout w:type="fixed"/>
        <w:tblLook w:firstColumn="1" w:firstRow="1" w:lastColumn="0" w:lastRow="0" w:noHBand="0" w:noVBand="1" w:val="04A0"/>
        <w:tblInd w:w="0" w:type="dxa"/>
      </w:tblPr>
      <w:tblGrid>
        <w:gridCol w:w="2900"/>
        <w:gridCol w:w="7660"/>
      </w:tblGrid>
      <w:tr>
        <w:trPr>
          <w:tblHeader w:val="true"/>
          <w:cantSplit/>
        </w:trPr>
        <w:tc>
          <w:tcPr>
            <w:tcW w:type="dxa" w:w="2900"/>
            <w:shd w:fill="12385B"/>
            <w:tcMar>
              <w:top w:w="95" w:type="dxa"/>
              <w:start w:w="120" w:type="dxa"/>
              <w:bottom w:w="95" w:type="dxa"/>
              <w:end w:w="120" w:type="dxa"/>
            </w:tcMar>
            <w:vAlign w:val="center"/>
          </w:tcPr>
          <w:p>
            <w:pPr>
              <w:spacing w:after="0"/>
            </w:pPr>
            <w:r/>
            <w:r>
              <w:rPr>
                <w:rFonts w:ascii="Liberation Sans" w:hAnsi="Liberation Sans"/>
                <w:b/>
                <w:color w:val="FFFFFF"/>
                <w:sz w:val="17"/>
              </w:rPr>
              <w:t>Practice</w:t>
            </w:r>
          </w:p>
        </w:tc>
        <w:tc>
          <w:tcPr>
            <w:tcW w:type="dxa" w:w="7660"/>
            <w:shd w:fill="12385B"/>
            <w:tcMar>
              <w:top w:w="95" w:type="dxa"/>
              <w:start w:w="120" w:type="dxa"/>
              <w:bottom w:w="95" w:type="dxa"/>
              <w:end w:w="120" w:type="dxa"/>
            </w:tcMar>
            <w:vAlign w:val="center"/>
          </w:tcPr>
          <w:p>
            <w:pPr>
              <w:spacing w:after="0"/>
            </w:pPr>
            <w:r/>
            <w:r>
              <w:rPr>
                <w:rFonts w:ascii="Liberation Sans" w:hAnsi="Liberation Sans"/>
                <w:b/>
                <w:color w:val="FFFFFF"/>
                <w:sz w:val="17"/>
              </w:rPr>
              <w:t>Application</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do not presume</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what access, communication, pacing, sensory, mobility, cognitive, fatigue, pain, or support adaptations are useful.</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Separate impairment from environment</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Distinguish body or cognitive limitations from inaccessible systems, stigma, role expectations, transportation, cost, and communication barriers.</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Protect autonomy</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Do not default to a caregiver as decision-maker or interpreter; clarify the client's preferences, capacity, privacy, and legal authority.</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Adapt measurement</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accessible language, format, response mode, timing, and interpretation; document meaningful functional outcomes.</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Coordinate precisely</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Share only necessary information with permission, clarify uncertainty, and avoid presenting therapist impressions as medical conclusions.</w:t>
            </w:r>
          </w:p>
        </w:tc>
      </w:tr>
    </w:tbl>
    <w:p>
      <w:pPr>
        <w:spacing w:after="20"/>
      </w:pPr>
    </w:p>
    <w:p>
      <w:pPr>
        <w:pStyle w:val="Heading2"/>
        <w:pageBreakBefore w:val="0"/>
      </w:pPr>
      <w:r>
        <w:t>Medication and Medical Questions</w:t>
      </w:r>
    </w:p>
    <w:p>
      <w:pPr>
        <w:pStyle w:val="ListBullet"/>
        <w:keepLines/>
        <w:spacing w:after="70"/>
      </w:pPr>
      <w:r>
        <w:rPr>
          <w:rFonts w:ascii="Liberation Sans" w:hAnsi="Liberation Sans"/>
          <w:color w:val="1E2D38"/>
          <w:sz w:val="18"/>
        </w:rPr>
        <w:t>Ask what the client notices, when it began, what changed, and how symptoms affect function and relationships.</w:t>
      </w:r>
    </w:p>
    <w:p>
      <w:pPr>
        <w:pStyle w:val="ListBullet"/>
        <w:keepLines/>
        <w:spacing w:after="70"/>
      </w:pPr>
      <w:r>
        <w:rPr>
          <w:rFonts w:ascii="Liberation Sans" w:hAnsi="Liberation Sans"/>
          <w:color w:val="1E2D38"/>
          <w:sz w:val="18"/>
        </w:rPr>
        <w:t>Do not recommend starting, stopping, increasing, decreasing, or substituting medication beyond professional authority and competence.</w:t>
      </w:r>
    </w:p>
    <w:p>
      <w:pPr>
        <w:pStyle w:val="ListBullet"/>
        <w:keepLines/>
        <w:spacing w:after="70"/>
      </w:pPr>
      <w:r>
        <w:rPr>
          <w:rFonts w:ascii="Liberation Sans" w:hAnsi="Liberation Sans"/>
          <w:color w:val="1E2D38"/>
          <w:sz w:val="18"/>
        </w:rPr>
        <w:t>New confusion, falls, severe sedation, agitation, chest pain, respiratory symptoms, seizures, or other acute changes require appropriate medical evaluation.</w:t>
      </w:r>
    </w:p>
    <w:p>
      <w:pPr>
        <w:pStyle w:val="ListBullet"/>
        <w:keepLines/>
        <w:spacing w:after="70"/>
      </w:pPr>
      <w:r>
        <w:rPr>
          <w:rFonts w:ascii="Liberation Sans" w:hAnsi="Liberation Sans"/>
          <w:color w:val="1E2D38"/>
          <w:sz w:val="18"/>
        </w:rPr>
        <w:t>With informed permission, communicate concise observations, the client's questions, relevant function, and the purpose of coordination.</w:t>
      </w:r>
    </w:p>
    <w:p>
      <w:pPr>
        <w:pStyle w:val="ListBullet"/>
        <w:keepLines/>
        <w:spacing w:after="70"/>
      </w:pPr>
      <w:r>
        <w:rPr>
          <w:rFonts w:ascii="Liberation Sans" w:hAnsi="Liberation Sans"/>
          <w:color w:val="1E2D38"/>
          <w:sz w:val="18"/>
        </w:rPr>
        <w:t>Continue to address relational responses, access, adherence barriers, caregiving strain, and meaning while medical professionals address medical care.</w:t>
      </w:r>
    </w:p>
    <w:p>
      <w:pPr>
        <w:pStyle w:val="Heading2"/>
      </w:pPr>
      <w:r>
        <w:t>Case Lab 5: Fatigue After a Medication Change</w:t>
      </w:r>
    </w:p>
    <w:p>
      <w:pPr>
        <w:spacing w:after="90"/>
      </w:pPr>
      <w:r>
        <w:rPr>
          <w:rFonts w:ascii="Liberation Sans" w:hAnsi="Liberation Sans"/>
          <w:i w:val="0"/>
          <w:color w:val="1E2D38"/>
          <w:sz w:val="18"/>
        </w:rPr>
        <w:t>After a medication change by a prescriber, Mei reports severe fatigue, irritability, and sleeping through family commitments. Her family labels the behavior “lazy” and wants the therapist to persuade her to stop the medication. Mei wants help communicating with the prescriber and reducing conflict.</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respond within role?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BRIDGE. Assess timing, function, safety, health and sleep context, and the relational feedback loop. Reject the character label, clarify that medication decisions belong with the qualified prescriber, obtain Mei's permission for focused coordination, and adapt family expectations while the medical question is evaluated.</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Shared care question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Timeline/function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safety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Relational loop</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 preferences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Consent and information limit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Prescriber communication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 adaptation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indicators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Reassessment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2"/>
      </w:pPr>
      <w:r>
        <w:t>Case Lab 6: Disability Is Not the Whole Formulation</w:t>
      </w:r>
    </w:p>
    <w:p>
      <w:pPr>
        <w:spacing w:after="90"/>
      </w:pPr>
      <w:r>
        <w:rPr>
          <w:rFonts w:ascii="Liberation Sans" w:hAnsi="Liberation Sans"/>
          <w:i w:val="0"/>
          <w:color w:val="1E2D38"/>
          <w:sz w:val="18"/>
        </w:rPr>
        <w:t>A family attributes every conflict to Ravi's acquired mobility disability. Sessions are scheduled in a room that is difficult to enter, breaks are not offered despite pain and fatigue, and relatives answer questions for Ravi. The therapist plans to teach Ravi coping skills without discussing access or family roles.</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change first in the assessment and treatment environment?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MOSAIC and BRIDGE. Ask Ravi directly about access, communication, privacy, support, and goals; correct environmental barriers; distinguish disability effects from family assumptions and interactional patterns; clarify participant roles; and adapt pacing and outcomes. Do not reduce the client or family problem to disability.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 voice and goals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Access barriers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Pain/fatigue needs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Privacy/companion role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Relational assumptions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Strengths and resources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Environmental adaptations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 target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Coordination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Response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5</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Developmental Transitions, Aging, Caregiving, Grief, and Loss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Locate concerns in development, family life cycle, culture, spirituality, and material context. Honor grief and variation while directly assessing impairment, trauma, depression, suicide risk, capacity, neglect, exploitation, and caregiver-system needs.</w:t>
            </w:r>
          </w:p>
        </w:tc>
      </w:tr>
    </w:tbl>
    <w:p>
      <w:pPr>
        <w:spacing w:after="20"/>
      </w:pPr>
    </w:p>
    <w:p>
      <w:pPr>
        <w:pStyle w:val="Heading2"/>
        <w:pageBreakBefore w:val="0"/>
      </w:pPr>
      <w:r>
        <w:t>The SEASONS Sequence</w:t>
      </w:r>
    </w:p>
    <w:tbl>
      <w:tblPr>
        <w:tblW w:type="dxa" w:w="10560"/>
        <w:jc w:val="left"/>
        <w:tblLayout w:type="fixed"/>
        <w:tblLook w:firstColumn="1" w:firstRow="1" w:lastColumn="0" w:lastRow="0" w:noHBand="0" w:noVBand="1" w:val="04A0"/>
        <w:tblInd w:w="0" w:type="dxa"/>
      </w:tblPr>
      <w:tblGrid>
        <w:gridCol w:w="2900"/>
        <w:gridCol w:w="7660"/>
      </w:tblGrid>
      <w:tr>
        <w:trPr>
          <w:tblHeader w:val="true"/>
          <w:cantSplit/>
        </w:trPr>
        <w:tc>
          <w:tcPr>
            <w:tcW w:type="dxa" w:w="29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6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Situate the concern in development and family life cycle</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Clarify expected tasks, transitions, role changes, timing, history, and the meanings each participant assigns.</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Elicit meaning, culture, spirituality, and ritual</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how the client and community understand the transition or loss; avoid prescribing a universal timeline or expression.</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A - Assess grief, disorder, trauma, function, and safety</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Evaluate course, severity, distress, impairment, trauma, depression, substance use, suicide risk, cognition, capacity, abuse, neglect, and exploitation as indicated.</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 - Support adaptive tasks and relationships</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Help the system revise roles, communicate needs, tolerate differing rhythms, preserve connection, and engage chosen rituals or meaning-making.</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Organize caregiver and system resources</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Assess burden, respite, practical supports, care coordination, finances, housing, legal authority, transportation, and community resources within scope.</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 - Notice nonresponse and unintended effects</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Track function, isolation, risk, caregiver strain, alliance, and whether the plan is inaccessible, culturally mismatched, or insufficient.</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Step, refer, or revise</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Continue, adapt, coordinate, step up/down, refer, transfer, or terminate with continuity based on the changing need and response.</w:t>
            </w:r>
          </w:p>
        </w:tc>
      </w:tr>
    </w:tbl>
    <w:p>
      <w:pPr>
        <w:spacing w:after="20"/>
      </w:pPr>
    </w:p>
    <w:p>
      <w:pPr>
        <w:pStyle w:val="Heading2"/>
        <w:pageBreakBefore w:val="0"/>
      </w:pPr>
      <w:r>
        <w:t>Differentiate Without Policing Grief</w:t>
      </w:r>
    </w:p>
    <w:tbl>
      <w:tblPr>
        <w:tblW w:type="dxa" w:w="10560"/>
        <w:jc w:val="left"/>
        <w:tblLayout w:type="fixed"/>
        <w:tblLook w:firstColumn="1" w:firstRow="1" w:lastColumn="0" w:lastRow="0" w:noHBand="0" w:noVBand="1" w:val="04A0"/>
        <w:tblInd w:w="0" w:type="dxa"/>
      </w:tblPr>
      <w:tblGrid>
        <w:gridCol w:w="2500"/>
        <w:gridCol w:w="8060"/>
      </w:tblGrid>
      <w:tr>
        <w:trPr>
          <w:tblHeader w:val="true"/>
          <w:cantSplit/>
        </w:trPr>
        <w:tc>
          <w:tcPr>
            <w:tcW w:type="dxa" w:w="2500"/>
            <w:shd w:fill="12385B"/>
            <w:tcMar>
              <w:top w:w="95" w:type="dxa"/>
              <w:start w:w="120" w:type="dxa"/>
              <w:bottom w:w="95" w:type="dxa"/>
              <w:end w:w="120" w:type="dxa"/>
            </w:tcMar>
            <w:vAlign w:val="center"/>
          </w:tcPr>
          <w:p>
            <w:pPr>
              <w:spacing w:after="0"/>
            </w:pPr>
            <w:r/>
            <w:r>
              <w:rPr>
                <w:rFonts w:ascii="Liberation Sans" w:hAnsi="Liberation Sans"/>
                <w:b/>
                <w:color w:val="FFFFFF"/>
                <w:sz w:val="17"/>
              </w:rPr>
              <w:t>Consider</w:t>
            </w:r>
          </w:p>
        </w:tc>
        <w:tc>
          <w:tcPr>
            <w:tcW w:type="dxa" w:w="80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question</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Meaning and norms</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How do culture, spirituality, family, community, and the relationship to the loss shape expression and timing?</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Course and function</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changed across home, work, school, caregiving, sleep, health, relationships, and self-care?</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Differential evidence</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Are depression, trauma, prolonged grief, substance use, medical factors, or another condition better supported, overlapping, or uncertain?</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Safety</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Is there suicidal thinking or behavior, self-neglect, abuse, exploitation, inability to meet basic needs, or acute instability?</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Resources and barriers</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support, ritual, respite, practical care, accessibility, or community connection is wanted and available?</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Response</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Is the plan improving connection, function, meaning, and safety, or increasing isolation, shame, burden, or avoidance?</w:t>
            </w:r>
          </w:p>
        </w:tc>
      </w:tr>
    </w:tbl>
    <w:p>
      <w:pPr>
        <w:spacing w:after="20"/>
      </w:pPr>
    </w:p>
    <w:p>
      <w:pPr>
        <w:pStyle w:val="Heading2"/>
        <w:pageBreakBefore/>
      </w:pPr>
      <w:r>
        <w:t>Aging, Capacity, and Caregiving</w:t>
      </w:r>
    </w:p>
    <w:p>
      <w:pPr>
        <w:pStyle w:val="ListBullet"/>
        <w:keepLines/>
        <w:spacing w:after="70"/>
      </w:pPr>
      <w:r>
        <w:rPr>
          <w:rFonts w:ascii="Liberation Sans" w:hAnsi="Liberation Sans"/>
          <w:color w:val="1E2D38"/>
          <w:sz w:val="18"/>
        </w:rPr>
        <w:t>Do not treat age as diagnosis or assume cognitive decline, dependence, incapacity, or family authority.</w:t>
      </w:r>
    </w:p>
    <w:p>
      <w:pPr>
        <w:pStyle w:val="ListBullet"/>
        <w:keepLines/>
        <w:spacing w:after="70"/>
      </w:pPr>
      <w:r>
        <w:rPr>
          <w:rFonts w:ascii="Liberation Sans" w:hAnsi="Liberation Sans"/>
          <w:color w:val="1E2D38"/>
          <w:sz w:val="18"/>
        </w:rPr>
        <w:t>New cognitive or functional change requires appropriate medical evaluation and a careful differential, especially when onset is acute.</w:t>
      </w:r>
    </w:p>
    <w:p>
      <w:pPr>
        <w:pStyle w:val="ListBullet"/>
        <w:keepLines/>
        <w:spacing w:after="70"/>
      </w:pPr>
      <w:r>
        <w:rPr>
          <w:rFonts w:ascii="Liberation Sans" w:hAnsi="Liberation Sans"/>
          <w:color w:val="1E2D38"/>
          <w:sz w:val="18"/>
        </w:rPr>
        <w:t>Assess caregiver burden without making stress an excuse for mistreatment; evaluate safety, neglect, exploitation, and available support.</w:t>
      </w:r>
    </w:p>
    <w:p>
      <w:pPr>
        <w:pStyle w:val="ListBullet"/>
        <w:keepLines/>
        <w:spacing w:after="70"/>
      </w:pPr>
      <w:r>
        <w:rPr>
          <w:rFonts w:ascii="Liberation Sans" w:hAnsi="Liberation Sans"/>
          <w:color w:val="1E2D38"/>
          <w:sz w:val="18"/>
        </w:rPr>
        <w:t>Capacity is decision-specific and may fluctuate; follow current jurisdictional law and qualified evaluation requirements.</w:t>
      </w:r>
    </w:p>
    <w:p>
      <w:pPr>
        <w:pStyle w:val="ListBullet"/>
        <w:keepLines/>
        <w:spacing w:after="70"/>
      </w:pPr>
      <w:r>
        <w:rPr>
          <w:rFonts w:ascii="Liberation Sans" w:hAnsi="Liberation Sans"/>
          <w:color w:val="1E2D38"/>
          <w:sz w:val="18"/>
        </w:rPr>
        <w:t>When abuse, neglect, or exploitation is suspected, use current law, consultation, safety planning, and protective resources rather than a universal national rule.</w:t>
      </w:r>
    </w:p>
    <w:p>
      <w:pPr>
        <w:pStyle w:val="Heading2"/>
      </w:pPr>
      <w:r>
        <w:t>Case Lab 7: Grief, Culture, and Functional Decline</w:t>
      </w:r>
    </w:p>
    <w:p>
      <w:pPr>
        <w:spacing w:after="90"/>
      </w:pPr>
      <w:r>
        <w:rPr>
          <w:rFonts w:ascii="Liberation Sans" w:hAnsi="Liberation Sans"/>
          <w:i w:val="0"/>
          <w:color w:val="1E2D38"/>
          <w:sz w:val="18"/>
        </w:rPr>
        <w:t>Fourteen months after her wife's death, Amara continues daily mourning rituals valued in her faith community. She also reports intense longing, severe isolation, loss of work functioning, increased alcohol use, and thoughts that life is not worth living. A relative says the rituals prove she is “stuck,” while Amara fears therapy will disrespect her culture.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differentiate and respond?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SEASONS. Respect the meaning of the rituals and avoid using duration alone. Directly assess suicide risk, substance use, function, trauma, depression, and prolonged-grief features; identify cultural and spiritual supports; and coordinate the appropriate level of care. Cultural humility and diagnostic assessment are complementary.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 meaning/ritual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Course and function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Suicide assessment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Substance/trauma factors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Differential hypotheses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Protective supports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Treatment/level of care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Consented coordination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indicators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Revision point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6</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Trauma Complexity, Level of Care, Coordination, and Family-System Adaptation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Stabilization and participation capacity control sequence. Coordinate complex care with informed permission, precise roles, minimum necessary information, warm handoffs, response monitoring, and continuity rather than adding disconnected services.</w:t>
            </w:r>
          </w:p>
        </w:tc>
      </w:tr>
    </w:tbl>
    <w:p>
      <w:pPr>
        <w:spacing w:after="20"/>
      </w:pPr>
    </w:p>
    <w:p>
      <w:pPr>
        <w:pStyle w:val="Heading2"/>
        <w:pageBreakBefore w:val="0"/>
      </w:pPr>
      <w:r>
        <w:t>The STEADY Sequence</w:t>
      </w:r>
    </w:p>
    <w:tbl>
      <w:tblPr>
        <w:tblW w:type="dxa" w:w="10560"/>
        <w:jc w:val="left"/>
        <w:tblLayout w:type="fixed"/>
        <w:tblLook w:firstColumn="1" w:firstRow="1" w:lastColumn="0" w:lastRow="0" w:noHBand="0" w:noVBand="1" w:val="04A0"/>
        <w:tblInd w:w="0" w:type="dxa"/>
      </w:tblPr>
      <w:tblGrid>
        <w:gridCol w:w="2850"/>
        <w:gridCol w:w="7710"/>
      </w:tblGrid>
      <w:tr>
        <w:trPr>
          <w:tblHeader w:val="true"/>
          <w:cantSplit/>
        </w:trPr>
        <w:tc>
          <w:tcPr>
            <w:tcW w:type="dxa" w:w="28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7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Screen immediate danger and instability</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Assess suicide, violence, abuse, coercion, exploitation, neglect, overdose, withdrawal, acute medical or psychiatric change, and inability to care for self or dependents.</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 - Triage medical, psychiatric, substance, abuse, and neglect needs</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Identify what requires emergency care, protective response, specialty evaluation, consultation, or a different setting now.</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Establish stabilization and participation capacity</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Support orientation, regulation, practical safety, basic needs, and voluntary ability to engage before trauma processing or routine conjoint work.</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 Align level of care and roles</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Select appropriate care and clarify the client, family, MFT, medical, addiction, protective, rehabilitation, school, and community roles.</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D - Document and coordinate</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Record findings, rationale, consultation, consent, information limits, handoff, client response, and follow-up responsibilities.</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Y - Yield to reassessment and continuity planning</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Reassess safety, function, access, alliance, and outcomes; revise the plan and maintain continuity across transitions.</w:t>
            </w:r>
          </w:p>
        </w:tc>
      </w:tr>
    </w:tbl>
    <w:p>
      <w:pPr>
        <w:spacing w:after="20"/>
      </w:pPr>
    </w:p>
    <w:p>
      <w:pPr>
        <w:pStyle w:val="Heading2"/>
        <w:pageBreakBefore w:val="0"/>
      </w:pPr>
      <w:r>
        <w:t>Integrated Care Requires Role Clarity</w:t>
      </w:r>
    </w:p>
    <w:tbl>
      <w:tblPr>
        <w:tblW w:type="dxa" w:w="10560"/>
        <w:jc w:val="left"/>
        <w:tblLayout w:type="fixed"/>
        <w:tblLook w:firstColumn="1" w:firstRow="1" w:lastColumn="0" w:lastRow="0" w:noHBand="0" w:noVBand="1" w:val="04A0"/>
        <w:tblInd w:w="0" w:type="dxa"/>
      </w:tblPr>
      <w:tblGrid>
        <w:gridCol w:w="2500"/>
        <w:gridCol w:w="8060"/>
      </w:tblGrid>
      <w:tr>
        <w:trPr>
          <w:tblHeader w:val="true"/>
          <w:cantSplit/>
        </w:trPr>
        <w:tc>
          <w:tcPr>
            <w:tcW w:type="dxa" w:w="250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w:t>
            </w:r>
          </w:p>
        </w:tc>
        <w:tc>
          <w:tcPr>
            <w:tcW w:type="dxa" w:w="8060"/>
            <w:shd w:fill="12385B"/>
            <w:tcMar>
              <w:top w:w="95" w:type="dxa"/>
              <w:start w:w="120" w:type="dxa"/>
              <w:bottom w:w="95" w:type="dxa"/>
              <w:end w:w="120" w:type="dxa"/>
            </w:tcMar>
            <w:vAlign w:val="center"/>
          </w:tcPr>
          <w:p>
            <w:pPr>
              <w:spacing w:after="0"/>
            </w:pPr>
            <w:r/>
            <w:r>
              <w:rPr>
                <w:rFonts w:ascii="Liberation Sans" w:hAnsi="Liberation Sans"/>
                <w:b/>
                <w:color w:val="FFFFFF"/>
                <w:sz w:val="17"/>
              </w:rPr>
              <w:t>Required clarification</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Who is the client?</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Name the identified client and the purpose and status of every participant and collateral source.</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permission exists?</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Specify what may be shared, with whom, for what purpose, by what method, for how long, and how it may be withdrawn within current law.</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is each role?</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Differentiate psychotherapy, medical care, prescribing, addiction treatment, case management, rehabilitation, school, protective, peer, legal, and family-support functions.</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information is necessary?</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Share focused, accurate information relevant to the care question rather than the entire record by default.</w:t>
            </w:r>
          </w:p>
        </w:tc>
      </w:tr>
      <w:tr>
        <w:trPr>
          <w:cantSplit/>
        </w:trPr>
        <w:tc>
          <w:tcPr>
            <w:tcW w:type="dxa" w:w="2500"/>
            <w:tcMar>
              <w:top w:w="90" w:type="dxa"/>
              <w:start w:w="120" w:type="dxa"/>
              <w:bottom w:w="90" w:type="dxa"/>
              <w:end w:w="120" w:type="dxa"/>
            </w:tcMar>
            <w:vAlign w:val="center"/>
          </w:tcPr>
          <w:p>
            <w:pPr>
              <w:spacing w:after="0" w:line="252" w:lineRule="auto"/>
            </w:pPr>
            <w:r/>
            <w:r>
              <w:rPr>
                <w:rFonts w:ascii="Liberation Sans" w:hAnsi="Liberation Sans"/>
                <w:color w:val="1E2D38"/>
                <w:sz w:val="17"/>
              </w:rPr>
              <w:t>Who follows up?</w:t>
            </w:r>
          </w:p>
        </w:tc>
        <w:tc>
          <w:tcPr>
            <w:tcW w:type="dxa" w:w="8060"/>
            <w:tcMar>
              <w:top w:w="90" w:type="dxa"/>
              <w:start w:w="120" w:type="dxa"/>
              <w:bottom w:w="90" w:type="dxa"/>
              <w:end w:w="120" w:type="dxa"/>
            </w:tcMar>
            <w:vAlign w:val="center"/>
          </w:tcPr>
          <w:p>
            <w:pPr>
              <w:spacing w:after="0" w:line="252" w:lineRule="auto"/>
            </w:pPr>
            <w:r/>
            <w:r>
              <w:rPr>
                <w:rFonts w:ascii="Liberation Sans" w:hAnsi="Liberation Sans"/>
                <w:color w:val="1E2D38"/>
                <w:sz w:val="17"/>
              </w:rPr>
              <w:t>Assign responsibility for referrals, handoff confirmation, safety monitoring, record receipt, missed contacts, and next review.</w:t>
            </w:r>
          </w:p>
        </w:tc>
      </w:tr>
      <w:tr>
        <w:trPr>
          <w:cantSplit/>
        </w:trPr>
        <w:tc>
          <w:tcPr>
            <w:tcW w:type="dxa" w:w="2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if care fails?</w:t>
            </w:r>
          </w:p>
        </w:tc>
        <w:tc>
          <w:tcPr>
            <w:tcW w:type="dxa" w:w="8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Predefine how barriers, refusal, nonresponse, worsening, service gaps, or loss of access will trigger outreach and revision.</w:t>
            </w:r>
          </w:p>
        </w:tc>
      </w:tr>
    </w:tbl>
    <w:p>
      <w:pPr>
        <w:spacing w:after="20"/>
      </w:pPr>
    </w:p>
    <w:p>
      <w:pPr>
        <w:pStyle w:val="Heading2"/>
        <w:pageBreakBefore/>
      </w:pPr>
      <w:r>
        <w:t>Trauma Complexity and Pacing</w:t>
      </w:r>
    </w:p>
    <w:p>
      <w:pPr>
        <w:pStyle w:val="ListBullet"/>
        <w:keepLines/>
        <w:spacing w:after="70"/>
      </w:pPr>
      <w:r>
        <w:rPr>
          <w:rFonts w:ascii="Liberation Sans" w:hAnsi="Liberation Sans"/>
          <w:color w:val="1E2D38"/>
          <w:sz w:val="18"/>
        </w:rPr>
        <w:t>Assess complex trauma, dissociation, substance use, health needs, housing, family instability, coercion, and ongoing exposure before assuming trauma processing is timely.</w:t>
      </w:r>
    </w:p>
    <w:p>
      <w:pPr>
        <w:pStyle w:val="ListBullet"/>
        <w:keepLines/>
        <w:spacing w:after="70"/>
      </w:pPr>
      <w:r>
        <w:rPr>
          <w:rFonts w:ascii="Liberation Sans" w:hAnsi="Liberation Sans"/>
          <w:color w:val="1E2D38"/>
          <w:sz w:val="18"/>
        </w:rPr>
        <w:t>Stabilization is not a permanent avoidance category; define the capacity and safety indicators needed for the next phase.</w:t>
      </w:r>
    </w:p>
    <w:p>
      <w:pPr>
        <w:pStyle w:val="ListBullet"/>
        <w:keepLines/>
        <w:spacing w:after="70"/>
      </w:pPr>
      <w:r>
        <w:rPr>
          <w:rFonts w:ascii="Liberation Sans" w:hAnsi="Liberation Sans"/>
          <w:color w:val="1E2D38"/>
          <w:sz w:val="18"/>
        </w:rPr>
        <w:t>Do not use conjoint treatment when it increases danger, coercion, retaliation, or inability to speak freely.</w:t>
      </w:r>
    </w:p>
    <w:p>
      <w:pPr>
        <w:pStyle w:val="ListBullet"/>
        <w:keepLines/>
        <w:spacing w:after="70"/>
      </w:pPr>
      <w:r>
        <w:rPr>
          <w:rFonts w:ascii="Liberation Sans" w:hAnsi="Liberation Sans"/>
          <w:color w:val="1E2D38"/>
          <w:sz w:val="18"/>
        </w:rPr>
        <w:t>Coordinate services because each has an explicit role in one plan; more providers without information boundaries and ownership can increase fragmentation.</w:t>
      </w:r>
    </w:p>
    <w:p>
      <w:pPr>
        <w:pStyle w:val="ListBullet"/>
        <w:keepLines/>
        <w:spacing w:after="70"/>
      </w:pPr>
      <w:r>
        <w:rPr>
          <w:rFonts w:ascii="Liberation Sans" w:hAnsi="Liberation Sans"/>
          <w:color w:val="1E2D38"/>
          <w:sz w:val="18"/>
        </w:rPr>
        <w:t>Track outcomes by participant and setting, including adverse effects, alliance, access, burden, and what happens between sessions.</w:t>
      </w:r>
    </w:p>
    <w:p>
      <w:pPr>
        <w:pStyle w:val="Heading2"/>
      </w:pPr>
      <w:r>
        <w:t>Case Lab 8: Complexity, Nonresponse, and Fragmented Care</w:t>
      </w:r>
    </w:p>
    <w:p>
      <w:pPr>
        <w:spacing w:after="90"/>
      </w:pPr>
      <w:r>
        <w:rPr>
          <w:rFonts w:ascii="Liberation Sans" w:hAnsi="Liberation Sans"/>
          <w:i w:val="0"/>
          <w:color w:val="1E2D38"/>
          <w:sz w:val="18"/>
        </w:rPr>
        <w:t>Sam has trauma symptoms, intermittent stimulant use, uncontrolled diabetes, housing instability, and escalating family conflict. The therapist has added coping worksheets and trauma narratives while symptoms and attendance worsen. A physician and case manager are involved, but releases, roles, and follow-up responsibilities are unclear. Sam reports feeling managed rather than heard.</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before adding another intervention?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STEADY and return to MOSAIC. Reassess danger, medical and substance instability, participation capacity, housing and access, and the treatment unit. Repair the alliance, obtain focused permission, clarify each role and information limit, coordinate a coherent plan and level of care, and define who follows up. Revise or pause trauma processing until safety and capacity support it.</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stability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Participation capacity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 goals/voice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 unit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Provisional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Level-of-care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Consent/information limits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Role ownership</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Plan revision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Continuity and outcomes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1"/>
        <w:pageBreakBefore/>
      </w:pPr>
      <w:r>
        <w:t>Reusable Complex-Presentation Decision Record</w:t>
      </w:r>
    </w:p>
    <w:p>
      <w:pPr>
        <w:spacing w:after="90"/>
      </w:pPr>
      <w:r>
        <w:rPr>
          <w:rFonts w:ascii="Liberation Sans" w:hAnsi="Liberation Sans"/>
          <w:i w:val="0"/>
          <w:color w:val="1E2D38"/>
          <w:sz w:val="18"/>
        </w:rPr>
        <w:t>Use this record whenever several diagnoses, systems, services, or urgent needs compete for attention. Complete it again after new information, a care transition, or a meaningful change in response.</w:t>
      </w:r>
    </w:p>
    <w:tbl>
      <w:tblPr>
        <w:tblW w:type="dxa" w:w="10560"/>
        <w:jc w:val="left"/>
        <w:tblLayout w:type="fixed"/>
        <w:tblLook w:firstColumn="1" w:firstRow="1" w:lastColumn="0" w:lastRow="0" w:noHBand="0" w:noVBand="1" w:val="04A0"/>
        <w:tblInd w:w="0" w:type="dxa"/>
      </w:tblPr>
      <w:tblGrid>
        <w:gridCol w:w="5000"/>
        <w:gridCol w:w="5560"/>
      </w:tblGrid>
      <w:tr>
        <w:trPr>
          <w:tblHeader w:val="true"/>
          <w:cantSplit/>
        </w:trPr>
        <w:tc>
          <w:tcPr>
            <w:tcW w:type="dxa" w:w="500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field</w:t>
            </w:r>
          </w:p>
        </w:tc>
        <w:tc>
          <w:tcPr>
            <w:tcW w:type="dxa" w:w="5560"/>
            <w:shd w:fill="12385B"/>
            <w:tcMar>
              <w:top w:w="95" w:type="dxa"/>
              <w:start w:w="120" w:type="dxa"/>
              <w:bottom w:w="95" w:type="dxa"/>
              <w:end w:w="120" w:type="dxa"/>
            </w:tcMar>
            <w:vAlign w:val="center"/>
          </w:tcPr>
          <w:p>
            <w:pPr>
              <w:spacing w:after="0"/>
            </w:pPr>
            <w:r/>
            <w:r>
              <w:rPr>
                <w:rFonts w:ascii="Liberation Sans" w:hAnsi="Liberation Sans"/>
                <w:b/>
                <w:color w:val="FFFFFF"/>
                <w:sz w:val="17"/>
              </w:rPr>
              <w:t>My Case Notes</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Presenting decision, identified client/treatment unit, participants, and agreed target</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Current function, systemic sequence, strengths, and provisional multi-factor hypotheses</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Immediate safety, intoxication/withdrawal, medical/psychiatric stability, abuse, coercion, and level-of-care checks</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Development, sexuality, health, disability, medication, grief, trauma, culture, spirituality, access, and social context</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Client goals, language, preferences, readiness, recovery supports, family roles, and informed permission</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Chosen treatment, adaptation, referral, coordination roles, evidence, and observable response indicators</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Confidentiality, records, competence, consultation, reporting, and jurisdiction-dependent questions</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5000"/>
            <w:tcMar>
              <w:top w:w="90" w:type="dxa"/>
              <w:start w:w="120" w:type="dxa"/>
              <w:bottom w:w="90" w:type="dxa"/>
              <w:end w:w="120" w:type="dxa"/>
            </w:tcMar>
            <w:vAlign w:val="center"/>
          </w:tcPr>
          <w:p>
            <w:pPr>
              <w:spacing w:after="0" w:line="252" w:lineRule="auto"/>
            </w:pPr>
            <w:r/>
            <w:r>
              <w:rPr>
                <w:rFonts w:ascii="Liberation Sans" w:hAnsi="Liberation Sans"/>
                <w:color w:val="1E2D38"/>
                <w:sz w:val="17"/>
              </w:rPr>
              <w:t>Next-step plan, documentation, reassessment point, continuity supports, and transferable decision rule</w:t>
            </w:r>
          </w:p>
        </w:tc>
        <w:tc>
          <w:tcPr>
            <w:tcW w:type="dxa" w:w="55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1"/>
        <w:pageBreakBefore/>
      </w:pPr>
      <w:r>
        <w:t>Formative Knowledge Check</w:t>
      </w:r>
    </w:p>
    <w:p>
      <w:pPr>
        <w:spacing w:after="90"/>
      </w:pPr>
      <w:r>
        <w:rPr>
          <w:rFonts w:ascii="Liberation Sans" w:hAnsi="Liberation Sans"/>
          <w:i w:val="0"/>
          <w:color w:val="1E2D38"/>
          <w:sz w:val="18"/>
        </w:rPr>
        <w:t>Answer each item before reading the rationales. These ten original learning items are separate from the controlled 17-question candidate bank. Record both your answer and confidence so low-confidence correct answers receive remediation.</w:t>
      </w:r>
    </w:p>
    <w:p>
      <w:pPr>
        <w:keepNext/>
        <w:spacing w:before="140" w:after="60"/>
      </w:pPr>
      <w:r>
        <w:rPr>
          <w:rFonts w:ascii="Liberation Sans" w:hAnsi="Liberation Sans"/>
          <w:b/>
          <w:color w:val="1E2D38"/>
          <w:sz w:val="18"/>
        </w:rPr>
        <w:t>1. A client with a known anxiety disorder develops new confusion, falls, and severe fatigue after a medication change. What should the therapist do FIRST?</w:t>
      </w:r>
    </w:p>
    <w:p>
      <w:pPr>
        <w:keepNext/>
        <w:spacing w:after="50"/>
        <w:ind w:left="259" w:hanging="259"/>
      </w:pPr>
      <w:r>
        <w:rPr>
          <w:rFonts w:ascii="Liberation Sans" w:hAnsi="Liberation Sans"/>
          <w:color w:val="1E2D38"/>
          <w:sz w:val="18"/>
        </w:rPr>
        <w:t>A. Treat the change as anxiety because the diagnosis is already established.</w:t>
      </w:r>
    </w:p>
    <w:p>
      <w:pPr>
        <w:keepNext/>
        <w:spacing w:after="50"/>
        <w:ind w:left="259" w:hanging="259"/>
      </w:pPr>
      <w:r>
        <w:rPr>
          <w:rFonts w:ascii="Liberation Sans" w:hAnsi="Liberation Sans"/>
          <w:color w:val="1E2D38"/>
          <w:sz w:val="18"/>
        </w:rPr>
        <w:t>B. Increase family sessions before gathering other information.</w:t>
      </w:r>
    </w:p>
    <w:p>
      <w:pPr>
        <w:keepNext/>
        <w:spacing w:after="50"/>
        <w:ind w:left="259" w:hanging="259"/>
      </w:pPr>
      <w:r>
        <w:rPr>
          <w:rFonts w:ascii="Liberation Sans" w:hAnsi="Liberation Sans"/>
          <w:color w:val="1E2D38"/>
          <w:sz w:val="18"/>
        </w:rPr>
        <w:t>C. Clarify onset and function, assess immediate safety, and coordinate timely medical evaluation with appropriate permission.</w:t>
      </w:r>
    </w:p>
    <w:p>
      <w:pPr>
        <w:keepNext/>
        <w:spacing w:after="50"/>
        <w:ind w:left="259" w:hanging="259"/>
      </w:pPr>
      <w:r>
        <w:rPr>
          <w:rFonts w:ascii="Liberation Sans" w:hAnsi="Liberation Sans"/>
          <w:color w:val="1E2D38"/>
          <w:sz w:val="18"/>
        </w:rPr>
        <w:t>D. Wait several weeks because medication effects are outside MFT scope.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2. A partner reports escalating alcohol use, morning tremors, sweating, and a plan to stop abruptly after session. What is the BEST next step?</w:t>
      </w:r>
    </w:p>
    <w:p>
      <w:pPr>
        <w:keepNext/>
        <w:spacing w:after="50"/>
        <w:ind w:left="259" w:hanging="259"/>
      </w:pPr>
      <w:r>
        <w:rPr>
          <w:rFonts w:ascii="Liberation Sans" w:hAnsi="Liberation Sans"/>
          <w:color w:val="1E2D38"/>
          <w:sz w:val="18"/>
        </w:rPr>
        <w:t>A. Assess current instability and arrange urgent medical or emergency evaluation as indicated before routine couple work.</w:t>
      </w:r>
    </w:p>
    <w:p>
      <w:pPr>
        <w:keepNext/>
        <w:spacing w:after="50"/>
        <w:ind w:left="259" w:hanging="259"/>
      </w:pPr>
      <w:r>
        <w:rPr>
          <w:rFonts w:ascii="Liberation Sans" w:hAnsi="Liberation Sans"/>
          <w:color w:val="1E2D38"/>
          <w:sz w:val="18"/>
        </w:rPr>
        <w:t>B. Begin communication training to reduce the stress that causes drinking.</w:t>
      </w:r>
    </w:p>
    <w:p>
      <w:pPr>
        <w:keepNext/>
        <w:spacing w:after="50"/>
        <w:ind w:left="259" w:hanging="259"/>
      </w:pPr>
      <w:r>
        <w:rPr>
          <w:rFonts w:ascii="Liberation Sans" w:hAnsi="Liberation Sans"/>
          <w:color w:val="1E2D38"/>
          <w:sz w:val="18"/>
        </w:rPr>
        <w:t>C. Recommend a specific home taper schedule.</w:t>
      </w:r>
    </w:p>
    <w:p>
      <w:pPr>
        <w:keepNext/>
        <w:spacing w:after="50"/>
        <w:ind w:left="259" w:hanging="259"/>
      </w:pPr>
      <w:r>
        <w:rPr>
          <w:rFonts w:ascii="Liberation Sans" w:hAnsi="Liberation Sans"/>
          <w:color w:val="1E2D38"/>
          <w:sz w:val="18"/>
        </w:rPr>
        <w:t>D. Ask the partner to supervise withdrawal without outside help.</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3. A client wants medication treatment and a culturally specific peer program but rejects the therapist's preferred recovery group. What should the therapist do?</w:t>
      </w:r>
    </w:p>
    <w:p>
      <w:pPr>
        <w:keepNext/>
        <w:spacing w:after="50"/>
        <w:ind w:left="259" w:hanging="259"/>
      </w:pPr>
      <w:r>
        <w:rPr>
          <w:rFonts w:ascii="Liberation Sans" w:hAnsi="Liberation Sans"/>
          <w:color w:val="1E2D38"/>
          <w:sz w:val="18"/>
        </w:rPr>
        <w:t>A. Withhold support until the client accepts the therapist's recovery model.</w:t>
      </w:r>
    </w:p>
    <w:p>
      <w:pPr>
        <w:keepNext/>
        <w:spacing w:after="50"/>
        <w:ind w:left="259" w:hanging="259"/>
      </w:pPr>
      <w:r>
        <w:rPr>
          <w:rFonts w:ascii="Liberation Sans" w:hAnsi="Liberation Sans"/>
          <w:color w:val="1E2D38"/>
          <w:sz w:val="18"/>
        </w:rPr>
        <w:t>B. Clarify goals, readiness, risks, evidence, and recovery capital, then support informed options and coordinate with permission.</w:t>
      </w:r>
    </w:p>
    <w:p>
      <w:pPr>
        <w:keepNext/>
        <w:spacing w:after="50"/>
        <w:ind w:left="259" w:hanging="259"/>
      </w:pPr>
      <w:r>
        <w:rPr>
          <w:rFonts w:ascii="Liberation Sans" w:hAnsi="Liberation Sans"/>
          <w:color w:val="1E2D38"/>
          <w:sz w:val="18"/>
        </w:rPr>
        <w:t>C. Avoid discussing recovery because the client is ambivalent.</w:t>
      </w:r>
    </w:p>
    <w:p>
      <w:pPr>
        <w:keepNext/>
        <w:spacing w:after="50"/>
        <w:ind w:left="259" w:hanging="259"/>
      </w:pPr>
      <w:r>
        <w:rPr>
          <w:rFonts w:ascii="Liberation Sans" w:hAnsi="Liberation Sans"/>
          <w:color w:val="1E2D38"/>
          <w:sz w:val="18"/>
        </w:rPr>
        <w:t>D. Require the partner to choose the recovery pathway.</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4. During sexual-health assessment, which approach is MOST appropriate?</w:t>
      </w:r>
    </w:p>
    <w:p>
      <w:pPr>
        <w:keepNext/>
        <w:spacing w:after="50"/>
        <w:ind w:left="259" w:hanging="259"/>
      </w:pPr>
      <w:r>
        <w:rPr>
          <w:rFonts w:ascii="Liberation Sans" w:hAnsi="Liberation Sans"/>
          <w:color w:val="1E2D38"/>
          <w:sz w:val="18"/>
        </w:rPr>
        <w:t>A. Infer behavior and anatomy from sexual orientation and relationship status.</w:t>
      </w:r>
    </w:p>
    <w:p>
      <w:pPr>
        <w:keepNext/>
        <w:spacing w:after="50"/>
        <w:ind w:left="259" w:hanging="259"/>
      </w:pPr>
      <w:r>
        <w:rPr>
          <w:rFonts w:ascii="Liberation Sans" w:hAnsi="Liberation Sans"/>
          <w:color w:val="1E2D38"/>
          <w:sz w:val="18"/>
        </w:rPr>
        <w:t>B. Use standard terminology even when the client requests different language.</w:t>
      </w:r>
    </w:p>
    <w:p>
      <w:pPr>
        <w:keepNext/>
        <w:spacing w:after="50"/>
        <w:ind w:left="259" w:hanging="259"/>
      </w:pPr>
      <w:r>
        <w:rPr>
          <w:rFonts w:ascii="Liberation Sans" w:hAnsi="Liberation Sans"/>
          <w:color w:val="1E2D38"/>
          <w:sz w:val="18"/>
        </w:rPr>
        <w:t>C. Focus on frequency first and address consent only if violence is disclosed.</w:t>
      </w:r>
    </w:p>
    <w:p>
      <w:pPr>
        <w:keepNext/>
        <w:spacing w:after="50"/>
        <w:ind w:left="259" w:hanging="259"/>
      </w:pPr>
      <w:r>
        <w:rPr>
          <w:rFonts w:ascii="Liberation Sans" w:hAnsi="Liberation Sans"/>
          <w:color w:val="1E2D38"/>
          <w:sz w:val="18"/>
        </w:rPr>
        <w:t>D. Ask permission, use client-defined language, and assess behavior, function, consent, coercion, safety, health, and context without assumption.</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5. A family answers every question for an adult client with a disability and the office is difficult for the client to access. What should the therapist do FIRST?</w:t>
      </w:r>
    </w:p>
    <w:p>
      <w:pPr>
        <w:keepNext/>
        <w:spacing w:after="50"/>
        <w:ind w:left="259" w:hanging="259"/>
      </w:pPr>
      <w:r>
        <w:rPr>
          <w:rFonts w:ascii="Liberation Sans" w:hAnsi="Liberation Sans"/>
          <w:color w:val="1E2D38"/>
          <w:sz w:val="18"/>
        </w:rPr>
        <w:t>A. Ask the client directly about access, communication, privacy, support roles, and goals, then correct barriers and clarify participation.</w:t>
      </w:r>
    </w:p>
    <w:p>
      <w:pPr>
        <w:keepNext/>
        <w:spacing w:after="50"/>
        <w:ind w:left="259" w:hanging="259"/>
      </w:pPr>
      <w:r>
        <w:rPr>
          <w:rFonts w:ascii="Liberation Sans" w:hAnsi="Liberation Sans"/>
          <w:color w:val="1E2D38"/>
          <w:sz w:val="18"/>
        </w:rPr>
        <w:t>B. Accept the family's account because they know the disability best.</w:t>
      </w:r>
    </w:p>
    <w:p>
      <w:pPr>
        <w:keepNext/>
        <w:spacing w:after="50"/>
        <w:ind w:left="259" w:hanging="259"/>
      </w:pPr>
      <w:r>
        <w:rPr>
          <w:rFonts w:ascii="Liberation Sans" w:hAnsi="Liberation Sans"/>
          <w:color w:val="1E2D38"/>
          <w:sz w:val="18"/>
        </w:rPr>
        <w:t>C. Focus only on coping skills so accessibility does not distract from therapy.</w:t>
      </w:r>
    </w:p>
    <w:p>
      <w:pPr>
        <w:keepNext/>
        <w:spacing w:after="50"/>
        <w:ind w:left="259" w:hanging="259"/>
      </w:pPr>
      <w:r>
        <w:rPr>
          <w:rFonts w:ascii="Liberation Sans" w:hAnsi="Liberation Sans"/>
          <w:color w:val="1E2D38"/>
          <w:sz w:val="18"/>
        </w:rPr>
        <w:t>D. Require the client to attend alone regardless of preference or support needs.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6. A bereaved client maintains culturally meaningful mourning rituals and also reports severe functional decline and suicidal thoughts. What is the BEST response?</w:t>
      </w:r>
    </w:p>
    <w:p>
      <w:pPr>
        <w:keepNext/>
        <w:spacing w:after="50"/>
        <w:ind w:left="259" w:hanging="259"/>
      </w:pPr>
      <w:r>
        <w:rPr>
          <w:rFonts w:ascii="Liberation Sans" w:hAnsi="Liberation Sans"/>
          <w:color w:val="1E2D38"/>
          <w:sz w:val="18"/>
        </w:rPr>
        <w:t>A. Pathologize the rituals because the loss occurred more than a year ago.</w:t>
      </w:r>
    </w:p>
    <w:p>
      <w:pPr>
        <w:keepNext/>
        <w:spacing w:after="50"/>
        <w:ind w:left="259" w:hanging="259"/>
      </w:pPr>
      <w:r>
        <w:rPr>
          <w:rFonts w:ascii="Liberation Sans" w:hAnsi="Liberation Sans"/>
          <w:color w:val="1E2D38"/>
          <w:sz w:val="18"/>
        </w:rPr>
        <w:t>B. Avoid diagnostic and safety questions to protect cultural humility.</w:t>
      </w:r>
    </w:p>
    <w:p>
      <w:pPr>
        <w:keepNext/>
        <w:spacing w:after="50"/>
        <w:ind w:left="259" w:hanging="259"/>
      </w:pPr>
      <w:r>
        <w:rPr>
          <w:rFonts w:ascii="Liberation Sans" w:hAnsi="Liberation Sans"/>
          <w:color w:val="1E2D38"/>
          <w:sz w:val="18"/>
        </w:rPr>
        <w:t>C. Respect the rituals while directly assessing suicide risk, function, depression, trauma, substance use, and prolonged-grief features.</w:t>
      </w:r>
    </w:p>
    <w:p>
      <w:pPr>
        <w:keepNext/>
        <w:spacing w:after="50"/>
        <w:ind w:left="259" w:hanging="259"/>
      </w:pPr>
      <w:r>
        <w:rPr>
          <w:rFonts w:ascii="Liberation Sans" w:hAnsi="Liberation Sans"/>
          <w:color w:val="1E2D38"/>
          <w:sz w:val="18"/>
        </w:rPr>
        <w:t>D. Assume the suicidal thoughts are a normal part of grief.</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7. A therapist wants to contact a prescriber about fatigue and irritability. What should happen BEFORE routine coordination?</w:t>
      </w:r>
    </w:p>
    <w:p>
      <w:pPr>
        <w:keepNext/>
        <w:spacing w:after="50"/>
        <w:ind w:left="259" w:hanging="259"/>
      </w:pPr>
      <w:r>
        <w:rPr>
          <w:rFonts w:ascii="Liberation Sans" w:hAnsi="Liberation Sans"/>
          <w:color w:val="1E2D38"/>
          <w:sz w:val="18"/>
        </w:rPr>
        <w:t>A. Send the full psychotherapy record so the prescriber has complete context.</w:t>
      </w:r>
    </w:p>
    <w:p>
      <w:pPr>
        <w:keepNext/>
        <w:spacing w:after="50"/>
        <w:ind w:left="259" w:hanging="259"/>
      </w:pPr>
      <w:r>
        <w:rPr>
          <w:rFonts w:ascii="Liberation Sans" w:hAnsi="Liberation Sans"/>
          <w:color w:val="1E2D38"/>
          <w:sz w:val="18"/>
        </w:rPr>
        <w:t>B. Obtain informed permission, define the shared care question, recipient, information limit, method, and roles, then document.</w:t>
      </w:r>
    </w:p>
    <w:p>
      <w:pPr>
        <w:keepNext/>
        <w:spacing w:after="50"/>
        <w:ind w:left="259" w:hanging="259"/>
      </w:pPr>
      <w:r>
        <w:rPr>
          <w:rFonts w:ascii="Liberation Sans" w:hAnsi="Liberation Sans"/>
          <w:color w:val="1E2D38"/>
          <w:sz w:val="18"/>
        </w:rPr>
        <w:t>C. Tell the family to contact the prescriber because therapists cannot coordinate care.</w:t>
      </w:r>
    </w:p>
    <w:p>
      <w:pPr>
        <w:keepNext/>
        <w:spacing w:after="50"/>
        <w:ind w:left="259" w:hanging="259"/>
      </w:pPr>
      <w:r>
        <w:rPr>
          <w:rFonts w:ascii="Liberation Sans" w:hAnsi="Liberation Sans"/>
          <w:color w:val="1E2D38"/>
          <w:sz w:val="18"/>
        </w:rPr>
        <w:t>D. Advise the client to stop the medication while waiting for a response.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8. A trauma-focused exercise increases dissociation, missed sessions, and family instability. Several providers are involved, but roles are unclear. What is the BEST next step?</w:t>
      </w:r>
    </w:p>
    <w:p>
      <w:pPr>
        <w:keepNext/>
        <w:spacing w:after="50"/>
        <w:ind w:left="259" w:hanging="259"/>
      </w:pPr>
      <w:r>
        <w:rPr>
          <w:rFonts w:ascii="Liberation Sans" w:hAnsi="Liberation Sans"/>
          <w:color w:val="1E2D38"/>
          <w:sz w:val="18"/>
        </w:rPr>
        <w:t>A. Increase the intensity of trauma processing before avoidance becomes stronger.</w:t>
      </w:r>
    </w:p>
    <w:p>
      <w:pPr>
        <w:keepNext/>
        <w:spacing w:after="50"/>
        <w:ind w:left="259" w:hanging="259"/>
      </w:pPr>
      <w:r>
        <w:rPr>
          <w:rFonts w:ascii="Liberation Sans" w:hAnsi="Liberation Sans"/>
          <w:color w:val="1E2D38"/>
          <w:sz w:val="18"/>
        </w:rPr>
        <w:t>B. Add another provider without changing the current plan.</w:t>
      </w:r>
    </w:p>
    <w:p>
      <w:pPr>
        <w:keepNext/>
        <w:spacing w:after="50"/>
        <w:ind w:left="259" w:hanging="259"/>
      </w:pPr>
      <w:r>
        <w:rPr>
          <w:rFonts w:ascii="Liberation Sans" w:hAnsi="Liberation Sans"/>
          <w:color w:val="1E2D38"/>
          <w:sz w:val="18"/>
        </w:rPr>
        <w:t>C. Continue unchanged because complexity usually slows progress.</w:t>
      </w:r>
    </w:p>
    <w:p>
      <w:pPr>
        <w:keepNext/>
        <w:spacing w:after="50"/>
        <w:ind w:left="259" w:hanging="259"/>
      </w:pPr>
      <w:r>
        <w:rPr>
          <w:rFonts w:ascii="Liberation Sans" w:hAnsi="Liberation Sans"/>
          <w:color w:val="1E2D38"/>
          <w:sz w:val="18"/>
        </w:rPr>
        <w:t>D. Reassess safety and participation capacity, pause or adapt processing, clarify consent and roles, coordinate level of care, and define follow-up.</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9. An older adult shows sudden cognitive and functional change while a caregiver appears overwhelmed. What should the therapist prioritize?</w:t>
      </w:r>
    </w:p>
    <w:p>
      <w:pPr>
        <w:keepNext/>
        <w:spacing w:after="50"/>
        <w:ind w:left="259" w:hanging="259"/>
      </w:pPr>
      <w:r>
        <w:rPr>
          <w:rFonts w:ascii="Liberation Sans" w:hAnsi="Liberation Sans"/>
          <w:color w:val="1E2D38"/>
          <w:sz w:val="18"/>
        </w:rPr>
        <w:t>A. Assess immediate safety, medical evaluation needs, capacity questions, caregiver strain, and possible neglect or exploitation using current law and resources.</w:t>
      </w:r>
    </w:p>
    <w:p>
      <w:pPr>
        <w:keepNext/>
        <w:spacing w:after="50"/>
        <w:ind w:left="259" w:hanging="259"/>
      </w:pPr>
      <w:r>
        <w:rPr>
          <w:rFonts w:ascii="Liberation Sans" w:hAnsi="Liberation Sans"/>
          <w:color w:val="1E2D38"/>
          <w:sz w:val="18"/>
        </w:rPr>
        <w:t>B. Assume dementia and transfer all decisions to the caregiver.</w:t>
      </w:r>
    </w:p>
    <w:p>
      <w:pPr>
        <w:keepNext/>
        <w:spacing w:after="50"/>
        <w:ind w:left="259" w:hanging="259"/>
      </w:pPr>
      <w:r>
        <w:rPr>
          <w:rFonts w:ascii="Liberation Sans" w:hAnsi="Liberation Sans"/>
          <w:color w:val="1E2D38"/>
          <w:sz w:val="18"/>
        </w:rPr>
        <w:t>C. Treat caregiver stress as proof that no mistreatment is occurring.</w:t>
      </w:r>
    </w:p>
    <w:p>
      <w:pPr>
        <w:keepNext/>
        <w:spacing w:after="50"/>
        <w:ind w:left="259" w:hanging="259"/>
      </w:pPr>
      <w:r>
        <w:rPr>
          <w:rFonts w:ascii="Liberation Sans" w:hAnsi="Liberation Sans"/>
          <w:color w:val="1E2D38"/>
          <w:sz w:val="18"/>
        </w:rPr>
        <w:t>D. Begin reminiscence work before clarifying the acute change.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10. A complex-care plan includes several services, but outcomes and alliance are worsening. What is the BEST next action?</w:t>
      </w:r>
    </w:p>
    <w:p>
      <w:pPr>
        <w:keepNext/>
        <w:spacing w:after="50"/>
        <w:ind w:left="259" w:hanging="259"/>
      </w:pPr>
      <w:r>
        <w:rPr>
          <w:rFonts w:ascii="Liberation Sans" w:hAnsi="Liberation Sans"/>
          <w:color w:val="1E2D38"/>
          <w:sz w:val="18"/>
        </w:rPr>
        <w:t>A. Add more services because complex cases require maximum intensity.</w:t>
      </w:r>
    </w:p>
    <w:p>
      <w:pPr>
        <w:keepNext/>
        <w:spacing w:after="50"/>
        <w:ind w:left="259" w:hanging="259"/>
      </w:pPr>
      <w:r>
        <w:rPr>
          <w:rFonts w:ascii="Liberation Sans" w:hAnsi="Liberation Sans"/>
          <w:color w:val="1E2D38"/>
          <w:sz w:val="18"/>
        </w:rPr>
        <w:t>B. Return to the decision point, review response and barriers by participant, repair alliance, clarify roles, and revise or transition care with continuity.</w:t>
      </w:r>
    </w:p>
    <w:p>
      <w:pPr>
        <w:keepNext/>
        <w:spacing w:after="50"/>
        <w:ind w:left="259" w:hanging="259"/>
      </w:pPr>
      <w:r>
        <w:rPr>
          <w:rFonts w:ascii="Liberation Sans" w:hAnsi="Liberation Sans"/>
          <w:color w:val="1E2D38"/>
          <w:sz w:val="18"/>
        </w:rPr>
        <w:t>C. Continue until every service has been tried for the same duration.</w:t>
      </w:r>
    </w:p>
    <w:p>
      <w:pPr>
        <w:keepNext/>
        <w:spacing w:after="50"/>
        <w:ind w:left="259" w:hanging="259"/>
      </w:pPr>
      <w:r>
        <w:rPr>
          <w:rFonts w:ascii="Liberation Sans" w:hAnsi="Liberation Sans"/>
          <w:color w:val="1E2D38"/>
          <w:sz w:val="18"/>
        </w:rPr>
        <w:t>D. Attribute nonresponse to the client's lack of motivation.</w:t>
      </w:r>
    </w:p>
    <w:p>
      <w:pPr>
        <w:spacing w:after="100"/>
      </w:pPr>
      <w:r>
        <w:rPr>
          <w:rFonts w:ascii="Liberation Sans" w:hAnsi="Liberation Sans"/>
          <w:i/>
          <w:color w:val="5A6872"/>
          <w:sz w:val="17"/>
        </w:rPr>
        <w:t>Confidence:  1   2   3   4     Answer: ______</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F2F4F7"/>
            <w:tcMar>
              <w:top w:w="130" w:type="dxa"/>
              <w:start w:w="180" w:type="dxa"/>
              <w:bottom w:w="130" w:type="dxa"/>
              <w:end w:w="180" w:type="dxa"/>
            </w:tcMar>
          </w:tcPr>
          <w:p>
            <w:pPr>
              <w:spacing w:after="0"/>
            </w:pPr>
            <w:r>
              <w:rPr>
                <w:rFonts w:ascii="Liberation Sans" w:hAnsi="Liberation Sans"/>
                <w:b/>
                <w:color w:val="12385B"/>
                <w:sz w:val="18"/>
              </w:rPr>
              <w:t xml:space="preserve">SCORE REFLECTION  </w:t>
            </w:r>
            <w:r>
              <w:rPr>
                <w:rFonts w:ascii="Liberation Sans" w:hAnsi="Liberation Sans"/>
                <w:color w:val="1E2D38"/>
                <w:sz w:val="18"/>
              </w:rPr>
              <w:t>Raw score: ____ / 10     High-confidence misses: ____     Primary error code: ____     One rule I will apply next time: ___________________________________________</w:t>
            </w:r>
          </w:p>
        </w:tc>
      </w:tr>
    </w:tbl>
    <w:p>
      <w:pPr>
        <w:spacing w:after="20"/>
      </w:pPr>
    </w:p>
    <w:p>
      <w:pPr>
        <w:pStyle w:val="Heading1"/>
        <w:pageBreakBefore/>
      </w:pPr>
      <w:r>
        <w:t>Answer Key and Detailed Rationales</w:t>
      </w:r>
    </w:p>
    <w:p>
      <w:pPr>
        <w:spacing w:after="90"/>
      </w:pPr>
      <w:r>
        <w:rPr>
          <w:rFonts w:ascii="Liberation Sans" w:hAnsi="Liberation Sans"/>
          <w:i w:val="0"/>
          <w:color w:val="1E2D38"/>
          <w:sz w:val="18"/>
        </w:rPr>
        <w:t>Review the clinical decision, not only the letter. For every miss or low-confidence correct answer, identify the remediation code and write a transferable rule.</w:t>
      </w:r>
    </w:p>
    <w:p>
      <w:pPr>
        <w:keepNext/>
        <w:spacing w:before="160" w:after="60"/>
      </w:pPr>
      <w:r>
        <w:rPr>
          <w:rFonts w:ascii="Liberation Sans" w:hAnsi="Liberation Sans"/>
          <w:b/>
          <w:color w:val="12385B"/>
          <w:sz w:val="20"/>
        </w:rPr>
        <w:t>1.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Diagnostic overshadowing. An existing anxiety diagnosis does not explain new confusion, falls, and fatigue without further assessment.</w:t>
      </w:r>
    </w:p>
    <w:p>
      <w:pPr>
        <w:spacing w:after="90"/>
      </w:pPr>
      <w:r>
        <w:rPr>
          <w:rFonts w:ascii="Liberation Sans" w:hAnsi="Liberation Sans"/>
          <w:b/>
          <w:color w:val="1E2D38"/>
          <w:sz w:val="18"/>
        </w:rPr>
        <w:t>Why B:</w:t>
      </w:r>
      <w:r>
        <w:rPr>
          <w:rFonts w:ascii="Liberation Sans" w:hAnsi="Liberation Sans"/>
          <w:i w:val="0"/>
          <w:color w:val="1E2D38"/>
          <w:sz w:val="18"/>
        </w:rPr>
        <w:t xml:space="preserve"> Poorly sequenced. Family treatment may later help, but the acute change and safety question come first.</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The option assesses acuity and function, preserves a differential, and coordinates medical evaluation within consent and role.</w:t>
      </w:r>
    </w:p>
    <w:p>
      <w:pPr>
        <w:spacing w:after="90"/>
      </w:pPr>
      <w:r>
        <w:rPr>
          <w:rFonts w:ascii="Liberation Sans" w:hAnsi="Liberation Sans"/>
          <w:b/>
          <w:color w:val="1E2D38"/>
          <w:sz w:val="18"/>
        </w:rPr>
        <w:t>Why D:</w:t>
      </w:r>
      <w:r>
        <w:rPr>
          <w:rFonts w:ascii="Liberation Sans" w:hAnsi="Liberation Sans"/>
          <w:i w:val="0"/>
          <w:color w:val="1E2D38"/>
          <w:sz w:val="18"/>
        </w:rPr>
        <w:t xml:space="preserve"> Unsafe delay. Staying within MFT scope means arranging appropriate evaluation, not ignoring a potentially urgent medical change.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New acute function or cognition changes override the convenience of an existing diagnosis.</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Prevent diagnostic overshadowing by assessing change, safety, and appropriate medical coordination.  Remediation: R1/R5</w:t>
      </w:r>
    </w:p>
    <w:p>
      <w:pPr>
        <w:keepNext/>
        <w:spacing w:before="160" w:after="60"/>
      </w:pPr>
      <w:r>
        <w:rPr>
          <w:rFonts w:ascii="Liberation Sans" w:hAnsi="Liberation Sans"/>
          <w:b/>
          <w:color w:val="12385B"/>
          <w:sz w:val="20"/>
        </w:rPr>
        <w:t>2.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Possible withdrawal and current instability require direct assessment and qualified medical or emergency care before routine couple intervention.</w:t>
      </w:r>
    </w:p>
    <w:p>
      <w:pPr>
        <w:spacing w:after="90"/>
      </w:pPr>
      <w:r>
        <w:rPr>
          <w:rFonts w:ascii="Liberation Sans" w:hAnsi="Liberation Sans"/>
          <w:b/>
          <w:color w:val="1E2D38"/>
          <w:sz w:val="18"/>
        </w:rPr>
        <w:t>Why B:</w:t>
      </w:r>
      <w:r>
        <w:rPr>
          <w:rFonts w:ascii="Liberation Sans" w:hAnsi="Liberation Sans"/>
          <w:i w:val="0"/>
          <w:color w:val="1E2D38"/>
          <w:sz w:val="18"/>
        </w:rPr>
        <w:t xml:space="preserve"> Unsafe sequencing. Relationship stress may matter, but communication training does not treat withdrawal risk.</w:t>
      </w:r>
    </w:p>
    <w:p>
      <w:pPr>
        <w:spacing w:after="90"/>
      </w:pPr>
      <w:r>
        <w:rPr>
          <w:rFonts w:ascii="Liberation Sans" w:hAnsi="Liberation Sans"/>
          <w:b/>
          <w:color w:val="1E2D38"/>
          <w:sz w:val="18"/>
        </w:rPr>
        <w:t>Why C:</w:t>
      </w:r>
      <w:r>
        <w:rPr>
          <w:rFonts w:ascii="Liberation Sans" w:hAnsi="Liberation Sans"/>
          <w:i w:val="0"/>
          <w:color w:val="1E2D38"/>
          <w:sz w:val="18"/>
        </w:rPr>
        <w:t xml:space="preserve"> Outside role and unsafe. A therapist should not prescribe a home withdrawal schedule.</w:t>
      </w:r>
    </w:p>
    <w:p>
      <w:pPr>
        <w:spacing w:after="90"/>
      </w:pPr>
      <w:r>
        <w:rPr>
          <w:rFonts w:ascii="Liberation Sans" w:hAnsi="Liberation Sans"/>
          <w:b/>
          <w:color w:val="1E2D38"/>
          <w:sz w:val="18"/>
        </w:rPr>
        <w:t>Why D:</w:t>
      </w:r>
      <w:r>
        <w:rPr>
          <w:rFonts w:ascii="Liberation Sans" w:hAnsi="Liberation Sans"/>
          <w:i w:val="0"/>
          <w:color w:val="1E2D38"/>
          <w:sz w:val="18"/>
        </w:rPr>
        <w:t xml:space="preserve"> Unsafe. Partner supervision is not a substitute for appropriate medical evaluation and could create additional risk.</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Tremor, sweating, instability, and abrupt cessation cues move the decision to acuity and level of care.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Address intoxication, withdrawal, overdose, and medical instability before routine therapy.  Remediation: R2/R9</w:t>
      </w:r>
    </w:p>
    <w:p>
      <w:pPr>
        <w:keepNext/>
        <w:spacing w:before="160" w:after="60"/>
      </w:pPr>
      <w:r>
        <w:rPr>
          <w:rFonts w:ascii="Liberation Sans" w:hAnsi="Liberation Sans"/>
          <w:b/>
          <w:color w:val="12385B"/>
          <w:sz w:val="20"/>
        </w:rPr>
        <w:t>3.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Pathway imposition. The therapist's preferred recovery identity or group is not universally required.</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The response is person-driven, evidence-informed, safety-aware, and coordinated without abandoning professional guidance.</w:t>
      </w:r>
    </w:p>
    <w:p>
      <w:pPr>
        <w:spacing w:after="90"/>
      </w:pPr>
      <w:r>
        <w:rPr>
          <w:rFonts w:ascii="Liberation Sans" w:hAnsi="Liberation Sans"/>
          <w:b/>
          <w:color w:val="1E2D38"/>
          <w:sz w:val="18"/>
        </w:rPr>
        <w:t>Why C:</w:t>
      </w:r>
      <w:r>
        <w:rPr>
          <w:rFonts w:ascii="Liberation Sans" w:hAnsi="Liberation Sans"/>
          <w:i w:val="0"/>
          <w:color w:val="1E2D38"/>
          <w:sz w:val="18"/>
        </w:rPr>
        <w:t xml:space="preserve"> Incomplete. Ambivalence is relevant assessment information, not a reason to avoid treatment planning.</w:t>
      </w:r>
    </w:p>
    <w:p>
      <w:pPr>
        <w:spacing w:after="90"/>
      </w:pPr>
      <w:r>
        <w:rPr>
          <w:rFonts w:ascii="Liberation Sans" w:hAnsi="Liberation Sans"/>
          <w:b/>
          <w:color w:val="1E2D38"/>
          <w:sz w:val="18"/>
        </w:rPr>
        <w:t>Why D:</w:t>
      </w:r>
      <w:r>
        <w:rPr>
          <w:rFonts w:ascii="Liberation Sans" w:hAnsi="Liberation Sans"/>
          <w:i w:val="0"/>
          <w:color w:val="1E2D38"/>
          <w:sz w:val="18"/>
        </w:rPr>
        <w:t xml:space="preserve"> Autonomy violation. Family input may be useful with consent, but the partner does not choose the adult client's pathway.</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several legitimate recovery options exist, choose the response that combines client goals, evidence, safety, and supports.</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Recovery planning is person-driven and revisable, not therapist-owned.  Remediation: R3</w:t>
      </w:r>
    </w:p>
    <w:p>
      <w:pPr>
        <w:keepNext/>
        <w:spacing w:before="160" w:after="60"/>
      </w:pPr>
      <w:r>
        <w:rPr>
          <w:rFonts w:ascii="Liberation Sans" w:hAnsi="Liberation Sans"/>
          <w:b/>
          <w:color w:val="12385B"/>
          <w:sz w:val="20"/>
        </w:rPr>
        <w:t>4.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Assumptive. Identity and relationship status do not determine anatomy, behavior, partners, or exposure.</w:t>
      </w:r>
    </w:p>
    <w:p>
      <w:pPr>
        <w:spacing w:after="90"/>
      </w:pPr>
      <w:r>
        <w:rPr>
          <w:rFonts w:ascii="Liberation Sans" w:hAnsi="Liberation Sans"/>
          <w:b/>
          <w:color w:val="1E2D38"/>
          <w:sz w:val="18"/>
        </w:rPr>
        <w:t>Why B:</w:t>
      </w:r>
      <w:r>
        <w:rPr>
          <w:rFonts w:ascii="Liberation Sans" w:hAnsi="Liberation Sans"/>
          <w:i w:val="0"/>
          <w:color w:val="1E2D38"/>
          <w:sz w:val="18"/>
        </w:rPr>
        <w:t xml:space="preserve"> Not client-centered. Language should be accurate and adapted to the client's stated terms where clinically appropriate.</w:t>
      </w:r>
    </w:p>
    <w:p>
      <w:pPr>
        <w:spacing w:after="90"/>
      </w:pPr>
      <w:r>
        <w:rPr>
          <w:rFonts w:ascii="Liberation Sans" w:hAnsi="Liberation Sans"/>
          <w:b/>
          <w:color w:val="1E2D38"/>
          <w:sz w:val="18"/>
        </w:rPr>
        <w:t>Why C:</w:t>
      </w:r>
      <w:r>
        <w:rPr>
          <w:rFonts w:ascii="Liberation Sans" w:hAnsi="Liberation Sans"/>
          <w:i w:val="0"/>
          <w:color w:val="1E2D38"/>
          <w:sz w:val="18"/>
        </w:rPr>
        <w:t xml:space="preserve"> Unsafe and incomplete. Consent and coercion are routine assessment dimensions, not topics reserved for disclosed violence.</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OPENS uses permission, inclusive language, behaviorally specific inquiry, safety assessment, and contextual reasoning.</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Inclusive sexual-health items reward separation of dimensions and direct consent and safety assessment.</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Ask rather than infer identity, anatomy, behavior, desire, function, consent, and context.  Remediation: R4</w:t>
      </w:r>
    </w:p>
    <w:p>
      <w:pPr>
        <w:keepNext/>
        <w:spacing w:before="160" w:after="60"/>
      </w:pPr>
      <w:r>
        <w:rPr>
          <w:rFonts w:ascii="Liberation Sans" w:hAnsi="Liberation Sans"/>
          <w:b/>
          <w:color w:val="12385B"/>
          <w:sz w:val="20"/>
        </w:rPr>
        <w:t>5.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The client's voice, equitable access, privacy, and chosen support role must be established before routine treatment proceeds.</w:t>
      </w:r>
    </w:p>
    <w:p>
      <w:pPr>
        <w:spacing w:after="90"/>
      </w:pPr>
      <w:r>
        <w:rPr>
          <w:rFonts w:ascii="Liberation Sans" w:hAnsi="Liberation Sans"/>
          <w:b/>
          <w:color w:val="1E2D38"/>
          <w:sz w:val="18"/>
        </w:rPr>
        <w:t>Why B:</w:t>
      </w:r>
      <w:r>
        <w:rPr>
          <w:rFonts w:ascii="Liberation Sans" w:hAnsi="Liberation Sans"/>
          <w:i w:val="0"/>
          <w:color w:val="1E2D38"/>
          <w:sz w:val="18"/>
        </w:rPr>
        <w:t xml:space="preserve"> Ableist presumption. Family knowledge may be useful, but it does not replace direct client participation and consent.</w:t>
      </w:r>
    </w:p>
    <w:p>
      <w:pPr>
        <w:spacing w:after="90"/>
      </w:pPr>
      <w:r>
        <w:rPr>
          <w:rFonts w:ascii="Liberation Sans" w:hAnsi="Liberation Sans"/>
          <w:b/>
          <w:color w:val="1E2D38"/>
          <w:sz w:val="18"/>
        </w:rPr>
        <w:t>Why C:</w:t>
      </w:r>
      <w:r>
        <w:rPr>
          <w:rFonts w:ascii="Liberation Sans" w:hAnsi="Liberation Sans"/>
          <w:i w:val="0"/>
          <w:color w:val="1E2D38"/>
          <w:sz w:val="18"/>
        </w:rPr>
        <w:t xml:space="preserve"> Access neglect. Environmental barriers and relational assumptions are part of the treatment context.</w:t>
      </w:r>
    </w:p>
    <w:p>
      <w:pPr>
        <w:spacing w:after="90"/>
      </w:pPr>
      <w:r>
        <w:rPr>
          <w:rFonts w:ascii="Liberation Sans" w:hAnsi="Liberation Sans"/>
          <w:b/>
          <w:color w:val="1E2D38"/>
          <w:sz w:val="18"/>
        </w:rPr>
        <w:t>Why D:</w:t>
      </w:r>
      <w:r>
        <w:rPr>
          <w:rFonts w:ascii="Liberation Sans" w:hAnsi="Liberation Sans"/>
          <w:i w:val="0"/>
          <w:color w:val="1E2D38"/>
          <w:sz w:val="18"/>
        </w:rPr>
        <w:t xml:space="preserve"> Overcorrective. Support persons may be appropriate when the client chooses and roles and privacy are clear.</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disability and access appear, look first for direct client voice and removal of participation barriers.</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Adapt the environment and roles before labeling the client nonparticipatory.  Remediation: R5</w:t>
      </w:r>
    </w:p>
    <w:p>
      <w:pPr>
        <w:keepNext/>
        <w:spacing w:before="160" w:after="60"/>
      </w:pPr>
      <w:r>
        <w:rPr>
          <w:rFonts w:ascii="Liberation Sans" w:hAnsi="Liberation Sans"/>
          <w:b/>
          <w:color w:val="12385B"/>
          <w:sz w:val="20"/>
        </w:rPr>
        <w:t>6.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Culturally presumptive. Duration alone and the presence of ritual do not establish disorder.</w:t>
      </w:r>
    </w:p>
    <w:p>
      <w:pPr>
        <w:spacing w:after="90"/>
      </w:pPr>
      <w:r>
        <w:rPr>
          <w:rFonts w:ascii="Liberation Sans" w:hAnsi="Liberation Sans"/>
          <w:b/>
          <w:color w:val="1E2D38"/>
          <w:sz w:val="18"/>
        </w:rPr>
        <w:t>Why B:</w:t>
      </w:r>
      <w:r>
        <w:rPr>
          <w:rFonts w:ascii="Liberation Sans" w:hAnsi="Liberation Sans"/>
          <w:i w:val="0"/>
          <w:color w:val="1E2D38"/>
          <w:sz w:val="18"/>
        </w:rPr>
        <w:t xml:space="preserve"> Risk bypass. Cultural humility requires respectful inquiry, not avoidance of clinically necessary assessment.</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The option honors meaning while evaluating function, safety, and plausible overlapping conditions.</w:t>
      </w:r>
    </w:p>
    <w:p>
      <w:pPr>
        <w:spacing w:after="90"/>
      </w:pPr>
      <w:r>
        <w:rPr>
          <w:rFonts w:ascii="Liberation Sans" w:hAnsi="Liberation Sans"/>
          <w:b/>
          <w:color w:val="1E2D38"/>
          <w:sz w:val="18"/>
        </w:rPr>
        <w:t>Why D:</w:t>
      </w:r>
      <w:r>
        <w:rPr>
          <w:rFonts w:ascii="Liberation Sans" w:hAnsi="Liberation Sans"/>
          <w:i w:val="0"/>
          <w:color w:val="1E2D38"/>
          <w:sz w:val="18"/>
        </w:rPr>
        <w:t xml:space="preserve"> Unsafe. Suicidal thoughts require direct assessment regardless of grief context.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The best grief answer respects culture and still assesses function, differential evidence, and suicide risk.</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Cultural humility and diagnostic and safety assessment are complementary.  Remediation: R7</w:t>
      </w:r>
    </w:p>
    <w:p>
      <w:pPr>
        <w:keepNext/>
        <w:spacing w:before="160" w:after="60"/>
      </w:pPr>
      <w:r>
        <w:rPr>
          <w:rFonts w:ascii="Liberation Sans" w:hAnsi="Liberation Sans"/>
          <w:b/>
          <w:color w:val="12385B"/>
          <w:sz w:val="20"/>
        </w:rPr>
        <w:t>7.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Overdisclosure. The entire record is rarely the minimum information necessary for a focused care question.</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BRIDGE requires informed permission, a specific purpose, information limits, role clarity, and documentation.</w:t>
      </w:r>
    </w:p>
    <w:p>
      <w:pPr>
        <w:spacing w:after="90"/>
      </w:pPr>
      <w:r>
        <w:rPr>
          <w:rFonts w:ascii="Liberation Sans" w:hAnsi="Liberation Sans"/>
          <w:b/>
          <w:color w:val="1E2D38"/>
          <w:sz w:val="18"/>
        </w:rPr>
        <w:t>Why C:</w:t>
      </w:r>
      <w:r>
        <w:rPr>
          <w:rFonts w:ascii="Liberation Sans" w:hAnsi="Liberation Sans"/>
          <w:i w:val="0"/>
          <w:color w:val="1E2D38"/>
          <w:sz w:val="18"/>
        </w:rPr>
        <w:t xml:space="preserve"> Incorrect. MFTs can coordinate appropriately; refusing all coordination may fragment care.</w:t>
      </w:r>
    </w:p>
    <w:p>
      <w:pPr>
        <w:spacing w:after="90"/>
      </w:pPr>
      <w:r>
        <w:rPr>
          <w:rFonts w:ascii="Liberation Sans" w:hAnsi="Liberation Sans"/>
          <w:b/>
          <w:color w:val="1E2D38"/>
          <w:sz w:val="18"/>
        </w:rPr>
        <w:t>Why D:</w:t>
      </w:r>
      <w:r>
        <w:rPr>
          <w:rFonts w:ascii="Liberation Sans" w:hAnsi="Liberation Sans"/>
          <w:i w:val="0"/>
          <w:color w:val="1E2D38"/>
          <w:sz w:val="18"/>
        </w:rPr>
        <w:t xml:space="preserve"> Outside role and unsafe. Medication changes belong with the qualified prescriber or appropriate medical professional.</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Coordination items are usually solved by client identity, permission, purpose, minimum necessary information, and role ownership.</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Define the care question and information boundary before sharing.  Remediation: R8</w:t>
      </w:r>
    </w:p>
    <w:p>
      <w:pPr>
        <w:keepNext/>
        <w:spacing w:before="160" w:after="60"/>
      </w:pPr>
      <w:r>
        <w:rPr>
          <w:rFonts w:ascii="Liberation Sans" w:hAnsi="Liberation Sans"/>
          <w:b/>
          <w:color w:val="12385B"/>
          <w:sz w:val="20"/>
        </w:rPr>
        <w:t>8.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Unsafe escalation. Worsening dissociation and instability indicate the need to reassess readiness and level of care.</w:t>
      </w:r>
    </w:p>
    <w:p>
      <w:pPr>
        <w:spacing w:after="90"/>
      </w:pPr>
      <w:r>
        <w:rPr>
          <w:rFonts w:ascii="Liberation Sans" w:hAnsi="Liberation Sans"/>
          <w:b/>
          <w:color w:val="1E2D38"/>
          <w:sz w:val="18"/>
        </w:rPr>
        <w:t>Why B:</w:t>
      </w:r>
      <w:r>
        <w:rPr>
          <w:rFonts w:ascii="Liberation Sans" w:hAnsi="Liberation Sans"/>
          <w:i w:val="0"/>
          <w:color w:val="1E2D38"/>
          <w:sz w:val="18"/>
        </w:rPr>
        <w:t xml:space="preserve"> Fragmenting. Another provider without a coherent role, consent, and ownership can increase confusion.</w:t>
      </w:r>
    </w:p>
    <w:p>
      <w:pPr>
        <w:spacing w:after="90"/>
      </w:pPr>
      <w:r>
        <w:rPr>
          <w:rFonts w:ascii="Liberation Sans" w:hAnsi="Liberation Sans"/>
          <w:b/>
          <w:color w:val="1E2D38"/>
          <w:sz w:val="18"/>
        </w:rPr>
        <w:t>Why C:</w:t>
      </w:r>
      <w:r>
        <w:rPr>
          <w:rFonts w:ascii="Liberation Sans" w:hAnsi="Liberation Sans"/>
          <w:i w:val="0"/>
          <w:color w:val="1E2D38"/>
          <w:sz w:val="18"/>
        </w:rPr>
        <w:t xml:space="preserve"> Feedback neglect. Worsening participation and safety-related indicators require active revision now.</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STEADY prioritizes safety, participation capacity, role clarity, coordinated level of care, and documented follow-up.</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trauma work destabilizes the system, choose stabilization and coordinated reassessment before intensity.</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Processing proceeds only when safety, regulation, capacity, and continuity support it.  Remediation: R9/R10</w:t>
      </w:r>
    </w:p>
    <w:p>
      <w:r>
        <w:br w:type="page"/>
      </w:r>
    </w:p>
    <w:p>
      <w:pPr>
        <w:keepNext/>
        <w:spacing w:before="160" w:after="60"/>
      </w:pPr>
      <w:r>
        <w:rPr>
          <w:rFonts w:ascii="Liberation Sans" w:hAnsi="Liberation Sans"/>
          <w:b/>
          <w:color w:val="12385B"/>
          <w:sz w:val="20"/>
        </w:rPr>
        <w:t>9.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Sudden change, caregiver strain, capacity, and possible mistreatment require direct safety and medical or protective assessment using current jurisdictional requirements.</w:t>
      </w:r>
    </w:p>
    <w:p>
      <w:pPr>
        <w:spacing w:after="90"/>
      </w:pPr>
      <w:r>
        <w:rPr>
          <w:rFonts w:ascii="Liberation Sans" w:hAnsi="Liberation Sans"/>
          <w:b/>
          <w:color w:val="1E2D38"/>
          <w:sz w:val="18"/>
        </w:rPr>
        <w:t>Why B:</w:t>
      </w:r>
      <w:r>
        <w:rPr>
          <w:rFonts w:ascii="Liberation Sans" w:hAnsi="Liberation Sans"/>
          <w:i w:val="0"/>
          <w:color w:val="1E2D38"/>
          <w:sz w:val="18"/>
        </w:rPr>
        <w:t xml:space="preserve"> Ageist and unsupported. Acute change does not establish dementia or automatic transfer of authority.</w:t>
      </w:r>
    </w:p>
    <w:p>
      <w:pPr>
        <w:spacing w:after="90"/>
      </w:pPr>
      <w:r>
        <w:rPr>
          <w:rFonts w:ascii="Liberation Sans" w:hAnsi="Liberation Sans"/>
          <w:b/>
          <w:color w:val="1E2D38"/>
          <w:sz w:val="18"/>
        </w:rPr>
        <w:t>Why C:</w:t>
      </w:r>
      <w:r>
        <w:rPr>
          <w:rFonts w:ascii="Liberation Sans" w:hAnsi="Liberation Sans"/>
          <w:i w:val="0"/>
          <w:color w:val="1E2D38"/>
          <w:sz w:val="18"/>
        </w:rPr>
        <w:t xml:space="preserve"> Incorrect. Caregiver stress can coexist with neglect or exploitation and does not rule it out.</w:t>
      </w:r>
    </w:p>
    <w:p>
      <w:pPr>
        <w:spacing w:after="90"/>
      </w:pPr>
      <w:r>
        <w:rPr>
          <w:rFonts w:ascii="Liberation Sans" w:hAnsi="Liberation Sans"/>
          <w:b/>
          <w:color w:val="1E2D38"/>
          <w:sz w:val="18"/>
        </w:rPr>
        <w:t>Why D:</w:t>
      </w:r>
      <w:r>
        <w:rPr>
          <w:rFonts w:ascii="Liberation Sans" w:hAnsi="Liberation Sans"/>
          <w:i w:val="0"/>
          <w:color w:val="1E2D38"/>
          <w:sz w:val="18"/>
        </w:rPr>
        <w:t xml:space="preserve"> Poor sequencing. A routine intervention should not precede assessment of acute function and protection concerns.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Acute late-life change plus caregiver strain cues medical, capacity, safety, and protection assessment.</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Do not convert age or caregiver role into diagnosis or authority.  Remediation: R6/R9</w:t>
      </w:r>
    </w:p>
    <w:p>
      <w:pPr>
        <w:keepNext/>
        <w:spacing w:before="160" w:after="60"/>
      </w:pPr>
      <w:r>
        <w:rPr>
          <w:rFonts w:ascii="Liberation Sans" w:hAnsi="Liberation Sans"/>
          <w:b/>
          <w:color w:val="12385B"/>
          <w:sz w:val="20"/>
        </w:rPr>
        <w:t>10.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Intensity bias. More services are not automatically better and may worsen fragmentation or burden.</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The plan should return to the decision point, client voice, distributed response, role clarity, and continuity-based revision.</w:t>
      </w:r>
    </w:p>
    <w:p>
      <w:pPr>
        <w:spacing w:after="90"/>
      </w:pPr>
      <w:r>
        <w:rPr>
          <w:rFonts w:ascii="Liberation Sans" w:hAnsi="Liberation Sans"/>
          <w:b/>
          <w:color w:val="1E2D38"/>
          <w:sz w:val="18"/>
        </w:rPr>
        <w:t>Why C:</w:t>
      </w:r>
      <w:r>
        <w:rPr>
          <w:rFonts w:ascii="Liberation Sans" w:hAnsi="Liberation Sans"/>
          <w:i w:val="0"/>
          <w:color w:val="1E2D38"/>
          <w:sz w:val="18"/>
        </w:rPr>
        <w:t xml:space="preserve"> Feedback neglect. Worsening outcomes and alliance require reassessment rather than equal-duration waiting.</w:t>
      </w:r>
    </w:p>
    <w:p>
      <w:pPr>
        <w:spacing w:after="90"/>
      </w:pPr>
      <w:r>
        <w:rPr>
          <w:rFonts w:ascii="Liberation Sans" w:hAnsi="Liberation Sans"/>
          <w:b/>
          <w:color w:val="1E2D38"/>
          <w:sz w:val="18"/>
        </w:rPr>
        <w:t>Why D:</w:t>
      </w:r>
      <w:r>
        <w:rPr>
          <w:rFonts w:ascii="Liberation Sans" w:hAnsi="Liberation Sans"/>
          <w:i w:val="0"/>
          <w:color w:val="1E2D38"/>
          <w:sz w:val="18"/>
        </w:rPr>
        <w:t xml:space="preserve"> Blaming and unsupported. Nonresponse may reflect formulation, fit, access, coordination, safety, or level-of-care problems.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many services and worsening feedback appear together, choose coherent reassessment rather than addition.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Complex care is coordinated, measured, and revisable.  Remediation: R10</w:t>
      </w:r>
    </w:p>
    <w:p>
      <w:pPr>
        <w:pStyle w:val="Heading1"/>
        <w:pageBreakBefore w:val="0"/>
      </w:pPr>
      <w:r>
        <w:t>Remediation and Workbook 9 Readiness Plan</w:t>
      </w:r>
    </w:p>
    <w:tbl>
      <w:tblPr>
        <w:tblW w:type="dxa" w:w="10560"/>
        <w:jc w:val="left"/>
        <w:tblLayout w:type="fixed"/>
        <w:tblLook w:firstColumn="1" w:firstRow="1" w:lastColumn="0" w:lastRow="0" w:noHBand="0" w:noVBand="1" w:val="04A0"/>
        <w:tblInd w:w="0" w:type="dxa"/>
      </w:tblPr>
      <w:tblGrid>
        <w:gridCol w:w="900"/>
        <w:gridCol w:w="3900"/>
        <w:gridCol w:w="57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Code</w:t>
            </w:r>
          </w:p>
        </w:tc>
        <w:tc>
          <w:tcPr>
            <w:tcW w:type="dxa" w:w="3900"/>
            <w:shd w:fill="12385B"/>
            <w:tcMar>
              <w:top w:w="95" w:type="dxa"/>
              <w:start w:w="120" w:type="dxa"/>
              <w:bottom w:w="95" w:type="dxa"/>
              <w:end w:w="120" w:type="dxa"/>
            </w:tcMar>
            <w:vAlign w:val="center"/>
          </w:tcPr>
          <w:p>
            <w:pPr>
              <w:spacing w:after="0"/>
            </w:pPr>
            <w:r/>
            <w:r>
              <w:rPr>
                <w:rFonts w:ascii="Liberation Sans" w:hAnsi="Liberation Sans"/>
                <w:b/>
                <w:color w:val="FFFFFF"/>
                <w:sz w:val="17"/>
              </w:rPr>
              <w:t>Reasoning error</w:t>
            </w:r>
          </w:p>
        </w:tc>
        <w:tc>
          <w:tcPr>
            <w:tcW w:type="dxa" w:w="5760"/>
            <w:shd w:fill="12385B"/>
            <w:tcMar>
              <w:top w:w="95" w:type="dxa"/>
              <w:start w:w="120" w:type="dxa"/>
              <w:bottom w:w="95" w:type="dxa"/>
              <w:end w:w="120" w:type="dxa"/>
            </w:tcMar>
            <w:vAlign w:val="center"/>
          </w:tcPr>
          <w:p>
            <w:pPr>
              <w:spacing w:after="0"/>
            </w:pPr>
            <w:r/>
            <w:r>
              <w:rPr>
                <w:rFonts w:ascii="Liberation Sans" w:hAnsi="Liberation Sans"/>
                <w:b/>
                <w:color w:val="FFFFFF"/>
                <w:sz w:val="17"/>
              </w:rPr>
              <w:t>Repair</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R1</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Single-cause / diagnostic-overshadowing trap</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Map interacting biological, relational, developmental, cultural, environmental, and structural factors before narrowing.</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R2</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Acuity or withdrawal miss</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Assess intoxication, withdrawal, overdose, medical/psychiatric instability, and immediate level-of-care needs first.</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R3</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Recovery-path imposition</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Clarify goals, readiness, evidence, supports, and multiple recovery pathways without prescribing one identity or method.</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R4</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Sexuality assumption / competence drift</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Use permission and client-defined language; assess consent, safety, context, medical factors, and referral needs.</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R5</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Medicalization, ableism, or access neglect</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Separate medical facts from assumptions, assess function and barriers, adapt access, and coordinate within role.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R6</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Developmental or age-norm error</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Locate the concern in development and family life cycle while assessing impairment, capacity, culture, risk, and supports.</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R7</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Grief pathologizing or risk bypass</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Honor grief meaning and variation while assessing function, trauma, depression, prolonged grief, substance use, and suicide risk.</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R8</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Role, consent, or information-flow confusion</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Identify the client, obtain permission, define each role, limit disclosure, document, and preserve continuity.</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R9</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Intervention before stabilization / wrong level of care</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Address danger and participation capacity first; select, coordinate, and reassess appropriate care.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R10</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Feedback, coordination, or documentation neglect</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Track response and barriers, clarify ownership, document rationale, and continue, adapt, transition, or end.</w:t>
            </w:r>
          </w:p>
        </w:tc>
      </w:tr>
    </w:tbl>
    <w:p>
      <w:pPr>
        <w:spacing w:after="20"/>
      </w:pPr>
    </w:p>
    <w:p>
      <w:pPr>
        <w:pStyle w:val="Heading2"/>
        <w:pageBreakBefore/>
      </w:pPr>
      <w:r>
        <w:t>Readiness Gate</w:t>
      </w:r>
    </w:p>
    <w:p>
      <w:pPr>
        <w:pStyle w:val="ListBullet"/>
        <w:keepLines/>
        <w:spacing w:after="70"/>
      </w:pPr>
      <w:r>
        <w:rPr>
          <w:rFonts w:ascii="Liberation Sans" w:hAnsi="Liberation Sans"/>
          <w:color w:val="1E2D38"/>
          <w:sz w:val="18"/>
        </w:rPr>
        <w:t>[ ] I can build a provisional multidimensional systemic hypothesis and state what evidence would change it.</w:t>
      </w:r>
    </w:p>
    <w:p>
      <w:pPr>
        <w:pStyle w:val="ListBullet"/>
        <w:keepLines/>
        <w:spacing w:after="70"/>
      </w:pPr>
      <w:r>
        <w:rPr>
          <w:rFonts w:ascii="Liberation Sans" w:hAnsi="Liberation Sans"/>
          <w:color w:val="1E2D38"/>
          <w:sz w:val="18"/>
        </w:rPr>
        <w:t>[ ] I can distinguish urgent instability and level-of-care needs from important outpatient treatment goals.</w:t>
      </w:r>
    </w:p>
    <w:p>
      <w:pPr>
        <w:pStyle w:val="ListBullet"/>
        <w:keepLines/>
        <w:spacing w:after="70"/>
      </w:pPr>
      <w:r>
        <w:rPr>
          <w:rFonts w:ascii="Liberation Sans" w:hAnsi="Liberation Sans"/>
          <w:color w:val="1E2D38"/>
          <w:sz w:val="18"/>
        </w:rPr>
        <w:t>[ ] I assess substance pattern, withdrawal or overdose risk, co-occurrence, readiness, recovery capital, family effects, and appropriate care within scope.</w:t>
      </w:r>
    </w:p>
    <w:p>
      <w:pPr>
        <w:pStyle w:val="ListBullet"/>
        <w:keepLines/>
        <w:spacing w:after="70"/>
      </w:pPr>
      <w:r>
        <w:rPr>
          <w:rFonts w:ascii="Liberation Sans" w:hAnsi="Liberation Sans"/>
          <w:color w:val="1E2D38"/>
          <w:sz w:val="18"/>
        </w:rPr>
        <w:t>[ ] I preserve multiple recovery pathways while providing accurate information, safety assessment, and coordinated options.</w:t>
      </w:r>
    </w:p>
    <w:p>
      <w:pPr>
        <w:pStyle w:val="ListBullet"/>
        <w:keepLines/>
        <w:spacing w:after="70"/>
      </w:pPr>
      <w:r>
        <w:rPr>
          <w:rFonts w:ascii="Liberation Sans" w:hAnsi="Liberation Sans"/>
          <w:color w:val="1E2D38"/>
          <w:sz w:val="18"/>
        </w:rPr>
        <w:t>[ ] I conduct sexuality and sexual-health inquiry with permission, inclusive language, and direct consent, coercion, and health assessment.</w:t>
      </w:r>
    </w:p>
    <w:p>
      <w:pPr>
        <w:pStyle w:val="ListBullet"/>
        <w:keepLines/>
        <w:spacing w:after="70"/>
      </w:pPr>
      <w:r>
        <w:rPr>
          <w:rFonts w:ascii="Liberation Sans" w:hAnsi="Liberation Sans"/>
          <w:color w:val="1E2D38"/>
          <w:sz w:val="18"/>
        </w:rPr>
        <w:t>[ ] I avoid diagnostic overshadowing and adapt treatment for disability, health, medication, access, and caregiving needs.</w:t>
      </w:r>
    </w:p>
    <w:p>
      <w:pPr>
        <w:pStyle w:val="ListBullet"/>
        <w:keepLines/>
        <w:spacing w:after="70"/>
      </w:pPr>
      <w:r>
        <w:rPr>
          <w:rFonts w:ascii="Liberation Sans" w:hAnsi="Liberation Sans"/>
          <w:color w:val="1E2D38"/>
          <w:sz w:val="18"/>
        </w:rPr>
        <w:t>[ ] I distinguish developmental and cultural variation and grief from impairment, disorder, trauma, risk, neglect, or exploitation.</w:t>
      </w:r>
    </w:p>
    <w:p>
      <w:pPr>
        <w:pStyle w:val="ListBullet"/>
        <w:keepLines/>
        <w:spacing w:after="70"/>
      </w:pPr>
      <w:r>
        <w:rPr>
          <w:rFonts w:ascii="Liberation Sans" w:hAnsi="Liberation Sans"/>
          <w:color w:val="1E2D38"/>
          <w:sz w:val="18"/>
        </w:rPr>
        <w:t>[ ] I define the client, permission, information limits, roles, handoff, and follow-up before integrated-care communication.</w:t>
      </w:r>
    </w:p>
    <w:p>
      <w:pPr>
        <w:pStyle w:val="ListBullet"/>
        <w:keepLines/>
        <w:spacing w:after="70"/>
      </w:pPr>
      <w:r>
        <w:rPr>
          <w:rFonts w:ascii="Liberation Sans" w:hAnsi="Liberation Sans"/>
          <w:color w:val="1E2D38"/>
          <w:sz w:val="18"/>
        </w:rPr>
        <w:t>[ ] I sequence stabilization before trauma processing or routine conjoint technique when participation capacity is compromised.</w:t>
      </w:r>
    </w:p>
    <w:p>
      <w:pPr>
        <w:pStyle w:val="ListBullet"/>
        <w:keepLines/>
        <w:spacing w:after="70"/>
      </w:pPr>
      <w:r>
        <w:rPr>
          <w:rFonts w:ascii="Liberation Sans" w:hAnsi="Liberation Sans"/>
          <w:color w:val="1E2D38"/>
          <w:sz w:val="18"/>
        </w:rPr>
        <w:t>[ ] I use safety, function, alliance, access, burden, adherence, and outcome data to revise or transition care with continuity.</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ADVANCEMENT RULE  </w:t>
            </w:r>
            <w:r>
              <w:rPr>
                <w:rFonts w:ascii="Liberation Sans" w:hAnsi="Liberation Sans"/>
                <w:color w:val="1E2D38"/>
                <w:sz w:val="18"/>
              </w:rPr>
              <w:t>Before moving to the Workbook 9 candidate bank, review every missed or low-confidence item, complete the relevant complex-presentation decision record, and state a transferable decision rule. A raw score alone does not establish readiness.</w:t>
            </w:r>
          </w:p>
        </w:tc>
      </w:tr>
    </w:tbl>
    <w:p>
      <w:pPr>
        <w:spacing w:after="20"/>
      </w:pPr>
    </w:p>
    <w:p>
      <w:pPr>
        <w:pStyle w:val="Heading2"/>
        <w:pageBreakBefore w:val="0"/>
      </w:pPr>
      <w:r>
        <w:t>My Workbook 9 Action Plan</w:t>
      </w:r>
    </w:p>
    <w:tbl>
      <w:tblPr>
        <w:tblW w:type="dxa" w:w="10560"/>
        <w:jc w:val="left"/>
        <w:tblLayout w:type="fixed"/>
        <w:tblLook w:firstColumn="1" w:firstRow="1" w:lastColumn="0" w:lastRow="0" w:noHBand="0" w:noVBand="1" w:val="04A0"/>
        <w:tblInd w:w="0" w:type="dxa"/>
      </w:tblPr>
      <w:tblGrid>
        <w:gridCol w:w="3900"/>
        <w:gridCol w:w="6660"/>
      </w:tblGrid>
      <w:tr>
        <w:trPr>
          <w:tblHeader w:val="true"/>
          <w:cantSplit/>
        </w:trPr>
        <w:tc>
          <w:tcPr>
            <w:tcW w:type="dxa" w:w="39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6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Priority complex-care skill</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Evidence from my work</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Error code</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Repair activity</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Consultation / source to review</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Next practice date</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Result / new rule</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1"/>
        <w:pageBreakBefore w:val="0"/>
      </w:pPr>
      <w:r>
        <w:t>Workbook 9 Source, Ethics, and Safety Notes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EDUCATIONAL USE  </w:t>
            </w:r>
            <w:r>
              <w:rPr>
                <w:rFonts w:ascii="Liberation Sans" w:hAnsi="Liberation Sans"/>
                <w:color w:val="1E2D38"/>
                <w:sz w:val="18"/>
              </w:rPr>
              <w:t>This workbook is exam preparation. It does not provide legal advice, psychotherapy, diagnosis, treatment, medical care, prescribing, withdrawal management, supervision, emergency services, or a substitute for current organizational procedures, professional consultation, or jurisdiction-specific requirements.</w:t>
            </w:r>
          </w:p>
        </w:tc>
      </w:tr>
    </w:tbl>
    <w:p>
      <w:pPr>
        <w:spacing w:after="20"/>
      </w:pPr>
    </w:p>
    <w:p>
      <w:pPr>
        <w:pStyle w:val="Heading2"/>
        <w:pageBreakBefore w:val="0"/>
      </w:pPr>
      <w:r>
        <w:t>Authoritative and Practice Sources</w:t>
      </w:r>
    </w:p>
    <w:p>
      <w:pPr>
        <w:pStyle w:val="ListBullet"/>
        <w:keepLines/>
        <w:spacing w:after="30" w:line="252" w:lineRule="auto"/>
      </w:pPr>
      <w:r>
        <w:rPr>
          <w:rFonts w:ascii="Liberation Sans" w:hAnsi="Liberation Sans"/>
          <w:color w:val="1E2D38"/>
          <w:sz w:val="17"/>
        </w:rPr>
        <w:t>Association of Marital &amp; Family Therapy Regulatory Boards (AMFTRB). Current Handbook for Candidates, Exam Reference, and corrected examination content outline. Verify the current official edition and correction notices before publication or study.</w:t>
      </w:r>
    </w:p>
    <w:p>
      <w:pPr>
        <w:pStyle w:val="ListBullet"/>
        <w:keepLines/>
        <w:spacing w:after="30" w:line="252" w:lineRule="auto"/>
      </w:pPr>
      <w:r>
        <w:rPr>
          <w:rFonts w:ascii="Liberation Sans" w:hAnsi="Liberation Sans"/>
          <w:color w:val="1E2D38"/>
          <w:sz w:val="17"/>
        </w:rPr>
        <w:t>American Association for Marriage and Family Therapy (AAMFT). Revised Code of Ethics, effective January 1, 2026. Apply with controlling law, regulation, licensing-board guidance, and organizational requirements.</w:t>
      </w:r>
    </w:p>
    <w:p>
      <w:pPr>
        <w:pStyle w:val="ListBullet"/>
        <w:keepLines/>
        <w:spacing w:after="30" w:line="252" w:lineRule="auto"/>
      </w:pPr>
      <w:r>
        <w:rPr>
          <w:rFonts w:ascii="Liberation Sans" w:hAnsi="Liberation Sans"/>
          <w:color w:val="1E2D38"/>
          <w:sz w:val="17"/>
        </w:rPr>
        <w:t>American Society of Addiction Medicine (ASAM). The ASAM Criteria, Fourth Edition, and current official assessment and treatment-planning implementation resources.</w:t>
      </w:r>
    </w:p>
    <w:p>
      <w:pPr>
        <w:pStyle w:val="ListBullet"/>
        <w:keepLines/>
        <w:spacing w:after="30" w:line="252" w:lineRule="auto"/>
      </w:pPr>
      <w:r>
        <w:rPr>
          <w:rFonts w:ascii="Liberation Sans" w:hAnsi="Liberation Sans"/>
          <w:color w:val="1E2D38"/>
          <w:sz w:val="17"/>
        </w:rPr>
        <w:t>Substance Abuse and Mental Health Services Administration (SAMHSA). TIP 42: Substance Use Disorder Treatment for People With Co-Occurring Disorders; current recovery and trauma-informed care resources.</w:t>
      </w:r>
    </w:p>
    <w:p>
      <w:pPr>
        <w:pStyle w:val="ListBullet"/>
        <w:keepLines/>
        <w:spacing w:after="30" w:line="252" w:lineRule="auto"/>
      </w:pPr>
      <w:r>
        <w:rPr>
          <w:rFonts w:ascii="Liberation Sans" w:hAnsi="Liberation Sans"/>
          <w:color w:val="1E2D38"/>
          <w:sz w:val="17"/>
        </w:rPr>
        <w:t>American Psychiatric Association (APA). DSM-5-TR, current published updates, and prolonged-grief resources.</w:t>
      </w:r>
    </w:p>
    <w:p>
      <w:pPr>
        <w:pStyle w:val="ListBullet"/>
        <w:keepLines/>
        <w:spacing w:after="30" w:line="252" w:lineRule="auto"/>
      </w:pPr>
      <w:r>
        <w:rPr>
          <w:rFonts w:ascii="Liberation Sans" w:hAnsi="Liberation Sans"/>
          <w:color w:val="1E2D38"/>
          <w:sz w:val="17"/>
        </w:rPr>
        <w:t>Centers for Disease Control and Prevention (CDC). Guide to Taking a Sexual History and current sexual-health clinical guidance.</w:t>
      </w:r>
    </w:p>
    <w:p>
      <w:pPr>
        <w:pStyle w:val="ListBullet"/>
        <w:keepLines/>
        <w:spacing w:after="30" w:line="252" w:lineRule="auto"/>
      </w:pPr>
      <w:r>
        <w:rPr>
          <w:rFonts w:ascii="Liberation Sans" w:hAnsi="Liberation Sans"/>
          <w:color w:val="1E2D38"/>
          <w:sz w:val="17"/>
        </w:rPr>
        <w:t>U.S. Department of Health and Human Services, Office for Civil Rights. Current disability nondiscrimination, effective communication, Section 504, and Section 1557 guidance.</w:t>
      </w:r>
    </w:p>
    <w:p>
      <w:pPr>
        <w:pStyle w:val="ListBullet"/>
        <w:keepLines/>
        <w:spacing w:after="30" w:line="252" w:lineRule="auto"/>
      </w:pPr>
      <w:r>
        <w:rPr>
          <w:rFonts w:ascii="Liberation Sans" w:hAnsi="Liberation Sans"/>
          <w:color w:val="1E2D38"/>
          <w:sz w:val="17"/>
        </w:rPr>
        <w:t>Administration for Community Living and National Center on Elder Abuse. Current elder abuse, neglect, exploitation, reporting-resource, and caregiver-support information.</w:t>
      </w:r>
    </w:p>
    <w:p>
      <w:pPr>
        <w:pStyle w:val="ListBullet"/>
        <w:keepLines/>
        <w:spacing w:after="30" w:line="252" w:lineRule="auto"/>
      </w:pPr>
      <w:r>
        <w:rPr>
          <w:rFonts w:ascii="Liberation Sans" w:hAnsi="Liberation Sans"/>
          <w:color w:val="1E2D38"/>
          <w:sz w:val="17"/>
        </w:rPr>
        <w:t>National Institute on Aging and National Institute on Drug Abuse. Current grief, aging, overdose, medication-treatment, and urgent-response resources.</w:t>
      </w:r>
    </w:p>
    <w:p>
      <w:pPr>
        <w:pStyle w:val="ListBullet"/>
        <w:keepLines/>
        <w:spacing w:after="30" w:line="252" w:lineRule="auto"/>
      </w:pPr>
      <w:r>
        <w:rPr>
          <w:rFonts w:ascii="Liberation Sans" w:hAnsi="Liberation Sans"/>
          <w:color w:val="1E2D38"/>
          <w:sz w:val="17"/>
        </w:rPr>
        <w:t>Current licensing-jurisdiction statutes, regulations, board guidance, reporting requirements, consent/confidentiality rules, organizational policy, and local emergency, medical, addiction, protective, and specialty resources.</w:t>
      </w:r>
    </w:p>
    <w:p>
      <w:pPr>
        <w:pStyle w:val="Heading2"/>
        <w:pageBreakBefore w:val="0"/>
      </w:pPr>
      <w:r>
        <w:t>Source-Control Rules</w:t>
      </w:r>
    </w:p>
    <w:p>
      <w:pPr>
        <w:pStyle w:val="ListBullet"/>
        <w:keepLines/>
        <w:spacing w:after="30" w:line="252" w:lineRule="auto"/>
      </w:pPr>
      <w:r>
        <w:rPr>
          <w:rFonts w:ascii="Liberation Sans" w:hAnsi="Liberation Sans"/>
          <w:color w:val="1E2D38"/>
          <w:sz w:val="17"/>
        </w:rPr>
        <w:t>Use the current corrected official AMFTRB outline when validating domain, task, knowledge, scoring, or administration claims.</w:t>
      </w:r>
    </w:p>
    <w:p>
      <w:pPr>
        <w:pStyle w:val="ListBullet"/>
        <w:keepLines/>
        <w:spacing w:after="30" w:line="252" w:lineRule="auto"/>
      </w:pPr>
      <w:r>
        <w:rPr>
          <w:rFonts w:ascii="Liberation Sans" w:hAnsi="Liberation Sans"/>
          <w:color w:val="1E2D38"/>
          <w:sz w:val="17"/>
        </w:rPr>
        <w:t>Use current clinical standards and the current effective ethics code; do not present one organization's criteria or one state's law as a universal legal rule.</w:t>
      </w:r>
    </w:p>
    <w:p>
      <w:pPr>
        <w:pStyle w:val="ListBullet"/>
        <w:keepLines/>
        <w:spacing w:after="30" w:line="252" w:lineRule="auto"/>
      </w:pPr>
      <w:r>
        <w:rPr>
          <w:rFonts w:ascii="Liberation Sans" w:hAnsi="Liberation Sans"/>
          <w:color w:val="1E2D38"/>
          <w:sz w:val="17"/>
        </w:rPr>
        <w:t>ASAM criteria support qualified multidimensional assessment and level-of-care decisions; they do not authorize practice beyond licensure, setting, training, or competence.</w:t>
      </w:r>
    </w:p>
    <w:p>
      <w:pPr>
        <w:pStyle w:val="ListBullet"/>
        <w:keepLines/>
        <w:spacing w:after="30" w:line="252" w:lineRule="auto"/>
      </w:pPr>
      <w:r>
        <w:rPr>
          <w:rFonts w:ascii="Liberation Sans" w:hAnsi="Liberation Sans"/>
          <w:color w:val="1E2D38"/>
          <w:sz w:val="17"/>
        </w:rPr>
        <w:t>Review acute medical, withdrawal, overdose, reproductive, medication, capacity, abuse, neglect, reporting, consent, and confidentiality content whenever authoritative guidance changes.</w:t>
      </w:r>
    </w:p>
    <w:p>
      <w:pPr>
        <w:pStyle w:val="ListBullet"/>
        <w:keepLines/>
        <w:spacing w:after="30" w:line="252" w:lineRule="auto"/>
      </w:pPr>
      <w:r>
        <w:rPr>
          <w:rFonts w:ascii="Liberation Sans" w:hAnsi="Liberation Sans"/>
          <w:color w:val="1E2D38"/>
          <w:sz w:val="17"/>
        </w:rPr>
        <w:t>Do not reproduce, solicit, purchase, or reverse-engineer live, recalled, proprietary, or confidential examination items.</w:t>
      </w:r>
    </w:p>
    <w:p>
      <w:pPr>
        <w:pStyle w:val="ListBullet"/>
        <w:keepLines/>
        <w:spacing w:after="30" w:line="252" w:lineRule="auto"/>
      </w:pPr>
      <w:r>
        <w:rPr>
          <w:rFonts w:ascii="Liberation Sans" w:hAnsi="Liberation Sans"/>
          <w:color w:val="1E2D38"/>
          <w:sz w:val="17"/>
        </w:rPr>
        <w:t>This workbook is licensed for the learner's personal study; copying or distributing protected assessment content is not permitted.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OFFICIAL-SOURCE DISCLAIMER  </w:t>
            </w:r>
            <w:r>
              <w:rPr>
                <w:rFonts w:ascii="Liberation Sans" w:hAnsi="Liberation Sans"/>
                <w:color w:val="1E2D38"/>
                <w:sz w:val="18"/>
              </w:rPr>
              <w:t>CTA is an independent educational resource and is not affiliated with or endorsed by AMFTRB, PTC, Prometric, AAMFT, ASAM, APA, SAMHSA, CDC, HHS, or any licensing board. Examination specifications, clinical standards, and jurisdictional requirements can change. Participation does not guarantee passage. This program provides no CE credit.</w:t>
            </w:r>
          </w:p>
        </w:tc>
      </w:tr>
    </w:tbl>
    <w:p>
      <w:pPr>
        <w:spacing w:after="20"/>
      </w:pPr>
    </w:p>
    <w:p>
      <w:pPr>
        <w:pStyle w:val="Heading1"/>
        <w:pageBreakBefore w:val="0"/>
      </w:pPr>
      <w:r>
        <w:t>Workbook 9 Completion and Reflection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FINAL SELF-CHECK  </w:t>
            </w:r>
            <w:r>
              <w:rPr>
                <w:rFonts w:ascii="Liberation Sans" w:hAnsi="Liberation Sans"/>
                <w:color w:val="1E2D38"/>
                <w:sz w:val="18"/>
              </w:rPr>
              <w:t>Before signing, identify the acuity cue most likely to change your order of operations, the complexity factor you are most likely to overemphasize, and the evidence that will tell you to continue, adapt, coordinate, step up/down, transfer, or end care.</w:t>
            </w:r>
          </w:p>
        </w:tc>
      </w:tr>
    </w:tbl>
    <w:p>
      <w:pPr>
        <w:spacing w:after="20"/>
      </w:pPr>
    </w:p>
    <w:tbl>
      <w:tblPr>
        <w:tblW w:type="dxa" w:w="10560"/>
        <w:jc w:val="left"/>
        <w:tblLayout w:type="fixed"/>
        <w:tblLook w:firstColumn="1" w:firstRow="1" w:lastColumn="0" w:lastRow="0" w:noHBand="0" w:noVBand="1" w:val="04A0"/>
        <w:tblInd w:w="0" w:type="dxa"/>
      </w:tblPr>
      <w:tblGrid>
        <w:gridCol w:w="4700"/>
        <w:gridCol w:w="5860"/>
      </w:tblGrid>
      <w:tr>
        <w:trPr>
          <w:tblHeader w:val="true"/>
          <w:cantSplit/>
        </w:trPr>
        <w:tc>
          <w:tcPr>
            <w:tcW w:type="dxa" w:w="4700"/>
            <w:shd w:fill="12385B"/>
            <w:tcMar>
              <w:top w:w="95" w:type="dxa"/>
              <w:start w:w="120" w:type="dxa"/>
              <w:bottom w:w="95" w:type="dxa"/>
              <w:end w:w="120" w:type="dxa"/>
            </w:tcMar>
            <w:vAlign w:val="center"/>
          </w:tcPr>
          <w:p>
            <w:pPr>
              <w:spacing w:after="0"/>
            </w:pPr>
            <w:r/>
            <w:r>
              <w:rPr>
                <w:rFonts w:ascii="Liberation Sans" w:hAnsi="Liberation Sans"/>
                <w:b/>
                <w:color w:val="FFFFFF"/>
                <w:sz w:val="17"/>
              </w:rPr>
              <w:t>Reflection prompt</w:t>
            </w:r>
          </w:p>
        </w:tc>
        <w:tc>
          <w:tcPr>
            <w:tcW w:type="dxa" w:w="5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strongest multidimensional-formulation rule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An acuity / level-of-care cue I will assess sooner</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 recovery, sexuality, disability, development, aging, or grief assumption I will challenge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The access or client-choice question I will ask sooner</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The coordination role or information boundary I most often forget to define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next deliberate-practice case and date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2"/>
        <w:keepNext/>
        <w:pageBreakBefore w:val="0"/>
      </w:pPr>
      <w:r>
        <w:t>Completion Attestation</w:t>
      </w:r>
    </w:p>
    <w:p>
      <w:pPr>
        <w:keepNext/>
        <w:spacing w:after="90"/>
      </w:pPr>
      <w:r>
        <w:rPr>
          <w:rFonts w:ascii="Liberation Sans" w:hAnsi="Liberation Sans"/>
          <w:i w:val="0"/>
          <w:color w:val="1E2D38"/>
          <w:sz w:val="18"/>
        </w:rPr>
        <w:t>Learner name: ____________________________________     Date completed: ____________________</w:t>
      </w:r>
    </w:p>
    <w:p>
      <w:pPr>
        <w:keepNext/>
        <w:spacing w:after="90"/>
      </w:pPr>
      <w:r>
        <w:rPr>
          <w:rFonts w:ascii="Liberation Sans" w:hAnsi="Liberation Sans"/>
          <w:i w:val="0"/>
          <w:color w:val="1E2D38"/>
          <w:sz w:val="18"/>
        </w:rPr>
        <w:t>Workbook 9 remediation completed:  Yes / Not yet     Ready to advance:  Yes / Not yet</w:t>
      </w:r>
    </w:p>
    <w:p>
      <w:pPr>
        <w:spacing w:after="90"/>
      </w:pPr>
      <w:r>
        <w:rPr>
          <w:rFonts w:ascii="Liberation Sans" w:hAnsi="Liberation Sans"/>
          <w:i w:val="0"/>
          <w:color w:val="1E2D38"/>
          <w:sz w:val="18"/>
        </w:rPr>
        <w:t>Signature / initials: ______________________________________________</w:t>
      </w:r>
    </w:p>
    <w:sectPr w:rsidR="00883110" w:rsidSect="00034616">
      <w:headerReference w:type="even" r:id="rId9"/>
      <w:headerReference w:type="default" r:id="rId10"/>
      <w:footerReference w:type="even" r:id="rId11"/>
      <w:footerReference w:type="default" r:id="rId12"/>
      <w:headerReference w:type="first" r:id="rId13"/>
      <w:footerReference w:type="first" r:id="rId14"/>
      <w:pgSz w:w="12240" w:h="15840"/>
      <w:pgMar w:top="691" w:right="840" w:bottom="691" w:left="840" w:header="259" w:footer="3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6CB36" w14:textId="77777777" w:rsidR="001C74BE" w:rsidRDefault="001C74BE">
      <w:pPr>
        <w:spacing w:after="0" w:line="240" w:lineRule="auto"/>
      </w:pPr>
      <w:r>
        <w:separator/>
      </w:r>
    </w:p>
  </w:endnote>
  <w:endnote w:type="continuationSeparator" w:id="0">
    <w:p w14:paraId="4E904C30" w14:textId="77777777" w:rsidR="001C74BE" w:rsidRDefault="001C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59163" w14:textId="77777777" w:rsidR="00883110" w:rsidRDefault="008831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AAF8A" w14:textId="77777777" w:rsidR="00883110" w:rsidRDefault="001C74BE">
    <w:pPr>
      <w:spacing w:after="0" w:line="240" w:lineRule="auto"/>
      <w:jc w:val="center"/>
    </w:pPr>
    <w:r>
      <w:rPr>
        <w:rFonts w:ascii="Liberation Sans" w:hAnsi="Liberation Sans"/>
        <w:color w:val="5A6872"/>
        <w:sz w:val="15"/>
      </w:rPr>
      <w:t xml:space="preserve">Page </w:t>
    </w:r>
    <w:r>
      <w:rPr>
        <w:rFonts w:ascii="Liberation Sans" w:hAnsi="Liberation Sans"/>
        <w:color w:val="5A6872"/>
        <w:sz w:val="16"/>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45DC8" w14:textId="77777777" w:rsidR="00883110" w:rsidRDefault="0088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6D5C4" w14:textId="77777777" w:rsidR="001C74BE" w:rsidRDefault="001C74BE">
      <w:pPr>
        <w:spacing w:after="0" w:line="240" w:lineRule="auto"/>
      </w:pPr>
      <w:r>
        <w:separator/>
      </w:r>
    </w:p>
  </w:footnote>
  <w:footnote w:type="continuationSeparator" w:id="0">
    <w:p w14:paraId="54C310C4" w14:textId="77777777" w:rsidR="001C74BE" w:rsidRDefault="001C7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8B261" w14:textId="77777777" w:rsidR="00883110" w:rsidRDefault="00883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54474" w14:textId="77777777" w:rsidR="00883110" w:rsidRDefault="001C74BE">
    <w:pPr>
      <w:spacing w:after="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BD973" w14:textId="77777777" w:rsidR="00883110" w:rsidRDefault="00883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861081">
    <w:abstractNumId w:val="8"/>
  </w:num>
  <w:num w:numId="2" w16cid:durableId="1827890650">
    <w:abstractNumId w:val="6"/>
  </w:num>
  <w:num w:numId="3" w16cid:durableId="476915223">
    <w:abstractNumId w:val="5"/>
  </w:num>
  <w:num w:numId="4" w16cid:durableId="1881165114">
    <w:abstractNumId w:val="4"/>
  </w:num>
  <w:num w:numId="5" w16cid:durableId="1014766728">
    <w:abstractNumId w:val="7"/>
  </w:num>
  <w:num w:numId="6" w16cid:durableId="1454905029">
    <w:abstractNumId w:val="3"/>
  </w:num>
  <w:num w:numId="7" w16cid:durableId="402873195">
    <w:abstractNumId w:val="2"/>
  </w:num>
  <w:num w:numId="8" w16cid:durableId="372196563">
    <w:abstractNumId w:val="1"/>
  </w:num>
  <w:num w:numId="9" w16cid:durableId="268052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445"/>
    <w:rsid w:val="0015074B"/>
    <w:rsid w:val="001C74BE"/>
    <w:rsid w:val="0029639D"/>
    <w:rsid w:val="00326F90"/>
    <w:rsid w:val="00883110"/>
    <w:rsid w:val="00957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2C0D"/>
  <w14:defaultImageDpi w14:val="300"/>
  <w15:docId w15:val="{A425ABDA-2FA5-2442-97EC-B65F264B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Liberation Sans" w:eastAsia="Liberation Sans" w:hAnsi="Liberation Sans"/>
      <w:color w:val="1E2D38"/>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238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ind w:left="547" w:hanging="274"/>
      <w:contextualSpacing/>
      <w:jc w:val="left"/>
    </w:pPr>
    <w:rPr>
      <w:rFonts w:ascii="Liberation Sans" w:hAnsi="Liberation Sans"/>
      <w:color w:val="1E2D38"/>
      <w:sz w:val="18"/>
    </w:rPr>
  </w:style>
  <w:style w:type="paragraph" w:styleId="ListBullet2">
    <w:name w:val="List Bullet 2"/>
    <w:basedOn w:val="Normal"/>
    <w:uiPriority w:val="99"/>
    <w:unhideWhenUsed/>
    <w:rsid w:val="00326F90"/>
    <w:pPr>
      <w:numPr>
        <w:numId w:val="2"/>
      </w:numPr>
      <w:spacing w:after="70" w:line="269" w:lineRule="auto"/>
      <w:ind w:left="936" w:hanging="274"/>
      <w:contextualSpacing/>
      <w:jc w:val="left"/>
    </w:pPr>
    <w:rPr>
      <w:rFonts w:ascii="Liberation Sans" w:hAnsi="Liberation Sans"/>
      <w:color w:val="1E2D38"/>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ind w:left="547" w:hanging="274"/>
      <w:contextualSpacing/>
      <w:jc w:val="left"/>
    </w:pPr>
    <w:rPr>
      <w:rFonts w:ascii="Liberation Sans" w:hAnsi="Liberation Sans"/>
      <w:color w:val="1E2D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5911</Words>
  <Characters>41970</Characters>
  <Application>Microsoft Office Word</Application>
  <DocSecurity>0</DocSecurity>
  <Lines>892</Lines>
  <Paragraphs>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9 Student Workbook</dc:title>
  <dc:subject>Complex presentations, substance use, recovery, sexuality, health, disability, development, grief, trauma, and integrated care; exam preparation only; no CE credit</dc:subject>
  <dc:creator>Clinical Training &amp; Supervision Academy</dc:creator>
  <cp:keywords>LMFT, AMFTRB, complex presentations, substance use, recovery, sexual health, disability, aging, grief, integrated care, exam preparation</cp:keywords>
  <dc:description>Exam preparation program — No CE Credit</dc:description>
  <cp:lastModifiedBy>Candice Fuimaono</cp:lastModifiedBy>
  <cp:revision>2</cp:revision>
  <dcterms:created xsi:type="dcterms:W3CDTF">2026-07-30T14:08:00Z</dcterms:created>
  <dcterms:modified xsi:type="dcterms:W3CDTF">2026-07-30T14:08:00Z</dcterms:modified>
  <cp:category/>
</cp:coreProperties>
</file>