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 tumor α and the DD maximum repopulation rate make the DD model clinically plausible?</w:t>
      </w:r>
    </w:p>
    <w:p>
      <w:pPr>
        <w:pStyle w:val="Subtitle"/>
      </w:pPr>
      <w:r>
        <w:t xml:space="preserve">Grid search over both parameters with the current calibration to the DI model</w:t>
      </w:r>
    </w:p>
    <w:p>
      <w:pPr>
        <w:pStyle w:val="FirstParagraph"/>
      </w:pPr>
      <w:r>
        <w:t xml:space="preserve">Igor Shuryak, MD, PhD</w:t>
      </w:r>
    </w:p>
    <w:p>
      <w:pPr>
        <w:pStyle w:val="BodyText"/>
      </w:pPr>
      <w:r>
        <w:t xml:space="preserve">is144@cumc.columbia.edu</w:t>
      </w:r>
    </w:p>
    <w:p>
      <w:pPr>
        <w:pStyle w:val="BodyText"/>
      </w:pPr>
      <w:r>
        <w:t xml:space="preserve">October 18, 2026</w:t>
      </w:r>
    </w:p>
    <w:bookmarkStart w:id="9" w:name="summary"/>
    <w:p>
      <w:pPr>
        <w:pStyle w:val="Heading1"/>
      </w:pPr>
      <w:r>
        <w:t xml:space="preserve">Summary</w:t>
      </w:r>
    </w:p>
    <w:p>
      <w:pPr>
        <w:pStyle w:val="Compact"/>
        <w:numPr>
          <w:ilvl w:val="0"/>
          <w:numId w:val="1001"/>
        </w:numPr>
      </w:pPr>
      <w:r>
        <w:rPr>
          <w:b/>
          <w:bCs/>
        </w:rPr>
        <w:t xml:space="preserve">Question.</w:t>
      </w:r>
      <w:r>
        <w:t xml:space="preserve"> </w:t>
      </w:r>
      <w:r>
        <w:t xml:space="preserve">In the head and neck squamous cell carcinoma (HNSCC) biologically effective dose (BED) calculator, can the tumor radiosensitivity α and the maximum repopulation rate λ</w:t>
      </w:r>
      <w:r>
        <w:rPr>
          <w:vertAlign w:val="subscript"/>
        </w:rPr>
        <w:t xml:space="preserve">DD</w:t>
      </w:r>
      <w:r>
        <w:t xml:space="preserve"> </w:t>
      </w:r>
      <w:r>
        <w:t xml:space="preserve">of the dose-dependent (DD) repopulation model be chosen so that the repopulation onset, the repopulation doubling time and the daily BED loss are clinically plausible for all 13 regimens examined earlier (standard 70 Gy in 35 fractions, UK 65 Gy in 30 fractions, both HYPNO arms, HYHOPE and eight randomized-trial arms)?</w:t>
      </w:r>
    </w:p>
    <w:p>
      <w:pPr>
        <w:pStyle w:val="Compact"/>
        <w:numPr>
          <w:ilvl w:val="0"/>
          <w:numId w:val="1001"/>
        </w:numPr>
      </w:pPr>
      <w:r>
        <w:rPr>
          <w:b/>
          <w:bCs/>
        </w:rPr>
        <w:t xml:space="preserve">Calibration kept as now.</w:t>
      </w:r>
      <w:r>
        <w:t xml:space="preserve"> </w:t>
      </w:r>
      <w:r>
        <w:t xml:space="preserve">The dose-independent (DI) model keeps λ</w:t>
      </w:r>
      <w:r>
        <w:rPr>
          <w:vertAlign w:val="subscript"/>
        </w:rPr>
        <w:t xml:space="preserve">DI</w:t>
      </w:r>
      <w:r>
        <w:t xml:space="preserve"> </w:t>
      </w:r>
      <w:r>
        <w:t xml:space="preserve">= 0.2 per day and T</w:t>
      </w:r>
      <w:r>
        <w:rPr>
          <w:vertAlign w:val="subscript"/>
        </w:rPr>
        <w:t xml:space="preserve">k</w:t>
      </w:r>
      <w:r>
        <w:t xml:space="preserve"> </w:t>
      </w:r>
      <w:r>
        <w:t xml:space="preserve">= 28 days, and the DD model is calibrated so that it equals the DI model for 70 Gy in 35 fractions over 47 days.</w:t>
      </w:r>
    </w:p>
    <w:p>
      <w:pPr>
        <w:pStyle w:val="Compact"/>
        <w:numPr>
          <w:ilvl w:val="0"/>
          <w:numId w:val="1001"/>
        </w:numPr>
      </w:pPr>
      <w:r>
        <w:rPr>
          <w:b/>
          <w:bCs/>
        </w:rPr>
        <w:t xml:space="preserve">All three quantities together: no.</w:t>
      </w:r>
      <w:r>
        <w:t xml:space="preserve"> </w:t>
      </w:r>
      <w:r>
        <w:t xml:space="preserve">No combination makes onset, doubling time and daily loss plausible for all 13 regimens. The best combinations reach 10 of 13 regimens with loose plausibility limits and 8 of 13 with strict limits. The current default (α 0.2, λ</w:t>
      </w:r>
      <w:r>
        <w:rPr>
          <w:vertAlign w:val="subscript"/>
        </w:rPr>
        <w:t xml:space="preserve">DD</w:t>
      </w:r>
      <w:r>
        <w:t xml:space="preserve"> </w:t>
      </w:r>
      <w:r>
        <w:t xml:space="preserve">0.5) reaches 7 of 13.</w:t>
      </w:r>
    </w:p>
    <w:p>
      <w:pPr>
        <w:pStyle w:val="Compact"/>
        <w:numPr>
          <w:ilvl w:val="0"/>
          <w:numId w:val="1001"/>
        </w:numPr>
      </w:pPr>
      <w:r>
        <w:rPr>
          <w:b/>
          <w:bCs/>
        </w:rPr>
        <w:t xml:space="preserve">Why.</w:t>
      </w:r>
      <w:r>
        <w:t xml:space="preserve"> </w:t>
      </w:r>
      <w:r>
        <w:t xml:space="preserve">The DD onset of any regimen is a fixed fraction of the reference onset, set only by the schedule. Neither α nor λ</w:t>
      </w:r>
      <w:r>
        <w:rPr>
          <w:vertAlign w:val="subscript"/>
        </w:rPr>
        <w:t xml:space="preserve">DD</w:t>
      </w:r>
      <w:r>
        <w:t xml:space="preserve"> </w:t>
      </w:r>
      <w:r>
        <w:t xml:space="preserve">changes these fractions. Short intensive courses therefore always start repopulating much earlier than the standard course.</w:t>
      </w:r>
    </w:p>
    <w:p>
      <w:pPr>
        <w:pStyle w:val="Compact"/>
        <w:numPr>
          <w:ilvl w:val="0"/>
          <w:numId w:val="1001"/>
        </w:numPr>
      </w:pPr>
      <w:r>
        <w:rPr>
          <w:b/>
          <w:bCs/>
        </w:rPr>
        <w:t xml:space="preserve">Rate and daily loss first, onset second: yes, in a narrow band.</w:t>
      </w:r>
      <w:r>
        <w:t xml:space="preserve"> </w:t>
      </w:r>
      <w:r>
        <w:t xml:space="preserve">With loose limits, doubling time and daily loss are plausible for all 13 regimens when α is 0.265–0.405 Gy</w:t>
      </w:r>
      <w:r>
        <w:rPr>
          <w:vertAlign w:val="superscript"/>
        </w:rPr>
        <w:t xml:space="preserve">−1</w:t>
      </w:r>
      <w:r>
        <w:t xml:space="preserve"> </w:t>
      </w:r>
      <w:r>
        <w:t xml:space="preserve">and λ</w:t>
      </w:r>
      <w:r>
        <w:rPr>
          <w:vertAlign w:val="subscript"/>
        </w:rPr>
        <w:t xml:space="preserve">DD</w:t>
      </w:r>
      <w:r>
        <w:t xml:space="preserve"> </w:t>
      </w:r>
      <w:r>
        <w:t xml:space="preserve">is 0.35–0.41 per day. A central choice is</w:t>
      </w:r>
      <w:r>
        <w:t xml:space="preserve"> </w:t>
      </w:r>
      <w:r>
        <w:rPr>
          <w:b/>
          <w:bCs/>
        </w:rPr>
        <w:t xml:space="preserve">α = 0.30 Gy</w:t>
      </w:r>
      <w:r>
        <w:rPr>
          <w:b/>
          <w:bCs/>
          <w:vertAlign w:val="superscript"/>
        </w:rPr>
        <w:t xml:space="preserve">−1</w:t>
      </w:r>
      <w:r>
        <w:rPr>
          <w:b/>
          <w:bCs/>
        </w:rPr>
        <w:t xml:space="preserve">, λ</w:t>
      </w:r>
      <w:r>
        <w:rPr>
          <w:b/>
          <w:bCs/>
          <w:vertAlign w:val="subscript"/>
        </w:rPr>
        <w:t xml:space="preserve">DD</w:t>
      </w:r>
      <w:r>
        <w:rPr>
          <w:b/>
          <w:bCs/>
        </w:rPr>
        <w:t xml:space="preserve"> </w:t>
      </w:r>
      <w:r>
        <w:rPr>
          <w:b/>
          <w:bCs/>
        </w:rPr>
        <w:t xml:space="preserve">= 0.375 per day</w:t>
      </w:r>
      <w:r>
        <w:t xml:space="preserve">: DD doubling times 2.3–4.5 days, DD daily losses 0.52–0.99 Gy</w:t>
      </w:r>
      <w:r>
        <w:rPr>
          <w:vertAlign w:val="subscript"/>
        </w:rPr>
        <w:t xml:space="preserve">10</w:t>
      </w:r>
      <w:r>
        <w:t xml:space="preserve">, and a DI daily loss of 0.67 Gy</w:t>
      </w:r>
      <w:r>
        <w:rPr>
          <w:vertAlign w:val="subscript"/>
        </w:rPr>
        <w:t xml:space="preserve">10</w:t>
      </w:r>
      <w:r>
        <w:t xml:space="preserve">, matching Fowler’s 0.66. Onset is then plausible for 7 of 13 regimens (up to 9 of 13 at α = 0.40, where the DI daily loss falls to 0.50 Gy</w:t>
      </w:r>
      <w:r>
        <w:rPr>
          <w:vertAlign w:val="subscript"/>
        </w:rPr>
        <w:t xml:space="preserve">10</w:t>
      </w:r>
      <w:r>
        <w:t xml:space="preserve">).</w:t>
      </w:r>
    </w:p>
    <w:p>
      <w:pPr>
        <w:pStyle w:val="Compact"/>
        <w:numPr>
          <w:ilvl w:val="0"/>
          <w:numId w:val="1001"/>
        </w:numPr>
      </w:pPr>
      <w:r>
        <w:rPr>
          <w:b/>
          <w:bCs/>
        </w:rPr>
        <w:t xml:space="preserve">What does not change.</w:t>
      </w:r>
      <w:r>
        <w:t xml:space="preserve"> </w:t>
      </w:r>
      <w:r>
        <w:t xml:space="preserve">At every plausible point the DD model still predicts a BED loss for the GORTEC and TROG accelerated arms, which improved tumor control, and a deficit of about 6 Gy</w:t>
      </w:r>
      <w:r>
        <w:rPr>
          <w:vertAlign w:val="subscript"/>
        </w:rPr>
        <w:t xml:space="preserve">10</w:t>
      </w:r>
      <w:r>
        <w:t xml:space="preserve"> </w:t>
      </w:r>
      <w:r>
        <w:t xml:space="preserve">for HYPNO, which showed no difference. The suggested hypofractionated list also shrinks: with α = 0.30, no regimen passes the strict early-toxicity limit, and 12 pass the Fowler limit of 59 Gy</w:t>
      </w:r>
      <w:r>
        <w:rPr>
          <w:vertAlign w:val="subscript"/>
        </w:rPr>
        <w:t xml:space="preserve">10</w:t>
      </w:r>
      <w:r>
        <w:t xml:space="preserve">, none credited by the DD model.</w:t>
      </w:r>
    </w:p>
    <w:bookmarkEnd w:id="9"/>
    <w:bookmarkStart w:id="10" w:name="methods"/>
    <w:p>
      <w:pPr>
        <w:pStyle w:val="Heading1"/>
      </w:pPr>
      <w:r>
        <w:t xml:space="preserve">Methods</w:t>
      </w:r>
    </w:p>
    <w:p>
      <w:pPr>
        <w:pStyle w:val="FirstParagraph"/>
      </w:pPr>
      <w:r>
        <w:rPr>
          <w:b/>
          <w:bCs/>
        </w:rPr>
        <w:t xml:space="preserve">Models.</w:t>
      </w:r>
      <w:r>
        <w:t xml:space="preserve"> </w:t>
      </w:r>
      <w:r>
        <w:t xml:space="preserve">BED =</w:t>
      </w:r>
      <w:r>
        <w:t xml:space="preserve"> </w:t>
      </w:r>
      <m:oMath>
        <m:r>
          <m:t>n</m:t>
        </m:r>
        <m:r>
          <m:t>d</m:t>
        </m:r>
        <m:r>
          <m:t> </m:t>
        </m:r>
        <m:r>
          <m:rPr>
            <m:sty m:val="p"/>
          </m:rPr>
          <m:t>(</m:t>
        </m:r>
        <m:r>
          <m:t>1</m:t>
        </m:r>
        <m:r>
          <m:rPr>
            <m:sty m:val="p"/>
          </m:rPr>
          <m:t>+</m:t>
        </m:r>
        <m:r>
          <m:t>d</m:t>
        </m:r>
        <m:r>
          <m:rPr>
            <m:sty m:val="p"/>
          </m:rPr>
          <m:t>/</m:t>
        </m:r>
        <m:r>
          <m:rPr>
            <m:sty m:val="p"/>
          </m:rPr>
          <m:t>(</m:t>
        </m:r>
        <m:r>
          <m:t>α</m:t>
        </m:r>
        <m:r>
          <m:rPr>
            <m:sty m:val="p"/>
          </m:rPr>
          <m:t>/</m:t>
        </m:r>
        <m:r>
          <m:t>β</m:t>
        </m:r>
        <m:r>
          <m:rPr>
            <m:sty m:val="p"/>
          </m:rPr>
          <m:t>)</m:t>
        </m:r>
        <m:r>
          <m:rPr>
            <m:sty m:val="p"/>
          </m:rPr>
          <m:t>)</m:t>
        </m:r>
      </m:oMath>
      <w:r>
        <w:t xml:space="preserve"> </w:t>
      </w:r>
      <w:r>
        <w:t xml:space="preserve">with α/β = 10 Gy. DI: repopulation from day T</w:t>
      </w:r>
      <w:r>
        <w:rPr>
          <w:vertAlign w:val="subscript"/>
        </w:rPr>
        <w:t xml:space="preserve">k</w:t>
      </w:r>
      <w:r>
        <w:t xml:space="preserve"> </w:t>
      </w:r>
      <w:r>
        <w:t xml:space="preserve">at rate λ</w:t>
      </w:r>
      <w:r>
        <w:rPr>
          <w:vertAlign w:val="subscript"/>
        </w:rPr>
        <w:t xml:space="preserve">DI</w:t>
      </w:r>
      <w:r>
        <w:t xml:space="preserve">. DD (Shuryak, Hall and Brenner 2018 [1]): repopulation from day</w:t>
      </w:r>
      <w:r>
        <w:t xml:space="preserve"> </w:t>
      </w:r>
      <m:oMath>
        <m:r>
          <m:t>C</m:t>
        </m:r>
        <m:r>
          <m:t> </m:t>
        </m:r>
        <m:r>
          <m:t>T</m:t>
        </m:r>
        <m:r>
          <m:rPr>
            <m:sty m:val="p"/>
          </m:rPr>
          <m:t>/</m:t>
        </m:r>
        <m:r>
          <m:rPr>
            <m:sty m:val="p"/>
          </m:rPr>
          <m:t>(</m:t>
        </m:r>
        <m:r>
          <m:t>α</m:t>
        </m:r>
        <m:r>
          <m:t>K</m:t>
        </m:r>
        <m:r>
          <m:rPr>
            <m:sty m:val="p"/>
          </m:rPr>
          <m:t>)</m:t>
        </m:r>
      </m:oMath>
      <w:r>
        <w:t xml:space="preserve"> </w:t>
      </w:r>
      <w:r>
        <w:t xml:space="preserve">at rate</w:t>
      </w:r>
      <w:r>
        <w:t xml:space="preserve"> </w:t>
      </w:r>
      <m:oMath>
        <m:sSub>
          <m:e>
            <m:r>
              <m:t>λ</m:t>
            </m:r>
          </m:e>
          <m:sub>
            <m:r>
              <m:t>D</m:t>
            </m:r>
            <m:r>
              <m:t>D</m:t>
            </m:r>
          </m:sub>
        </m:sSub>
        <m:sSub>
          <m:e>
            <m:r>
              <m:t>P</m:t>
            </m:r>
          </m:e>
          <m:sub>
            <m:r>
              <m:t>k</m:t>
            </m:r>
            <m:r>
              <m:t>i</m:t>
            </m:r>
            <m:r>
              <m:t>l</m:t>
            </m:r>
            <m:r>
              <m:t>l</m:t>
            </m:r>
          </m:sub>
        </m:sSub>
      </m:oMath>
      <w:r>
        <w:t xml:space="preserve">, with</w:t>
      </w:r>
      <w:r>
        <w:t xml:space="preserve"> </w:t>
      </w:r>
      <m:oMath>
        <m:sSub>
          <m:e>
            <m:r>
              <m:t>P</m:t>
            </m:r>
          </m:e>
          <m:sub>
            <m:r>
              <m:t>k</m:t>
            </m:r>
            <m:r>
              <m:t>i</m:t>
            </m:r>
            <m:r>
              <m:t>l</m:t>
            </m:r>
            <m:r>
              <m:t>l</m:t>
            </m:r>
          </m:sub>
        </m:sSub>
        <m:r>
          <m:rPr>
            <m:sty m:val="p"/>
          </m:rPr>
          <m:t>=</m:t>
        </m:r>
        <m:r>
          <m:t>1</m:t>
        </m:r>
        <m:r>
          <m:rPr>
            <m:sty m:val="p"/>
          </m:rPr>
          <m:t>−</m:t>
        </m:r>
        <m:sSup>
          <m:e>
            <m:r>
              <m:t>e</m:t>
            </m:r>
          </m:e>
          <m:sup>
            <m:r>
              <m:rPr>
                <m:sty m:val="p"/>
              </m:rPr>
              <m:t>−</m:t>
            </m:r>
            <m:r>
              <m:t>α</m:t>
            </m:r>
            <m:r>
              <m:t>K</m:t>
            </m:r>
            <m:r>
              <m:rPr>
                <m:sty m:val="p"/>
              </m:rPr>
              <m:t>/</m:t>
            </m:r>
            <m:r>
              <m:t>T</m:t>
            </m:r>
          </m:sup>
        </m:sSup>
      </m:oMath>
      <w:r>
        <w:t xml:space="preserve">. For each regimen, doubling time = ln 2 / rate, and daily BED loss = rate / α (Gy</w:t>
      </w:r>
      <w:r>
        <w:rPr>
          <w:vertAlign w:val="subscript"/>
        </w:rPr>
        <w:t xml:space="preserve">10</w:t>
      </w:r>
      <w:r>
        <w:t xml:space="preserve"> </w:t>
      </w:r>
      <w:r>
        <w:t xml:space="preserve">per day after onset).</w:t>
      </w:r>
    </w:p>
    <w:p>
      <w:pPr>
        <w:pStyle w:val="BodyText"/>
      </w:pPr>
      <w:r>
        <w:rPr>
          <w:b/>
          <w:bCs/>
        </w:rPr>
        <w:t xml:space="preserve">Calibration.</w:t>
      </w:r>
      <w:r>
        <w:t xml:space="preserve"> </w:t>
      </w:r>
      <w:r>
        <w:t xml:space="preserve">For each (α, λ</w:t>
      </w:r>
      <w:r>
        <w:rPr>
          <w:vertAlign w:val="subscript"/>
        </w:rPr>
        <w:t xml:space="preserve">DD</w:t>
      </w:r>
      <w:r>
        <w:t xml:space="preserve">), C is solved so that BED</w:t>
      </w:r>
      <w:r>
        <w:rPr>
          <w:vertAlign w:val="subscript"/>
        </w:rPr>
        <w:t xml:space="preserve">DD</w:t>
      </w:r>
      <w:r>
        <w:t xml:space="preserve"> </w:t>
      </w:r>
      <w:r>
        <w:t xml:space="preserve">= BED</w:t>
      </w:r>
      <w:r>
        <w:rPr>
          <w:vertAlign w:val="subscript"/>
        </w:rPr>
        <w:t xml:space="preserve">DI</w:t>
      </w:r>
      <w:r>
        <w:t xml:space="preserve"> </w:t>
      </w:r>
      <w:r>
        <w:t xml:space="preserve">for 70 Gy in 35 fractions over 47 days, with λ</w:t>
      </w:r>
      <w:r>
        <w:rPr>
          <w:vertAlign w:val="subscript"/>
        </w:rPr>
        <w:t xml:space="preserve">DI</w:t>
      </w:r>
      <w:r>
        <w:t xml:space="preserve"> </w:t>
      </w:r>
      <w:r>
        <w:t xml:space="preserve">= 0.2 per day and T</w:t>
      </w:r>
      <w:r>
        <w:rPr>
          <w:vertAlign w:val="subscript"/>
        </w:rPr>
        <w:t xml:space="preserve">k</w:t>
      </w:r>
      <w:r>
        <w:t xml:space="preserve"> </w:t>
      </w:r>
      <w:r>
        <w:t xml:space="preserve">= 28 days, exactly as in the calculator. Because λ</w:t>
      </w:r>
      <w:r>
        <w:rPr>
          <w:vertAlign w:val="subscript"/>
        </w:rPr>
        <w:t xml:space="preserve">DI</w:t>
      </w:r>
      <w:r>
        <w:t xml:space="preserve"> </w:t>
      </w:r>
      <w:r>
        <w:t xml:space="preserve">is held fixed, changing α also changes the DI daily loss, 0.2/α.</w:t>
      </w:r>
    </w:p>
    <w:p>
      <w:pPr>
        <w:pStyle w:val="BodyText"/>
      </w:pPr>
      <w:r>
        <w:rPr>
          <w:b/>
          <w:bCs/>
        </w:rPr>
        <w:t xml:space="preserve">Grid.</w:t>
      </w:r>
      <w:r>
        <w:t xml:space="preserve"> </w:t>
      </w:r>
      <w:r>
        <w:t xml:space="preserve">α from 0.05 to 0.80 Gy</w:t>
      </w:r>
      <w:r>
        <w:rPr>
          <w:vertAlign w:val="superscript"/>
        </w:rPr>
        <w:t xml:space="preserve">−1</w:t>
      </w:r>
      <w:r>
        <w:t xml:space="preserve"> </w:t>
      </w:r>
      <w:r>
        <w:t xml:space="preserve">(steps of 0.01, refined to 0.005 for the rate-first search) and λ</w:t>
      </w:r>
      <w:r>
        <w:rPr>
          <w:vertAlign w:val="subscript"/>
        </w:rPr>
        <w:t xml:space="preserve">DD</w:t>
      </w:r>
      <w:r>
        <w:t xml:space="preserve"> </w:t>
      </w:r>
      <w:r>
        <w:t xml:space="preserve">from 0.1 to 30 per day (300 to 400 log-spaced values). About 22,800 combinations per search, of which about 20,400 can be calibrated (the rest have λ</w:t>
      </w:r>
      <w:r>
        <w:rPr>
          <w:vertAlign w:val="subscript"/>
        </w:rPr>
        <w:t xml:space="preserve">DD</w:t>
      </w:r>
      <w:r>
        <w:t xml:space="preserve"> </w:t>
      </w:r>
      <w:r>
        <w:t xml:space="preserve">too small to reproduce the DI loss).</w:t>
      </w:r>
    </w:p>
    <w:p>
      <w:pPr>
        <w:pStyle w:val="BodyText"/>
      </w:pPr>
      <w:r>
        <w:rPr>
          <w:b/>
          <w:bCs/>
        </w:rPr>
        <w:t xml:space="preserve">Regimens.</w:t>
      </w:r>
      <w:r>
        <w:t xml:space="preserve"> </w:t>
      </w:r>
      <w:r>
        <w:t xml:space="preserve">The 13 regimens of the companion note (</w:t>
      </w:r>
      <w:r>
        <w:rPr>
          <w:rStyle w:val="VerbatimChar"/>
        </w:rPr>
        <w:t xml:space="preserve">DI_DD_clinical_regimens_2026_10_18.docx</w:t>
      </w:r>
      <w:r>
        <w:t xml:space="preserve">). Trial arms use the average schedules tabulated in Shuryak et al. 2018, Table 1 [1].</w:t>
      </w:r>
    </w:p>
    <w:p>
      <w:pPr>
        <w:pStyle w:val="BodyText"/>
      </w:pPr>
      <w:r>
        <w:rPr>
          <w:b/>
          <w:bCs/>
        </w:rPr>
        <w:t xml:space="preserve">Plausibility limits.</w:t>
      </w:r>
      <w:r>
        <w:t xml:space="preserve"> </w:t>
      </w:r>
      <w:r>
        <w:t xml:space="preserve">A regimen is judged only on quantities that apply to it: if its DD onset falls after its last treatment day, it has no repopulation and its rate and loss are not judged. The limits are my choices, informed by the sources below.</w:t>
      </w:r>
    </w:p>
    <w:tbl>
      <w:tblPr>
        <w:tblStyle w:val="Table"/>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W w:w="14112" w:type="dxa"/>
        <w:tblLayout w:type="fixed"/>
      </w:tblPr>
      <w:tblGrid>
        <w:gridCol w:w="2592"/>
        <w:gridCol w:w="1872"/>
        <w:gridCol w:w="1872"/>
        <w:gridCol w:w="7776"/>
      </w:tblGrid>
      <w:tr>
        <w:trPr>
          <w:tblHeader w:val="on"/>
          <w:tblHeader w:val="true"/>
        </w:trPr>
        <w:tc>
          <w:tcPr>
            <w:tcW w:type="dxa" w:w="2592"/>
            <w:vAlign w:val="top"/>
          </w:tcPr>
          <w:p>
            <w:pPr>
              <w:pStyle w:val="Compact"/>
            </w:pPr>
            <w:r>
              <w:rPr>
                <w:rFonts w:ascii="Arial" w:hAnsi="Arial"/>
                <w:b/>
                <w:sz w:val="20"/>
              </w:rPr>
              <w:t xml:space="preserve">Quantity</w:t>
            </w:r>
          </w:p>
        </w:tc>
        <w:tc>
          <w:tcPr>
            <w:tcW w:type="dxa" w:w="1872"/>
            <w:vAlign w:val="top"/>
          </w:tcPr>
          <w:p>
            <w:pPr>
              <w:pStyle w:val="Compact"/>
            </w:pPr>
            <w:r>
              <w:rPr>
                <w:rFonts w:ascii="Arial" w:hAnsi="Arial"/>
                <w:b/>
                <w:sz w:val="20"/>
              </w:rPr>
              <w:t xml:space="preserve">Loose limits</w:t>
            </w:r>
          </w:p>
        </w:tc>
        <w:tc>
          <w:tcPr>
            <w:tcW w:type="dxa" w:w="1872"/>
            <w:vAlign w:val="top"/>
          </w:tcPr>
          <w:p>
            <w:pPr>
              <w:pStyle w:val="Compact"/>
            </w:pPr>
            <w:r>
              <w:rPr>
                <w:rFonts w:ascii="Arial" w:hAnsi="Arial"/>
                <w:b/>
                <w:sz w:val="20"/>
              </w:rPr>
              <w:t xml:space="preserve">Strict limits</w:t>
            </w:r>
          </w:p>
        </w:tc>
        <w:tc>
          <w:tcPr>
            <w:tcW w:type="dxa" w:w="7776"/>
            <w:vAlign w:val="top"/>
          </w:tcPr>
          <w:p>
            <w:pPr>
              <w:pStyle w:val="Compact"/>
            </w:pPr>
            <w:r>
              <w:rPr>
                <w:rFonts w:ascii="Arial" w:hAnsi="Arial"/>
                <w:b/>
                <w:sz w:val="20"/>
              </w:rPr>
              <w:t xml:space="preserve">Basis</w:t>
            </w:r>
          </w:p>
        </w:tc>
      </w:tr>
      <w:tr>
        <w:tc>
          <w:tcPr>
            <w:tcW w:type="dxa" w:w="2592"/>
          </w:tcPr>
          <w:p>
            <w:pPr>
              <w:pStyle w:val="Compact"/>
            </w:pPr>
            <w:r>
              <w:rPr>
                <w:rFonts w:ascii="Arial" w:hAnsi="Arial"/>
                <w:sz w:val="20"/>
              </w:rPr>
              <w:t xml:space="preserve">Repopulation onset</w:t>
            </w:r>
          </w:p>
        </w:tc>
        <w:tc>
          <w:tcPr>
            <w:tcW w:type="dxa" w:w="1872"/>
          </w:tcPr>
          <w:p>
            <w:pPr>
              <w:pStyle w:val="Compact"/>
            </w:pPr>
            <w:r>
              <w:rPr>
                <w:rFonts w:ascii="Arial" w:hAnsi="Arial"/>
                <w:sz w:val="20"/>
              </w:rPr>
              <w:t xml:space="preserve">18–35 days</w:t>
            </w:r>
          </w:p>
        </w:tc>
        <w:tc>
          <w:tcPr>
            <w:tcW w:type="dxa" w:w="1872"/>
          </w:tcPr>
          <w:p>
            <w:pPr>
              <w:pStyle w:val="Compact"/>
            </w:pPr>
            <w:r>
              <w:rPr>
                <w:rFonts w:ascii="Arial" w:hAnsi="Arial"/>
                <w:sz w:val="20"/>
              </w:rPr>
              <w:t xml:space="preserve">21–35 days</w:t>
            </w:r>
          </w:p>
        </w:tc>
        <w:tc>
          <w:tcPr>
            <w:tcW w:type="dxa" w:w="7776"/>
          </w:tcPr>
          <w:p>
            <w:pPr>
              <w:pStyle w:val="Compact"/>
            </w:pPr>
            <w:r>
              <w:rPr>
                <w:rFonts w:ascii="Arial" w:hAnsi="Arial"/>
                <w:sz w:val="20"/>
              </w:rPr>
              <w:t xml:space="preserve">Human estimates 18–32 days and T</w:t>
            </w:r>
            <w:r>
              <w:rPr>
                <w:rFonts w:ascii="Arial" w:hAnsi="Arial"/>
                <w:sz w:val="20"/>
                <w:vertAlign w:val="subscript"/>
              </w:rPr>
              <w:t xml:space="preserve">k</w:t>
            </w:r>
            <w:r>
              <w:rPr>
                <w:rFonts w:ascii="Arial" w:hAnsi="Arial"/>
                <w:sz w:val="20"/>
              </w:rPr>
              <w:t xml:space="preserve"> </w:t>
            </w:r>
            <w:r>
              <w:rPr>
                <w:rFonts w:ascii="Arial" w:hAnsi="Arial"/>
                <w:sz w:val="20"/>
              </w:rPr>
              <w:t xml:space="preserve">21–32 days (Fowler 2010 [2]), 4 ± 1 weeks (Withers 1988 [3])</w:t>
            </w:r>
          </w:p>
        </w:tc>
      </w:tr>
      <w:tr>
        <w:tc>
          <w:tcPr>
            <w:tcW w:type="dxa" w:w="2592"/>
          </w:tcPr>
          <w:p>
            <w:pPr>
              <w:pStyle w:val="Compact"/>
            </w:pPr>
            <w:r>
              <w:rPr>
                <w:rFonts w:ascii="Arial" w:hAnsi="Arial"/>
                <w:sz w:val="20"/>
              </w:rPr>
              <w:t xml:space="preserve">Doubling time during repopulation</w:t>
            </w:r>
          </w:p>
        </w:tc>
        <w:tc>
          <w:tcPr>
            <w:tcW w:type="dxa" w:w="1872"/>
          </w:tcPr>
          <w:p>
            <w:pPr>
              <w:pStyle w:val="Compact"/>
            </w:pPr>
            <w:r>
              <w:rPr>
                <w:rFonts w:ascii="Arial" w:hAnsi="Arial"/>
                <w:sz w:val="20"/>
              </w:rPr>
              <w:t xml:space="preserve">2–6 days</w:t>
            </w:r>
          </w:p>
        </w:tc>
        <w:tc>
          <w:tcPr>
            <w:tcW w:type="dxa" w:w="1872"/>
          </w:tcPr>
          <w:p>
            <w:pPr>
              <w:pStyle w:val="Compact"/>
            </w:pPr>
            <w:r>
              <w:rPr>
                <w:rFonts w:ascii="Arial" w:hAnsi="Arial"/>
                <w:sz w:val="20"/>
              </w:rPr>
              <w:t xml:space="preserve">3–5 days</w:t>
            </w:r>
          </w:p>
        </w:tc>
        <w:tc>
          <w:tcPr>
            <w:tcW w:type="dxa" w:w="7776"/>
          </w:tcPr>
          <w:p>
            <w:pPr>
              <w:pStyle w:val="Compact"/>
            </w:pPr>
            <w:r>
              <w:rPr>
                <w:rFonts w:ascii="Arial" w:hAnsi="Arial"/>
                <w:sz w:val="20"/>
              </w:rPr>
              <w:t xml:space="preserve">About 4 days (Withers [3]), 3 days (Fowler [2]), 1.8–2.3 days in Fowler’s analysis of the RTOG 90-03 arms [2]</w:t>
            </w:r>
          </w:p>
        </w:tc>
      </w:tr>
      <w:tr>
        <w:tc>
          <w:tcPr>
            <w:tcW w:type="dxa" w:w="2592"/>
          </w:tcPr>
          <w:p>
            <w:pPr>
              <w:pStyle w:val="Compact"/>
            </w:pPr>
            <w:r>
              <w:rPr>
                <w:rFonts w:ascii="Arial" w:hAnsi="Arial"/>
                <w:sz w:val="20"/>
              </w:rPr>
              <w:t xml:space="preserve">Daily BED loss</w:t>
            </w:r>
          </w:p>
        </w:tc>
        <w:tc>
          <w:tcPr>
            <w:tcW w:type="dxa" w:w="1872"/>
          </w:tcPr>
          <w:p>
            <w:pPr>
              <w:pStyle w:val="Compact"/>
            </w:pPr>
            <w:r>
              <w:rPr>
                <w:rFonts w:ascii="Arial" w:hAnsi="Arial"/>
                <w:sz w:val="20"/>
              </w:rPr>
              <w:t xml:space="preserve">0.5–1.0 Gy</w:t>
            </w:r>
            <w:r>
              <w:rPr>
                <w:rFonts w:ascii="Arial" w:hAnsi="Arial"/>
                <w:sz w:val="20"/>
                <w:vertAlign w:val="subscript"/>
              </w:rPr>
              <w:t xml:space="preserve">10</w:t>
            </w:r>
          </w:p>
        </w:tc>
        <w:tc>
          <w:tcPr>
            <w:tcW w:type="dxa" w:w="1872"/>
          </w:tcPr>
          <w:p>
            <w:pPr>
              <w:pStyle w:val="Compact"/>
            </w:pPr>
            <w:r>
              <w:rPr>
                <w:rFonts w:ascii="Arial" w:hAnsi="Arial"/>
                <w:sz w:val="20"/>
              </w:rPr>
              <w:t xml:space="preserve">0.6–0.8 Gy</w:t>
            </w:r>
            <w:r>
              <w:rPr>
                <w:rFonts w:ascii="Arial" w:hAnsi="Arial"/>
                <w:sz w:val="20"/>
                <w:vertAlign w:val="subscript"/>
              </w:rPr>
              <w:t xml:space="preserve">10</w:t>
            </w:r>
          </w:p>
        </w:tc>
        <w:tc>
          <w:tcPr>
            <w:tcW w:type="dxa" w:w="7776"/>
          </w:tcPr>
          <w:p>
            <w:pPr>
              <w:pStyle w:val="Compact"/>
            </w:pPr>
            <w:r>
              <w:rPr>
                <w:rFonts w:ascii="Arial" w:hAnsi="Arial"/>
                <w:sz w:val="20"/>
              </w:rPr>
              <w:t xml:space="preserve">0.72 Gy</w:t>
            </w:r>
            <w:r>
              <w:rPr>
                <w:rFonts w:ascii="Arial" w:hAnsi="Arial"/>
                <w:sz w:val="20"/>
                <w:vertAlign w:val="subscript"/>
              </w:rPr>
              <w:t xml:space="preserve">10</w:t>
            </w:r>
            <w:r>
              <w:rPr>
                <w:rFonts w:ascii="Arial" w:hAnsi="Arial"/>
                <w:sz w:val="20"/>
              </w:rPr>
              <w:t xml:space="preserve"> </w:t>
            </w:r>
            <w:r>
              <w:rPr>
                <w:rFonts w:ascii="Arial" w:hAnsi="Arial"/>
                <w:sz w:val="20"/>
              </w:rPr>
              <w:t xml:space="preserve">(Withers [3]), 0.66 Gy</w:t>
            </w:r>
            <w:r>
              <w:rPr>
                <w:rFonts w:ascii="Arial" w:hAnsi="Arial"/>
                <w:sz w:val="20"/>
                <w:vertAlign w:val="subscript"/>
              </w:rPr>
              <w:t xml:space="preserve">10</w:t>
            </w:r>
            <w:r>
              <w:rPr>
                <w:rFonts w:ascii="Arial" w:hAnsi="Arial"/>
                <w:sz w:val="20"/>
              </w:rPr>
              <w:t xml:space="preserve"> </w:t>
            </w:r>
            <w:r>
              <w:rPr>
                <w:rFonts w:ascii="Arial" w:hAnsi="Arial"/>
                <w:sz w:val="20"/>
              </w:rPr>
              <w:t xml:space="preserve">and</w:t>
            </w:r>
            <w:r>
              <w:rPr>
                <w:rFonts w:ascii="Arial" w:hAnsi="Arial"/>
                <w:sz w:val="20"/>
              </w:rPr>
              <w:t xml:space="preserve"> </w:t>
            </w:r>
            <w:r>
              <w:rPr>
                <w:rFonts w:ascii="Arial" w:hAnsi="Arial"/>
                <w:sz w:val="20"/>
              </w:rPr>
              <w:t xml:space="preserve">“no more than about 0.7 Gy/day”</w:t>
            </w:r>
            <w:r>
              <w:rPr>
                <w:rFonts w:ascii="Arial" w:hAnsi="Arial"/>
                <w:sz w:val="20"/>
              </w:rPr>
              <w:t xml:space="preserve"> </w:t>
            </w:r>
            <w:r>
              <w:rPr>
                <w:rFonts w:ascii="Arial" w:hAnsi="Arial"/>
                <w:sz w:val="20"/>
              </w:rPr>
              <w:t xml:space="preserve">(Fowler [2]), 0.65 Gy per day (HYPNO design [4])</w:t>
            </w:r>
          </w:p>
        </w:tc>
      </w:tr>
    </w:tbl>
    <w:bookmarkEnd w:id="10"/>
    <w:bookmarkStart w:id="14" w:name="result-1-all-three-quantities-together"/>
    <w:p>
      <w:pPr>
        <w:pStyle w:val="Heading1"/>
      </w:pPr>
      <w:r>
        <w:t xml:space="preserve">Result 1: all three quantities together</w:t>
      </w:r>
    </w:p>
    <w:tbl>
      <w:tblPr>
        <w:tblStyle w:val="Table"/>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W w:w="14112" w:type="dxa"/>
        <w:tblLayout w:type="fixed"/>
      </w:tblPr>
      <w:tblGrid>
        <w:gridCol w:w="2448"/>
        <w:gridCol w:w="2304"/>
        <w:gridCol w:w="4752"/>
        <w:gridCol w:w="4608"/>
      </w:tblGrid>
      <w:tr>
        <w:trPr>
          <w:tblHeader w:val="on"/>
          <w:tblHeader w:val="true"/>
        </w:trPr>
        <w:tc>
          <w:tcPr>
            <w:tcW w:type="dxa" w:w="2448"/>
            <w:vAlign w:val="top"/>
          </w:tcPr>
          <w:p>
            <w:pPr>
              <w:pStyle w:val="Compact"/>
            </w:pPr>
            <w:r>
              <w:rPr>
                <w:rFonts w:ascii="Arial" w:hAnsi="Arial"/>
                <w:b/>
                <w:sz w:val="20"/>
              </w:rPr>
              <w:t xml:space="preserve">Limits</w:t>
            </w:r>
          </w:p>
        </w:tc>
        <w:tc>
          <w:tcPr>
            <w:tcW w:type="dxa" w:w="2304"/>
            <w:vAlign w:val="top"/>
          </w:tcPr>
          <w:p>
            <w:pPr>
              <w:pStyle w:val="Compact"/>
            </w:pPr>
            <w:r>
              <w:rPr>
                <w:rFonts w:ascii="Arial" w:hAnsi="Arial"/>
                <w:b/>
                <w:sz w:val="20"/>
              </w:rPr>
              <w:t xml:space="preserve">Best number of plausible regimens (of 13)</w:t>
            </w:r>
          </w:p>
        </w:tc>
        <w:tc>
          <w:tcPr>
            <w:tcW w:type="dxa" w:w="4752"/>
            <w:vAlign w:val="top"/>
          </w:tcPr>
          <w:p>
            <w:pPr>
              <w:pStyle w:val="Compact"/>
            </w:pPr>
            <w:r>
              <w:rPr>
                <w:rFonts w:ascii="Arial" w:hAnsi="Arial"/>
                <w:b/>
                <w:sz w:val="20"/>
              </w:rPr>
              <w:t xml:space="preserve">Where</w:t>
            </w:r>
          </w:p>
        </w:tc>
        <w:tc>
          <w:tcPr>
            <w:tcW w:type="dxa" w:w="4608"/>
            <w:vAlign w:val="top"/>
          </w:tcPr>
          <w:p>
            <w:pPr>
              <w:pStyle w:val="Compact"/>
            </w:pPr>
            <w:r>
              <w:rPr>
                <w:rFonts w:ascii="Arial" w:hAnsi="Arial"/>
                <w:b/>
                <w:sz w:val="20"/>
              </w:rPr>
              <w:t xml:space="preserve">Regimens that fail at the best points</w:t>
            </w:r>
          </w:p>
        </w:tc>
      </w:tr>
      <w:tr>
        <w:tc>
          <w:tcPr>
            <w:tcW w:type="dxa" w:w="2448"/>
          </w:tcPr>
          <w:p>
            <w:pPr>
              <w:pStyle w:val="Compact"/>
            </w:pPr>
            <w:r>
              <w:rPr>
                <w:rFonts w:ascii="Arial" w:hAnsi="Arial"/>
                <w:sz w:val="20"/>
              </w:rPr>
              <w:t xml:space="preserve">Loose</w:t>
            </w:r>
          </w:p>
        </w:tc>
        <w:tc>
          <w:tcPr>
            <w:tcW w:type="dxa" w:w="2304"/>
          </w:tcPr>
          <w:p>
            <w:pPr>
              <w:pStyle w:val="Compact"/>
            </w:pPr>
            <w:r>
              <w:rPr>
                <w:rFonts w:ascii="Arial" w:hAnsi="Arial"/>
                <w:sz w:val="20"/>
              </w:rPr>
              <w:t xml:space="preserve">10</w:t>
            </w:r>
          </w:p>
        </w:tc>
        <w:tc>
          <w:tcPr>
            <w:tcW w:type="dxa" w:w="4752"/>
          </w:tcPr>
          <w:p>
            <w:pPr>
              <w:pStyle w:val="Compact"/>
            </w:pPr>
            <w:r>
              <w:rPr>
                <w:rFonts w:ascii="Arial" w:hAnsi="Arial"/>
                <w:sz w:val="20"/>
              </w:rPr>
              <w:t xml:space="preserve">α 0.31–0.53, λ</w:t>
            </w:r>
            <w:r>
              <w:rPr>
                <w:rFonts w:ascii="Arial" w:hAnsi="Arial"/>
                <w:sz w:val="20"/>
                <w:vertAlign w:val="subscript"/>
              </w:rPr>
              <w:t xml:space="preserve">DD</w:t>
            </w:r>
            <w:r>
              <w:rPr>
                <w:rFonts w:ascii="Arial" w:hAnsi="Arial"/>
                <w:sz w:val="20"/>
              </w:rPr>
              <w:t xml:space="preserve"> </w:t>
            </w:r>
            <w:r>
              <w:rPr>
                <w:rFonts w:ascii="Arial" w:hAnsi="Arial"/>
                <w:sz w:val="20"/>
              </w:rPr>
              <w:t xml:space="preserve">0.41–0.54 per day (145 combinations)</w:t>
            </w:r>
          </w:p>
        </w:tc>
        <w:tc>
          <w:tcPr>
            <w:tcW w:type="dxa" w:w="4608"/>
          </w:tcPr>
          <w:p>
            <w:pPr>
              <w:pStyle w:val="Compact"/>
            </w:pPr>
            <w:r>
              <w:rPr>
                <w:rFonts w:ascii="Arial" w:hAnsi="Arial"/>
                <w:sz w:val="20"/>
              </w:rPr>
              <w:t xml:space="preserve">HYHOPE, GORTEC, CHART</w:t>
            </w:r>
          </w:p>
        </w:tc>
      </w:tr>
      <w:tr>
        <w:tc>
          <w:tcPr>
            <w:tcW w:type="dxa" w:w="2448"/>
          </w:tcPr>
          <w:p>
            <w:pPr>
              <w:pStyle w:val="Compact"/>
            </w:pPr>
            <w:r>
              <w:rPr>
                <w:rFonts w:ascii="Arial" w:hAnsi="Arial"/>
                <w:sz w:val="20"/>
              </w:rPr>
              <w:t xml:space="preserve">Strict</w:t>
            </w:r>
          </w:p>
        </w:tc>
        <w:tc>
          <w:tcPr>
            <w:tcW w:type="dxa" w:w="2304"/>
          </w:tcPr>
          <w:p>
            <w:pPr>
              <w:pStyle w:val="Compact"/>
            </w:pPr>
            <w:r>
              <w:rPr>
                <w:rFonts w:ascii="Arial" w:hAnsi="Arial"/>
                <w:sz w:val="20"/>
              </w:rPr>
              <w:t xml:space="preserve">8</w:t>
            </w:r>
          </w:p>
        </w:tc>
        <w:tc>
          <w:tcPr>
            <w:tcW w:type="dxa" w:w="4752"/>
          </w:tcPr>
          <w:p>
            <w:pPr>
              <w:pStyle w:val="Compact"/>
            </w:pPr>
            <w:r>
              <w:rPr>
                <w:rFonts w:ascii="Arial" w:hAnsi="Arial"/>
                <w:sz w:val="20"/>
              </w:rPr>
              <w:t xml:space="preserve">α 0.29–0.32, λ</w:t>
            </w:r>
            <w:r>
              <w:rPr>
                <w:rFonts w:ascii="Arial" w:hAnsi="Arial"/>
                <w:sz w:val="20"/>
                <w:vertAlign w:val="subscript"/>
              </w:rPr>
              <w:t xml:space="preserve">DD</w:t>
            </w:r>
            <w:r>
              <w:rPr>
                <w:rFonts w:ascii="Arial" w:hAnsi="Arial"/>
                <w:sz w:val="20"/>
              </w:rPr>
              <w:t xml:space="preserve"> </w:t>
            </w:r>
            <w:r>
              <w:rPr>
                <w:rFonts w:ascii="Arial" w:hAnsi="Arial"/>
                <w:sz w:val="20"/>
              </w:rPr>
              <w:t xml:space="preserve">0.44–0.48 per day (9 combinations)</w:t>
            </w:r>
          </w:p>
        </w:tc>
        <w:tc>
          <w:tcPr>
            <w:tcW w:type="dxa" w:w="4608"/>
          </w:tcPr>
          <w:p>
            <w:pPr>
              <w:pStyle w:val="Compact"/>
            </w:pPr>
            <w:r>
              <w:rPr>
                <w:rFonts w:ascii="Arial" w:hAnsi="Arial"/>
                <w:sz w:val="20"/>
              </w:rPr>
              <w:t xml:space="preserve">HYPNO test, HYHOPE, GORTEC, TROG, CHART (or the same without HYPNO)</w:t>
            </w:r>
          </w:p>
        </w:tc>
      </w:tr>
      <w:tr>
        <w:tc>
          <w:tcPr>
            <w:tcW w:type="dxa" w:w="2448"/>
          </w:tcPr>
          <w:p>
            <w:pPr>
              <w:pStyle w:val="Compact"/>
            </w:pPr>
            <w:r>
              <w:rPr>
                <w:rFonts w:ascii="Arial" w:hAnsi="Arial"/>
                <w:sz w:val="20"/>
              </w:rPr>
              <w:t xml:space="preserve">Current default, α 0.2, λ</w:t>
            </w:r>
            <w:r>
              <w:rPr>
                <w:rFonts w:ascii="Arial" w:hAnsi="Arial"/>
                <w:sz w:val="20"/>
                <w:vertAlign w:val="subscript"/>
              </w:rPr>
              <w:t xml:space="preserve">DD</w:t>
            </w:r>
            <w:r>
              <w:rPr>
                <w:rFonts w:ascii="Arial" w:hAnsi="Arial"/>
                <w:sz w:val="20"/>
              </w:rPr>
              <w:t xml:space="preserve"> </w:t>
            </w:r>
            <w:r>
              <w:rPr>
                <w:rFonts w:ascii="Arial" w:hAnsi="Arial"/>
                <w:sz w:val="20"/>
              </w:rPr>
              <w:t xml:space="preserve">0.5</w:t>
            </w:r>
          </w:p>
        </w:tc>
        <w:tc>
          <w:tcPr>
            <w:tcW w:type="dxa" w:w="2304"/>
          </w:tcPr>
          <w:p>
            <w:pPr>
              <w:pStyle w:val="Compact"/>
            </w:pPr>
            <w:r>
              <w:rPr>
                <w:rFonts w:ascii="Arial" w:hAnsi="Arial"/>
                <w:sz w:val="20"/>
              </w:rPr>
              <w:t xml:space="preserve">7 (loose), 3 (strict)</w:t>
            </w:r>
          </w:p>
        </w:tc>
        <w:tc>
          <w:tcPr>
            <w:tcW w:type="dxa" w:w="4752"/>
          </w:tcPr>
          <w:p>
            <w:pPr>
              <w:pStyle w:val="Compact"/>
            </w:pPr>
          </w:p>
        </w:tc>
        <w:tc>
          <w:tcPr>
            <w:tcW w:type="dxa" w:w="4608"/>
          </w:tcPr>
          <w:p>
            <w:pPr>
              <w:pStyle w:val="Compact"/>
            </w:pPr>
            <w:r>
              <w:rPr>
                <w:rFonts w:ascii="Arial" w:hAnsi="Arial"/>
                <w:sz w:val="20"/>
              </w:rPr>
              <w:t xml:space="preserve">HYPNO test, HYHOPE, CAIR, GORTEC, TROG, CHART</w:t>
            </w:r>
          </w:p>
        </w:tc>
      </w:tr>
      <w:tr>
        <w:tc>
          <w:tcPr>
            <w:tcW w:type="dxa" w:w="2448"/>
          </w:tcPr>
          <w:p>
            <w:pPr>
              <w:pStyle w:val="Compact"/>
            </w:pPr>
            <w:r>
              <w:rPr>
                <w:rFonts w:ascii="Arial" w:hAnsi="Arial"/>
                <w:sz w:val="20"/>
              </w:rPr>
              <w:t xml:space="preserve">Matched to DI, α 0.2, λ</w:t>
            </w:r>
            <w:r>
              <w:rPr>
                <w:rFonts w:ascii="Arial" w:hAnsi="Arial"/>
                <w:sz w:val="20"/>
                <w:vertAlign w:val="subscript"/>
              </w:rPr>
              <w:t xml:space="preserve">DD</w:t>
            </w:r>
            <w:r>
              <w:rPr>
                <w:rFonts w:ascii="Arial" w:hAnsi="Arial"/>
                <w:sz w:val="20"/>
              </w:rPr>
              <w:t xml:space="preserve"> </w:t>
            </w:r>
            <w:r>
              <w:rPr>
                <w:rFonts w:ascii="Arial" w:hAnsi="Arial"/>
                <w:sz w:val="20"/>
              </w:rPr>
              <w:t xml:space="preserve">0.666</w:t>
            </w:r>
          </w:p>
        </w:tc>
        <w:tc>
          <w:tcPr>
            <w:tcW w:type="dxa" w:w="2304"/>
          </w:tcPr>
          <w:p>
            <w:pPr>
              <w:pStyle w:val="Compact"/>
            </w:pPr>
            <w:r>
              <w:rPr>
                <w:rFonts w:ascii="Arial" w:hAnsi="Arial"/>
                <w:sz w:val="20"/>
              </w:rPr>
              <w:t xml:space="preserve">1 (loose), 0 (strict)</w:t>
            </w:r>
          </w:p>
        </w:tc>
        <w:tc>
          <w:tcPr>
            <w:tcW w:type="dxa" w:w="4752"/>
          </w:tcPr>
          <w:p>
            <w:pPr>
              <w:pStyle w:val="Compact"/>
            </w:pPr>
          </w:p>
        </w:tc>
        <w:tc>
          <w:tcPr>
            <w:tcW w:type="dxa" w:w="4608"/>
          </w:tcPr>
          <w:p>
            <w:pPr>
              <w:pStyle w:val="Compact"/>
            </w:pPr>
            <w:r>
              <w:rPr>
                <w:rFonts w:ascii="Arial" w:hAnsi="Arial"/>
                <w:sz w:val="20"/>
              </w:rPr>
              <w:t xml:space="preserve">All but the reference: daily losses of 1.0 Gy</w:t>
            </w:r>
            <w:r>
              <w:rPr>
                <w:rFonts w:ascii="Arial" w:hAnsi="Arial"/>
                <w:sz w:val="20"/>
                <w:vertAlign w:val="subscript"/>
              </w:rPr>
              <w:t xml:space="preserve">10</w:t>
            </w:r>
            <w:r>
              <w:rPr>
                <w:rFonts w:ascii="Arial" w:hAnsi="Arial"/>
                <w:sz w:val="20"/>
              </w:rPr>
              <w:t xml:space="preserve"> </w:t>
            </w:r>
            <w:r>
              <w:rPr>
                <w:rFonts w:ascii="Arial" w:hAnsi="Arial"/>
                <w:sz w:val="20"/>
              </w:rPr>
              <w:t xml:space="preserve">or more</w:t>
            </w:r>
          </w:p>
        </w:tc>
      </w:tr>
    </w:tbl>
    <w:p>
      <w:pPr>
        <w:pStyle w:val="CaptionedFigure"/>
      </w:pPr>
      <w:r>
        <w:drawing>
          <wp:inline>
            <wp:extent cx="5334000" cy="4000500"/>
            <wp:effectExtent b="0" l="0" r="0" t="0"/>
            <wp:docPr descr="Number of the 13 regimens with plausible onset, doubling time and daily loss (loose limits) over the grid of tumor α and DD maximum repopulation rate. White: the DD model cannot be calibrated. Markers: current default (circle), λDD matched to DI (triangle), candidate point α 0.30, λDD 0.375 (diamond)." title="" id="12" name="Picture"/>
            <a:graphic>
              <a:graphicData uri="http://schemas.openxmlformats.org/drawingml/2006/picture">
                <pic:pic>
                  <pic:nvPicPr>
                    <pic:cNvPr descr="dd_grid_2026_10_18/fig1_all_criteria_loose.png" id="13" name="Picture"/>
                    <pic:cNvPicPr>
                      <a:picLocks noChangeArrowheads="1" noChangeAspect="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Number of the 13 regimens with plausible onset, doubling time and daily loss (loose limits) over the grid of tumor α and DD maximum repopulation rate. White: the DD model cannot be calibrated. Markers: current default (circle), λ</w:t>
      </w:r>
      <w:r>
        <w:rPr>
          <w:vertAlign w:val="subscript"/>
        </w:rPr>
        <w:t xml:space="preserve">DD</w:t>
      </w:r>
      <w:r>
        <w:t xml:space="preserve"> </w:t>
      </w:r>
      <w:r>
        <w:t xml:space="preserve">matched to DI (triangle), candidate point α 0.30, λ</w:t>
      </w:r>
      <w:r>
        <w:rPr>
          <w:vertAlign w:val="subscript"/>
        </w:rPr>
        <w:t xml:space="preserve">DD</w:t>
      </w:r>
      <w:r>
        <w:t xml:space="preserve"> </w:t>
      </w:r>
      <w:r>
        <w:t xml:space="preserve">0.375 (diamond).</w:t>
      </w:r>
    </w:p>
    <w:p>
      <w:pPr>
        <w:pStyle w:val="BodyText"/>
      </w:pPr>
      <w:r>
        <w:rPr>
          <w:b/>
          <w:bCs/>
        </w:rPr>
        <w:t xml:space="preserve">Why no combination works.</w:t>
      </w:r>
      <w:r>
        <w:t xml:space="preserve"> </w:t>
      </w:r>
      <w:r>
        <w:t xml:space="preserve">The DD onset of a regimen is onset</w:t>
      </w:r>
      <w:r>
        <w:rPr>
          <w:vertAlign w:val="subscript"/>
        </w:rPr>
        <w:t xml:space="preserve">ref</w:t>
      </w:r>
      <w:r>
        <w:t xml:space="preserve"> </w:t>
      </w:r>
      <w:r>
        <w:t xml:space="preserve">× (T/K) / (T/K)</w:t>
      </w:r>
      <w:r>
        <w:rPr>
          <w:vertAlign w:val="subscript"/>
        </w:rPr>
        <w:t xml:space="preserve">ref</w:t>
      </w:r>
      <w:r>
        <w:t xml:space="preserve">. This ratio depends only on the schedule: HYPNO test 0.66, TROG 0.61, HYHOPE 0.56, GORTEC 0.52, CHART 0.35, and 0.86–0.98 for the 5–7-week schedules. α and λ</w:t>
      </w:r>
      <w:r>
        <w:rPr>
          <w:vertAlign w:val="subscript"/>
        </w:rPr>
        <w:t xml:space="preserve">DD</w:t>
      </w:r>
      <w:r>
        <w:t xml:space="preserve"> </w:t>
      </w:r>
      <w:r>
        <w:t xml:space="preserve">move only the reference onset. Keeping short courses from repopulating before about day 18, or before they end, needs a reference onset of about 35 days, the top of the clinical range. The calibration then has to fit the DI loss of the standard course (19 days of DI repopulation) into about 12 days, so DD repopulation must be about 1.6 times faster than DI’s. Regimens with more daily cell killing repopulate faster still. α only trades doubling time against daily loss (loss = rate/α), so it cannot rescue both.</w:t>
      </w:r>
    </w:p>
    <w:bookmarkEnd w:id="14"/>
    <w:bookmarkStart w:id="18" w:name="X3b72e77ce74a39ca0e6bca827883b709c14d1d8"/>
    <w:p>
      <w:pPr>
        <w:pStyle w:val="Heading1"/>
      </w:pPr>
      <w:r>
        <w:t xml:space="preserve">Result 2: doubling time and daily loss first, onset second</w:t>
      </w:r>
    </w:p>
    <w:p>
      <w:pPr>
        <w:pStyle w:val="FirstParagraph"/>
      </w:pPr>
      <w:r>
        <w:t xml:space="preserve">Following the decision to give the repopulation rate and the daily BED loss precedence over onset, the grid was searched for combinations where all 13 regimens have a plausible doubling time and daily loss. Among those, the combinations with the most plausible onsets were preferred.</w:t>
      </w:r>
    </w:p>
    <w:p>
      <w:pPr>
        <w:pStyle w:val="Compact"/>
        <w:numPr>
          <w:ilvl w:val="0"/>
          <w:numId w:val="1002"/>
        </w:numPr>
      </w:pPr>
      <w:r>
        <w:rPr>
          <w:b/>
          <w:bCs/>
        </w:rPr>
        <w:t xml:space="preserve">Loose limits:</w:t>
      </w:r>
      <w:r>
        <w:t xml:space="preserve"> </w:t>
      </w:r>
      <w:r>
        <w:t xml:space="preserve">possible. 109–110 combinations, all in a narrow band: α 0.265–0.405 Gy</w:t>
      </w:r>
      <w:r>
        <w:rPr>
          <w:vertAlign w:val="superscript"/>
        </w:rPr>
        <w:t xml:space="preserve">−1</w:t>
      </w:r>
      <w:r>
        <w:t xml:space="preserve">, λ</w:t>
      </w:r>
      <w:r>
        <w:rPr>
          <w:vertAlign w:val="subscript"/>
        </w:rPr>
        <w:t xml:space="preserve">DD</w:t>
      </w:r>
      <w:r>
        <w:t xml:space="preserve"> </w:t>
      </w:r>
      <w:r>
        <w:t xml:space="preserve">0.352–0.412 per day. Onset is then plausible for at most 9 of 13 regimens.</w:t>
      </w:r>
    </w:p>
    <w:p>
      <w:pPr>
        <w:pStyle w:val="Compact"/>
        <w:numPr>
          <w:ilvl w:val="0"/>
          <w:numId w:val="1002"/>
        </w:numPr>
      </w:pPr>
      <w:r>
        <w:rPr>
          <w:b/>
          <w:bCs/>
        </w:rPr>
        <w:t xml:space="preserve">Strict limits:</w:t>
      </w:r>
      <w:r>
        <w:t xml:space="preserve"> </w:t>
      </w:r>
      <w:r>
        <w:t xml:space="preserve">only degenerate solutions, with λ</w:t>
      </w:r>
      <w:r>
        <w:rPr>
          <w:vertAlign w:val="subscript"/>
        </w:rPr>
        <w:t xml:space="preserve">DD</w:t>
      </w:r>
      <w:r>
        <w:t xml:space="preserve"> </w:t>
      </w:r>
      <w:r>
        <w:t xml:space="preserve">of 22–30 per day and a reference onset of 46.7–47.1 days, so that repopulation starts on the last day of the standard course. These are not meaningful and are not considered further.</w:t>
      </w:r>
    </w:p>
    <w:tbl>
      <w:tblPr>
        <w:tblStyle w:val="Table"/>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W w:w="12960" w:type="dxa"/>
        <w:tblLayout w:type="fixed"/>
      </w:tblPr>
      <w:tblGrid>
        <w:gridCol w:w="1728"/>
        <w:gridCol w:w="2304"/>
        <w:gridCol w:w="2736"/>
        <w:gridCol w:w="2880"/>
        <w:gridCol w:w="3311"/>
      </w:tblGrid>
      <w:tr>
        <w:trPr>
          <w:tblHeader w:val="on"/>
          <w:tblHeader w:val="true"/>
        </w:trPr>
        <w:tc>
          <w:tcPr>
            <w:tcW w:type="dxa" w:w="1728"/>
            <w:vAlign w:val="top"/>
          </w:tcPr>
          <w:p>
            <w:pPr>
              <w:pStyle w:val="Compact"/>
            </w:pPr>
            <w:r>
              <w:rPr>
                <w:rFonts w:ascii="Arial" w:hAnsi="Arial"/>
                <w:b/>
                <w:sz w:val="17"/>
              </w:rPr>
              <w:t xml:space="preserve">α (Gy</w:t>
            </w:r>
            <w:r>
              <w:rPr>
                <w:rFonts w:ascii="Arial" w:hAnsi="Arial"/>
                <w:b/>
                <w:sz w:val="17"/>
                <w:vertAlign w:val="superscript"/>
              </w:rPr>
              <w:t xml:space="preserve">−1</w:t>
            </w:r>
            <w:r>
              <w:rPr>
                <w:rFonts w:ascii="Arial" w:hAnsi="Arial"/>
                <w:b/>
                <w:sz w:val="17"/>
              </w:rPr>
              <w:t xml:space="preserve">)</w:t>
            </w:r>
          </w:p>
        </w:tc>
        <w:tc>
          <w:tcPr>
            <w:tcW w:type="dxa" w:w="2304"/>
            <w:vAlign w:val="top"/>
          </w:tcPr>
          <w:p>
            <w:pPr>
              <w:pStyle w:val="Compact"/>
            </w:pPr>
            <w:r>
              <w:rPr>
                <w:rFonts w:ascii="Arial" w:hAnsi="Arial"/>
                <w:b/>
                <w:sz w:val="17"/>
              </w:rPr>
              <w:t xml:space="preserve">DI daily loss (Gy</w:t>
            </w:r>
            <w:r>
              <w:rPr>
                <w:rFonts w:ascii="Arial" w:hAnsi="Arial"/>
                <w:b/>
                <w:sz w:val="17"/>
                <w:vertAlign w:val="subscript"/>
              </w:rPr>
              <w:t xml:space="preserve">10</w:t>
            </w:r>
            <w:r>
              <w:rPr>
                <w:rFonts w:ascii="Arial" w:hAnsi="Arial"/>
                <w:b/>
                <w:sz w:val="17"/>
              </w:rPr>
              <w:t xml:space="preserve">)</w:t>
            </w:r>
          </w:p>
        </w:tc>
        <w:tc>
          <w:tcPr>
            <w:tcW w:type="dxa" w:w="2736"/>
            <w:vAlign w:val="top"/>
          </w:tcPr>
          <w:p>
            <w:pPr>
              <w:pStyle w:val="Compact"/>
            </w:pPr>
            <w:r>
              <w:rPr>
                <w:rFonts w:ascii="Arial" w:hAnsi="Arial"/>
                <w:b/>
                <w:sz w:val="17"/>
              </w:rPr>
              <w:t xml:space="preserve">λ</w:t>
            </w:r>
            <w:r>
              <w:rPr>
                <w:rFonts w:ascii="Arial" w:hAnsi="Arial"/>
                <w:b/>
                <w:sz w:val="17"/>
                <w:vertAlign w:val="subscript"/>
              </w:rPr>
              <w:t xml:space="preserve">DD</w:t>
            </w:r>
            <w:r>
              <w:rPr>
                <w:rFonts w:ascii="Arial" w:hAnsi="Arial"/>
                <w:b/>
                <w:sz w:val="17"/>
              </w:rPr>
              <w:t xml:space="preserve"> </w:t>
            </w:r>
            <w:r>
              <w:rPr>
                <w:rFonts w:ascii="Arial" w:hAnsi="Arial"/>
                <w:b/>
                <w:sz w:val="17"/>
              </w:rPr>
              <w:t xml:space="preserve">range (per day)</w:t>
            </w:r>
          </w:p>
        </w:tc>
        <w:tc>
          <w:tcPr>
            <w:tcW w:type="dxa" w:w="2880"/>
            <w:vAlign w:val="top"/>
          </w:tcPr>
          <w:p>
            <w:pPr>
              <w:pStyle w:val="Compact"/>
            </w:pPr>
            <w:r>
              <w:rPr>
                <w:rFonts w:ascii="Arial" w:hAnsi="Arial"/>
                <w:b/>
                <w:sz w:val="17"/>
              </w:rPr>
              <w:t xml:space="preserve">DD reference onset (day)</w:t>
            </w:r>
          </w:p>
        </w:tc>
        <w:tc>
          <w:tcPr>
            <w:tcW w:type="dxa" w:w="3312"/>
            <w:vAlign w:val="top"/>
          </w:tcPr>
          <w:p>
            <w:pPr>
              <w:pStyle w:val="Compact"/>
            </w:pPr>
            <w:r>
              <w:rPr>
                <w:rFonts w:ascii="Arial" w:hAnsi="Arial"/>
                <w:b/>
                <w:sz w:val="17"/>
              </w:rPr>
              <w:t xml:space="preserve">Most regimens with plausible onset</w:t>
            </w:r>
          </w:p>
        </w:tc>
      </w:tr>
      <w:tr>
        <w:tc>
          <w:tcPr>
            <w:tcW w:type="dxa" w:w="1728"/>
          </w:tcPr>
          <w:p>
            <w:pPr>
              <w:pStyle w:val="Compact"/>
            </w:pPr>
            <w:r>
              <w:rPr>
                <w:rFonts w:ascii="Arial" w:hAnsi="Arial"/>
                <w:sz w:val="17"/>
              </w:rPr>
              <w:t xml:space="preserve">0.265</w:t>
            </w:r>
          </w:p>
        </w:tc>
        <w:tc>
          <w:tcPr>
            <w:tcW w:type="dxa" w:w="2304"/>
          </w:tcPr>
          <w:p>
            <w:pPr>
              <w:pStyle w:val="Compact"/>
            </w:pPr>
            <w:r>
              <w:rPr>
                <w:rFonts w:ascii="Arial" w:hAnsi="Arial"/>
                <w:sz w:val="17"/>
              </w:rPr>
              <w:t xml:space="preserve">0.75</w:t>
            </w:r>
          </w:p>
        </w:tc>
        <w:tc>
          <w:tcPr>
            <w:tcW w:type="dxa" w:w="2736"/>
          </w:tcPr>
          <w:p>
            <w:pPr>
              <w:pStyle w:val="Compact"/>
            </w:pPr>
            <w:r>
              <w:rPr>
                <w:rFonts w:ascii="Arial" w:hAnsi="Arial"/>
                <w:sz w:val="17"/>
              </w:rPr>
              <w:t xml:space="preserve">0.352</w:t>
            </w:r>
          </w:p>
        </w:tc>
        <w:tc>
          <w:tcPr>
            <w:tcW w:type="dxa" w:w="2880"/>
          </w:tcPr>
          <w:p>
            <w:pPr>
              <w:pStyle w:val="Compact"/>
            </w:pPr>
            <w:r>
              <w:rPr>
                <w:rFonts w:ascii="Arial" w:hAnsi="Arial"/>
                <w:sz w:val="17"/>
              </w:rPr>
              <w:t xml:space="preserve">18.4</w:t>
            </w:r>
          </w:p>
        </w:tc>
        <w:tc>
          <w:tcPr>
            <w:tcW w:type="dxa" w:w="3312"/>
          </w:tcPr>
          <w:p>
            <w:pPr>
              <w:pStyle w:val="Compact"/>
            </w:pPr>
            <w:r>
              <w:rPr>
                <w:rFonts w:ascii="Arial" w:hAnsi="Arial"/>
                <w:sz w:val="17"/>
              </w:rPr>
              <w:t xml:space="preserve">1</w:t>
            </w:r>
          </w:p>
        </w:tc>
      </w:tr>
      <w:tr>
        <w:tc>
          <w:tcPr>
            <w:tcW w:type="dxa" w:w="1728"/>
          </w:tcPr>
          <w:p>
            <w:pPr>
              <w:pStyle w:val="Compact"/>
            </w:pPr>
            <w:r>
              <w:rPr>
                <w:rFonts w:ascii="Arial" w:hAnsi="Arial"/>
                <w:sz w:val="17"/>
              </w:rPr>
              <w:t xml:space="preserve">0.285</w:t>
            </w:r>
          </w:p>
        </w:tc>
        <w:tc>
          <w:tcPr>
            <w:tcW w:type="dxa" w:w="2304"/>
          </w:tcPr>
          <w:p>
            <w:pPr>
              <w:pStyle w:val="Compact"/>
            </w:pPr>
            <w:r>
              <w:rPr>
                <w:rFonts w:ascii="Arial" w:hAnsi="Arial"/>
                <w:sz w:val="17"/>
              </w:rPr>
              <w:t xml:space="preserve">0.70</w:t>
            </w:r>
          </w:p>
        </w:tc>
        <w:tc>
          <w:tcPr>
            <w:tcW w:type="dxa" w:w="2736"/>
          </w:tcPr>
          <w:p>
            <w:pPr>
              <w:pStyle w:val="Compact"/>
            </w:pPr>
            <w:r>
              <w:rPr>
                <w:rFonts w:ascii="Arial" w:hAnsi="Arial"/>
                <w:sz w:val="17"/>
              </w:rPr>
              <w:t xml:space="preserve">0.362–0.367</w:t>
            </w:r>
          </w:p>
        </w:tc>
        <w:tc>
          <w:tcPr>
            <w:tcW w:type="dxa" w:w="2880"/>
          </w:tcPr>
          <w:p>
            <w:pPr>
              <w:pStyle w:val="Compact"/>
            </w:pPr>
            <w:r>
              <w:rPr>
                <w:rFonts w:ascii="Arial" w:hAnsi="Arial"/>
                <w:sz w:val="17"/>
              </w:rPr>
              <w:t xml:space="preserve">20.7–21.1</w:t>
            </w:r>
          </w:p>
        </w:tc>
        <w:tc>
          <w:tcPr>
            <w:tcW w:type="dxa" w:w="3312"/>
          </w:tcPr>
          <w:p>
            <w:pPr>
              <w:pStyle w:val="Compact"/>
            </w:pPr>
            <w:r>
              <w:rPr>
                <w:rFonts w:ascii="Arial" w:hAnsi="Arial"/>
                <w:sz w:val="17"/>
              </w:rPr>
              <w:t xml:space="preserve">7</w:t>
            </w:r>
          </w:p>
        </w:tc>
      </w:tr>
      <w:tr>
        <w:tc>
          <w:tcPr>
            <w:tcW w:type="dxa" w:w="1728"/>
          </w:tcPr>
          <w:p>
            <w:pPr>
              <w:pStyle w:val="Compact"/>
            </w:pPr>
            <w:r>
              <w:rPr>
                <w:rFonts w:ascii="Arial" w:hAnsi="Arial"/>
                <w:sz w:val="17"/>
              </w:rPr>
              <w:t xml:space="preserve">0.305</w:t>
            </w:r>
          </w:p>
        </w:tc>
        <w:tc>
          <w:tcPr>
            <w:tcW w:type="dxa" w:w="2304"/>
          </w:tcPr>
          <w:p>
            <w:pPr>
              <w:pStyle w:val="Compact"/>
            </w:pPr>
            <w:r>
              <w:rPr>
                <w:rFonts w:ascii="Arial" w:hAnsi="Arial"/>
                <w:sz w:val="17"/>
              </w:rPr>
              <w:t xml:space="preserve">0.66</w:t>
            </w:r>
          </w:p>
        </w:tc>
        <w:tc>
          <w:tcPr>
            <w:tcW w:type="dxa" w:w="2736"/>
          </w:tcPr>
          <w:p>
            <w:pPr>
              <w:pStyle w:val="Compact"/>
            </w:pPr>
            <w:r>
              <w:rPr>
                <w:rFonts w:ascii="Arial" w:hAnsi="Arial"/>
                <w:sz w:val="17"/>
              </w:rPr>
              <w:t xml:space="preserve">0.367–0.383</w:t>
            </w:r>
          </w:p>
        </w:tc>
        <w:tc>
          <w:tcPr>
            <w:tcW w:type="dxa" w:w="2880"/>
          </w:tcPr>
          <w:p>
            <w:pPr>
              <w:pStyle w:val="Compact"/>
            </w:pPr>
            <w:r>
              <w:rPr>
                <w:rFonts w:ascii="Arial" w:hAnsi="Arial"/>
                <w:sz w:val="17"/>
              </w:rPr>
              <w:t xml:space="preserve">22.4–23.4</w:t>
            </w:r>
          </w:p>
        </w:tc>
        <w:tc>
          <w:tcPr>
            <w:tcW w:type="dxa" w:w="3312"/>
          </w:tcPr>
          <w:p>
            <w:pPr>
              <w:pStyle w:val="Compact"/>
            </w:pPr>
            <w:r>
              <w:rPr>
                <w:rFonts w:ascii="Arial" w:hAnsi="Arial"/>
                <w:sz w:val="17"/>
              </w:rPr>
              <w:t xml:space="preserve">8</w:t>
            </w:r>
          </w:p>
        </w:tc>
      </w:tr>
      <w:tr>
        <w:tc>
          <w:tcPr>
            <w:tcW w:type="dxa" w:w="1728"/>
          </w:tcPr>
          <w:p>
            <w:pPr>
              <w:pStyle w:val="Compact"/>
            </w:pPr>
            <w:r>
              <w:rPr>
                <w:rFonts w:ascii="Arial" w:hAnsi="Arial"/>
                <w:sz w:val="17"/>
              </w:rPr>
              <w:t xml:space="preserve">0.325</w:t>
            </w:r>
          </w:p>
        </w:tc>
        <w:tc>
          <w:tcPr>
            <w:tcW w:type="dxa" w:w="2304"/>
          </w:tcPr>
          <w:p>
            <w:pPr>
              <w:pStyle w:val="Compact"/>
            </w:pPr>
            <w:r>
              <w:rPr>
                <w:rFonts w:ascii="Arial" w:hAnsi="Arial"/>
                <w:sz w:val="17"/>
              </w:rPr>
              <w:t xml:space="preserve">0.62</w:t>
            </w:r>
          </w:p>
        </w:tc>
        <w:tc>
          <w:tcPr>
            <w:tcW w:type="dxa" w:w="2736"/>
          </w:tcPr>
          <w:p>
            <w:pPr>
              <w:pStyle w:val="Compact"/>
            </w:pPr>
            <w:r>
              <w:rPr>
                <w:rFonts w:ascii="Arial" w:hAnsi="Arial"/>
                <w:sz w:val="17"/>
              </w:rPr>
              <w:t xml:space="preserve">0.373–0.394</w:t>
            </w:r>
          </w:p>
        </w:tc>
        <w:tc>
          <w:tcPr>
            <w:tcW w:type="dxa" w:w="2880"/>
          </w:tcPr>
          <w:p>
            <w:pPr>
              <w:pStyle w:val="Compact"/>
            </w:pPr>
            <w:r>
              <w:rPr>
                <w:rFonts w:ascii="Arial" w:hAnsi="Arial"/>
                <w:sz w:val="17"/>
              </w:rPr>
              <w:t xml:space="preserve">23.8–25.1</w:t>
            </w:r>
          </w:p>
        </w:tc>
        <w:tc>
          <w:tcPr>
            <w:tcW w:type="dxa" w:w="3312"/>
          </w:tcPr>
          <w:p>
            <w:pPr>
              <w:pStyle w:val="Compact"/>
            </w:pPr>
            <w:r>
              <w:rPr>
                <w:rFonts w:ascii="Arial" w:hAnsi="Arial"/>
                <w:sz w:val="17"/>
              </w:rPr>
              <w:t xml:space="preserve">8</w:t>
            </w:r>
          </w:p>
        </w:tc>
      </w:tr>
      <w:tr>
        <w:tc>
          <w:tcPr>
            <w:tcW w:type="dxa" w:w="1728"/>
          </w:tcPr>
          <w:p>
            <w:pPr>
              <w:pStyle w:val="Compact"/>
            </w:pPr>
            <w:r>
              <w:rPr>
                <w:rFonts w:ascii="Arial" w:hAnsi="Arial"/>
                <w:sz w:val="17"/>
              </w:rPr>
              <w:t xml:space="preserve">0.345</w:t>
            </w:r>
          </w:p>
        </w:tc>
        <w:tc>
          <w:tcPr>
            <w:tcW w:type="dxa" w:w="2304"/>
          </w:tcPr>
          <w:p>
            <w:pPr>
              <w:pStyle w:val="Compact"/>
            </w:pPr>
            <w:r>
              <w:rPr>
                <w:rFonts w:ascii="Arial" w:hAnsi="Arial"/>
                <w:sz w:val="17"/>
              </w:rPr>
              <w:t xml:space="preserve">0.58</w:t>
            </w:r>
          </w:p>
        </w:tc>
        <w:tc>
          <w:tcPr>
            <w:tcW w:type="dxa" w:w="2736"/>
          </w:tcPr>
          <w:p>
            <w:pPr>
              <w:pStyle w:val="Compact"/>
            </w:pPr>
            <w:r>
              <w:rPr>
                <w:rFonts w:ascii="Arial" w:hAnsi="Arial"/>
                <w:sz w:val="17"/>
              </w:rPr>
              <w:t xml:space="preserve">0.378–0.412</w:t>
            </w:r>
          </w:p>
        </w:tc>
        <w:tc>
          <w:tcPr>
            <w:tcW w:type="dxa" w:w="2880"/>
          </w:tcPr>
          <w:p>
            <w:pPr>
              <w:pStyle w:val="Compact"/>
            </w:pPr>
            <w:r>
              <w:rPr>
                <w:rFonts w:ascii="Arial" w:hAnsi="Arial"/>
                <w:sz w:val="17"/>
              </w:rPr>
              <w:t xml:space="preserve">25.2–26.9</w:t>
            </w:r>
          </w:p>
        </w:tc>
        <w:tc>
          <w:tcPr>
            <w:tcW w:type="dxa" w:w="3312"/>
          </w:tcPr>
          <w:p>
            <w:pPr>
              <w:pStyle w:val="Compact"/>
            </w:pPr>
            <w:r>
              <w:rPr>
                <w:rFonts w:ascii="Arial" w:hAnsi="Arial"/>
                <w:sz w:val="17"/>
              </w:rPr>
              <w:t xml:space="preserve">8</w:t>
            </w:r>
          </w:p>
        </w:tc>
      </w:tr>
      <w:tr>
        <w:tc>
          <w:tcPr>
            <w:tcW w:type="dxa" w:w="1728"/>
          </w:tcPr>
          <w:p>
            <w:pPr>
              <w:pStyle w:val="Compact"/>
            </w:pPr>
            <w:r>
              <w:rPr>
                <w:rFonts w:ascii="Arial" w:hAnsi="Arial"/>
                <w:sz w:val="17"/>
              </w:rPr>
              <w:t xml:space="preserve">0.365</w:t>
            </w:r>
          </w:p>
        </w:tc>
        <w:tc>
          <w:tcPr>
            <w:tcW w:type="dxa" w:w="2304"/>
          </w:tcPr>
          <w:p>
            <w:pPr>
              <w:pStyle w:val="Compact"/>
            </w:pPr>
            <w:r>
              <w:rPr>
                <w:rFonts w:ascii="Arial" w:hAnsi="Arial"/>
                <w:sz w:val="17"/>
              </w:rPr>
              <w:t xml:space="preserve">0.55</w:t>
            </w:r>
          </w:p>
        </w:tc>
        <w:tc>
          <w:tcPr>
            <w:tcW w:type="dxa" w:w="2736"/>
          </w:tcPr>
          <w:p>
            <w:pPr>
              <w:pStyle w:val="Compact"/>
            </w:pPr>
            <w:r>
              <w:rPr>
                <w:rFonts w:ascii="Arial" w:hAnsi="Arial"/>
                <w:sz w:val="17"/>
              </w:rPr>
              <w:t xml:space="preserve">0.383–0.406</w:t>
            </w:r>
          </w:p>
        </w:tc>
        <w:tc>
          <w:tcPr>
            <w:tcW w:type="dxa" w:w="2880"/>
          </w:tcPr>
          <w:p>
            <w:pPr>
              <w:pStyle w:val="Compact"/>
            </w:pPr>
            <w:r>
              <w:rPr>
                <w:rFonts w:ascii="Arial" w:hAnsi="Arial"/>
                <w:sz w:val="17"/>
              </w:rPr>
              <w:t xml:space="preserve">26.3–27.5</w:t>
            </w:r>
          </w:p>
        </w:tc>
        <w:tc>
          <w:tcPr>
            <w:tcW w:type="dxa" w:w="3312"/>
          </w:tcPr>
          <w:p>
            <w:pPr>
              <w:pStyle w:val="Compact"/>
            </w:pPr>
            <w:r>
              <w:rPr>
                <w:rFonts w:ascii="Arial" w:hAnsi="Arial"/>
                <w:sz w:val="17"/>
              </w:rPr>
              <w:t xml:space="preserve">9</w:t>
            </w:r>
          </w:p>
        </w:tc>
      </w:tr>
      <w:tr>
        <w:tc>
          <w:tcPr>
            <w:tcW w:type="dxa" w:w="1728"/>
          </w:tcPr>
          <w:p>
            <w:pPr>
              <w:pStyle w:val="Compact"/>
            </w:pPr>
            <w:r>
              <w:rPr>
                <w:rFonts w:ascii="Arial" w:hAnsi="Arial"/>
                <w:sz w:val="17"/>
              </w:rPr>
              <w:t xml:space="preserve">0.385</w:t>
            </w:r>
          </w:p>
        </w:tc>
        <w:tc>
          <w:tcPr>
            <w:tcW w:type="dxa" w:w="2304"/>
          </w:tcPr>
          <w:p>
            <w:pPr>
              <w:pStyle w:val="Compact"/>
            </w:pPr>
            <w:r>
              <w:rPr>
                <w:rFonts w:ascii="Arial" w:hAnsi="Arial"/>
                <w:sz w:val="17"/>
              </w:rPr>
              <w:t xml:space="preserve">0.52</w:t>
            </w:r>
          </w:p>
        </w:tc>
        <w:tc>
          <w:tcPr>
            <w:tcW w:type="dxa" w:w="2736"/>
          </w:tcPr>
          <w:p>
            <w:pPr>
              <w:pStyle w:val="Compact"/>
            </w:pPr>
            <w:r>
              <w:rPr>
                <w:rFonts w:ascii="Arial" w:hAnsi="Arial"/>
                <w:sz w:val="17"/>
              </w:rPr>
              <w:t xml:space="preserve">0.389–0.400</w:t>
            </w:r>
          </w:p>
        </w:tc>
        <w:tc>
          <w:tcPr>
            <w:tcW w:type="dxa" w:w="2880"/>
          </w:tcPr>
          <w:p>
            <w:pPr>
              <w:pStyle w:val="Compact"/>
            </w:pPr>
            <w:r>
              <w:rPr>
                <w:rFonts w:ascii="Arial" w:hAnsi="Arial"/>
                <w:sz w:val="17"/>
              </w:rPr>
              <w:t xml:space="preserve">27.4–27.9</w:t>
            </w:r>
          </w:p>
        </w:tc>
        <w:tc>
          <w:tcPr>
            <w:tcW w:type="dxa" w:w="3312"/>
          </w:tcPr>
          <w:p>
            <w:pPr>
              <w:pStyle w:val="Compact"/>
            </w:pPr>
            <w:r>
              <w:rPr>
                <w:rFonts w:ascii="Arial" w:hAnsi="Arial"/>
                <w:sz w:val="17"/>
              </w:rPr>
              <w:t xml:space="preserve">9</w:t>
            </w:r>
          </w:p>
        </w:tc>
      </w:tr>
      <w:tr>
        <w:tc>
          <w:tcPr>
            <w:tcW w:type="dxa" w:w="1728"/>
          </w:tcPr>
          <w:p>
            <w:pPr>
              <w:pStyle w:val="Compact"/>
            </w:pPr>
            <w:r>
              <w:rPr>
                <w:rFonts w:ascii="Arial" w:hAnsi="Arial"/>
                <w:sz w:val="17"/>
              </w:rPr>
              <w:t xml:space="preserve">0.405</w:t>
            </w:r>
          </w:p>
        </w:tc>
        <w:tc>
          <w:tcPr>
            <w:tcW w:type="dxa" w:w="2304"/>
          </w:tcPr>
          <w:p>
            <w:pPr>
              <w:pStyle w:val="Compact"/>
            </w:pPr>
            <w:r>
              <w:rPr>
                <w:rFonts w:ascii="Arial" w:hAnsi="Arial"/>
                <w:sz w:val="17"/>
              </w:rPr>
              <w:t xml:space="preserve">0.49</w:t>
            </w:r>
          </w:p>
        </w:tc>
        <w:tc>
          <w:tcPr>
            <w:tcW w:type="dxa" w:w="2736"/>
          </w:tcPr>
          <w:p>
            <w:pPr>
              <w:pStyle w:val="Compact"/>
            </w:pPr>
            <w:r>
              <w:rPr>
                <w:rFonts w:ascii="Arial" w:hAnsi="Arial"/>
                <w:sz w:val="17"/>
              </w:rPr>
              <w:t xml:space="preserve">0.394</w:t>
            </w:r>
          </w:p>
        </w:tc>
        <w:tc>
          <w:tcPr>
            <w:tcW w:type="dxa" w:w="2880"/>
          </w:tcPr>
          <w:p>
            <w:pPr>
              <w:pStyle w:val="Compact"/>
            </w:pPr>
            <w:r>
              <w:rPr>
                <w:rFonts w:ascii="Arial" w:hAnsi="Arial"/>
                <w:sz w:val="17"/>
              </w:rPr>
              <w:t xml:space="preserve">28.3</w:t>
            </w:r>
          </w:p>
        </w:tc>
        <w:tc>
          <w:tcPr>
            <w:tcW w:type="dxa" w:w="3312"/>
          </w:tcPr>
          <w:p>
            <w:pPr>
              <w:pStyle w:val="Compact"/>
            </w:pPr>
            <w:r>
              <w:rPr>
                <w:rFonts w:ascii="Arial" w:hAnsi="Arial"/>
                <w:sz w:val="17"/>
              </w:rPr>
              <w:t xml:space="preserve">9</w:t>
            </w:r>
          </w:p>
        </w:tc>
      </w:tr>
    </w:tbl>
    <w:p>
      <w:pPr>
        <w:pStyle w:val="BodyText"/>
      </w:pPr>
      <w:r>
        <w:t xml:space="preserve">Along the band, larger α moves every onset later (more plausible) but lowers the DI daily loss from 0.75 to 0.49 Gy</w:t>
      </w:r>
      <w:r>
        <w:rPr>
          <w:vertAlign w:val="subscript"/>
        </w:rPr>
        <w:t xml:space="preserve">10</w:t>
      </w:r>
      <w:r>
        <w:t xml:space="preserve">. The published DI losses (0.65–0.77 Gy</w:t>
      </w:r>
      <w:r>
        <w:rPr>
          <w:vertAlign w:val="subscript"/>
        </w:rPr>
        <w:t xml:space="preserve">10</w:t>
      </w:r>
      <w:r>
        <w:t xml:space="preserve">) correspond to α of about 0.27–0.31 Gy</w:t>
      </w:r>
      <w:r>
        <w:rPr>
          <w:vertAlign w:val="superscript"/>
        </w:rPr>
        <w:t xml:space="preserve">−1</w:t>
      </w:r>
      <w:r>
        <w:t xml:space="preserve">, which also matches the α of 0.3 Gy</w:t>
      </w:r>
      <w:r>
        <w:rPr>
          <w:vertAlign w:val="superscript"/>
        </w:rPr>
        <w:t xml:space="preserve">−1</w:t>
      </w:r>
      <w:r>
        <w:t xml:space="preserve"> </w:t>
      </w:r>
      <w:r>
        <w:t xml:space="preserve">used by Hartley et al. [5] and is close to Fowler’s 0.35 Gy</w:t>
      </w:r>
      <w:r>
        <w:rPr>
          <w:vertAlign w:val="superscript"/>
        </w:rPr>
        <w:t xml:space="preserve">−1</w:t>
      </w:r>
      <w:r>
        <w:t xml:space="preserve"> </w:t>
      </w:r>
      <w:r>
        <w:t xml:space="preserve">[2].</w:t>
      </w:r>
    </w:p>
    <w:p>
      <w:pPr>
        <w:pStyle w:val="CaptionedFigure"/>
      </w:pPr>
      <w:r>
        <w:drawing>
          <wp:inline>
            <wp:extent cx="5334000" cy="4000500"/>
            <wp:effectExtent b="0" l="0" r="0" t="0"/>
            <wp:docPr descr="Number of the 13 regimens with plausible doubling time and daily loss (loose limits, onset not required), zoomed on the plausible band. Markers as in Figure 1." title="" id="16" name="Picture"/>
            <a:graphic>
              <a:graphicData uri="http://schemas.openxmlformats.org/drawingml/2006/picture">
                <pic:pic>
                  <pic:nvPicPr>
                    <pic:cNvPr descr="dd_grid_2026_10_18/fig3_rate_loss_only_zoom.png" id="17" name="Picture"/>
                    <pic:cNvPicPr>
                      <a:picLocks noChangeArrowheads="1" noChangeAspect="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Number of the 13 regimens with plausible doubling time and daily loss (loose limits, onset not required), zoomed on the plausible band. Markers as in Figure 1.</w:t>
      </w:r>
    </w:p>
    <w:bookmarkEnd w:id="18"/>
    <w:bookmarkStart w:id="19" w:name="X03aaf009508f688c1cca3089c9039a07c7e4a2c"/>
    <w:p>
      <w:pPr>
        <w:pStyle w:val="Heading1"/>
      </w:pPr>
      <w:r>
        <w:t xml:space="preserve">Two candidate settings, regimen by regimen</w:t>
      </w:r>
    </w:p>
    <w:p>
      <w:pPr>
        <w:pStyle w:val="FirstParagraph"/>
      </w:pPr>
      <w:r>
        <w:t xml:space="preserve">Candidate 1, α = 0.30 Gy</w:t>
      </w:r>
      <w:r>
        <w:rPr>
          <w:vertAlign w:val="superscript"/>
        </w:rPr>
        <w:t xml:space="preserve">−1</w:t>
      </w:r>
      <w:r>
        <w:t xml:space="preserve"> </w:t>
      </w:r>
      <w:r>
        <w:t xml:space="preserve">and λ</w:t>
      </w:r>
      <w:r>
        <w:rPr>
          <w:vertAlign w:val="subscript"/>
        </w:rPr>
        <w:t xml:space="preserve">DD</w:t>
      </w:r>
      <w:r>
        <w:t xml:space="preserve"> </w:t>
      </w:r>
      <w:r>
        <w:t xml:space="preserve">= 0.375 per day, sits in the middle of the band where the DI daily loss matches the literature (0.67 Gy</w:t>
      </w:r>
      <w:r>
        <w:rPr>
          <w:vertAlign w:val="subscript"/>
        </w:rPr>
        <w:t xml:space="preserve">10</w:t>
      </w:r>
      <w:r>
        <w:t xml:space="preserve">). Its DD reference onset is day 22.6. Candidate 2, α = 0.40 Gy</w:t>
      </w:r>
      <w:r>
        <w:rPr>
          <w:vertAlign w:val="superscript"/>
        </w:rPr>
        <w:t xml:space="preserve">−1</w:t>
      </w:r>
      <w:r>
        <w:t xml:space="preserve"> </w:t>
      </w:r>
      <w:r>
        <w:t xml:space="preserve">and λ</w:t>
      </w:r>
      <w:r>
        <w:rPr>
          <w:vertAlign w:val="subscript"/>
        </w:rPr>
        <w:t xml:space="preserve">DD</w:t>
      </w:r>
      <w:r>
        <w:t xml:space="preserve"> </w:t>
      </w:r>
      <w:r>
        <w:t xml:space="preserve">= 0.394 per day, gives the most plausible onsets but a DI daily loss of only 0.50 Gy</w:t>
      </w:r>
      <w:r>
        <w:rPr>
          <w:vertAlign w:val="subscript"/>
        </w:rPr>
        <w:t xml:space="preserve">10</w:t>
      </w:r>
      <w:r>
        <w:t xml:space="preserve">. Its DD reference onset is day 28.1. In both, every regimen has a doubling time of 2.0–4.5 days and a daily loss of 0.50–0.99 Gy</w:t>
      </w:r>
      <w:r>
        <w:rPr>
          <w:vertAlign w:val="subscript"/>
        </w:rPr>
        <w:t xml:space="preserve">10</w:t>
      </w:r>
      <w:r>
        <w:t xml:space="preserve">. An asterisk marks an onset before day 18.</w:t>
      </w:r>
    </w:p>
    <w:tbl>
      <w:tblPr>
        <w:tblStyle w:val="Table"/>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W w:w="13680" w:type="dxa"/>
        <w:tblLayout w:type="fixed"/>
      </w:tblPr>
      <w:tblGrid>
        <w:gridCol w:w="3168"/>
        <w:gridCol w:w="720"/>
        <w:gridCol w:w="1080"/>
        <w:gridCol w:w="1152"/>
        <w:gridCol w:w="1152"/>
        <w:gridCol w:w="1512"/>
        <w:gridCol w:w="1080"/>
        <w:gridCol w:w="1152"/>
        <w:gridCol w:w="1152"/>
        <w:gridCol w:w="1512"/>
      </w:tblGrid>
      <w:tr>
        <w:trPr>
          <w:tblHeader w:val="on"/>
          <w:tblHeader w:val="true"/>
        </w:trPr>
        <w:tc>
          <w:tcPr>
            <w:tcW w:type="dxa" w:w="3168"/>
            <w:vAlign w:val="top"/>
          </w:tcPr>
          <w:p>
            <w:pPr>
              <w:pStyle w:val="Compact"/>
            </w:pPr>
            <w:r>
              <w:rPr>
                <w:rFonts w:ascii="Arial" w:hAnsi="Arial"/>
                <w:b/>
                <w:sz w:val="17"/>
              </w:rPr>
              <w:t xml:space="preserve">Regimen</w:t>
            </w:r>
          </w:p>
        </w:tc>
        <w:tc>
          <w:tcPr>
            <w:tcW w:type="dxa" w:w="720"/>
            <w:vAlign w:val="top"/>
          </w:tcPr>
          <w:p>
            <w:pPr>
              <w:pStyle w:val="Compact"/>
            </w:pPr>
            <w:r>
              <w:rPr>
                <w:rFonts w:ascii="Arial" w:hAnsi="Arial"/>
                <w:b/>
                <w:sz w:val="17"/>
              </w:rPr>
              <w:t xml:space="preserve">T (d)</w:t>
            </w:r>
          </w:p>
        </w:tc>
        <w:tc>
          <w:tcPr>
            <w:tcW w:type="dxa" w:w="1080"/>
            <w:vAlign w:val="top"/>
          </w:tcPr>
          <w:p>
            <w:pPr>
              <w:pStyle w:val="Compact"/>
            </w:pPr>
            <w:r>
              <w:rPr>
                <w:rFonts w:ascii="Arial" w:hAnsi="Arial"/>
                <w:b/>
                <w:sz w:val="17"/>
              </w:rPr>
              <w:t xml:space="preserve">C1 onset (day)</w:t>
            </w:r>
          </w:p>
        </w:tc>
        <w:tc>
          <w:tcPr>
            <w:tcW w:type="dxa" w:w="1152"/>
            <w:vAlign w:val="top"/>
          </w:tcPr>
          <w:p>
            <w:pPr>
              <w:pStyle w:val="Compact"/>
            </w:pPr>
            <w:r>
              <w:rPr>
                <w:rFonts w:ascii="Arial" w:hAnsi="Arial"/>
                <w:b/>
                <w:sz w:val="17"/>
              </w:rPr>
              <w:t xml:space="preserve">C1 doubling (d)</w:t>
            </w:r>
          </w:p>
        </w:tc>
        <w:tc>
          <w:tcPr>
            <w:tcW w:type="dxa" w:w="1152"/>
            <w:vAlign w:val="top"/>
          </w:tcPr>
          <w:p>
            <w:pPr>
              <w:pStyle w:val="Compact"/>
            </w:pPr>
            <w:r>
              <w:rPr>
                <w:rFonts w:ascii="Arial" w:hAnsi="Arial"/>
                <w:b/>
                <w:sz w:val="17"/>
              </w:rPr>
              <w:t xml:space="preserve">C1 loss (Gy</w:t>
            </w:r>
            <w:r>
              <w:rPr>
                <w:rFonts w:ascii="Arial" w:hAnsi="Arial"/>
                <w:b/>
                <w:sz w:val="17"/>
                <w:vertAlign w:val="subscript"/>
              </w:rPr>
              <w:t xml:space="preserve">10</w:t>
            </w:r>
            <w:r>
              <w:rPr>
                <w:rFonts w:ascii="Arial" w:hAnsi="Arial"/>
                <w:b/>
                <w:sz w:val="17"/>
              </w:rPr>
              <w:t xml:space="preserve">/d)</w:t>
            </w:r>
          </w:p>
        </w:tc>
        <w:tc>
          <w:tcPr>
            <w:tcW w:type="dxa" w:w="1512"/>
            <w:vAlign w:val="top"/>
          </w:tcPr>
          <w:p>
            <w:pPr>
              <w:pStyle w:val="Compact"/>
            </w:pPr>
            <w:r>
              <w:rPr>
                <w:rFonts w:ascii="Arial" w:hAnsi="Arial"/>
                <w:b/>
                <w:sz w:val="17"/>
              </w:rPr>
              <w:t xml:space="preserve">C1 BED</w:t>
            </w:r>
            <w:r>
              <w:rPr>
                <w:rFonts w:ascii="Arial" w:hAnsi="Arial"/>
                <w:b/>
                <w:sz w:val="17"/>
                <w:vertAlign w:val="subscript"/>
              </w:rPr>
              <w:t xml:space="preserve">DI</w:t>
            </w:r>
            <w:r>
              <w:rPr>
                <w:rFonts w:ascii="Arial" w:hAnsi="Arial"/>
                <w:b/>
                <w:sz w:val="17"/>
              </w:rPr>
              <w:t xml:space="preserve"> </w:t>
            </w:r>
            <w:r>
              <w:rPr>
                <w:rFonts w:ascii="Arial" w:hAnsi="Arial"/>
                <w:b/>
                <w:sz w:val="17"/>
              </w:rPr>
              <w:t xml:space="preserve">/ BED</w:t>
            </w:r>
            <w:r>
              <w:rPr>
                <w:rFonts w:ascii="Arial" w:hAnsi="Arial"/>
                <w:b/>
                <w:sz w:val="17"/>
                <w:vertAlign w:val="subscript"/>
              </w:rPr>
              <w:t xml:space="preserve">DD</w:t>
            </w:r>
          </w:p>
        </w:tc>
        <w:tc>
          <w:tcPr>
            <w:tcW w:type="dxa" w:w="1080"/>
            <w:vAlign w:val="top"/>
          </w:tcPr>
          <w:p>
            <w:pPr>
              <w:pStyle w:val="Compact"/>
            </w:pPr>
            <w:r>
              <w:rPr>
                <w:rFonts w:ascii="Arial" w:hAnsi="Arial"/>
                <w:b/>
                <w:sz w:val="17"/>
              </w:rPr>
              <w:t xml:space="preserve">C2 onset (day)</w:t>
            </w:r>
          </w:p>
        </w:tc>
        <w:tc>
          <w:tcPr>
            <w:tcW w:type="dxa" w:w="1152"/>
            <w:vAlign w:val="top"/>
          </w:tcPr>
          <w:p>
            <w:pPr>
              <w:pStyle w:val="Compact"/>
            </w:pPr>
            <w:r>
              <w:rPr>
                <w:rFonts w:ascii="Arial" w:hAnsi="Arial"/>
                <w:b/>
                <w:sz w:val="17"/>
              </w:rPr>
              <w:t xml:space="preserve">C2 doubling (d)</w:t>
            </w:r>
          </w:p>
        </w:tc>
        <w:tc>
          <w:tcPr>
            <w:tcW w:type="dxa" w:w="1152"/>
            <w:vAlign w:val="top"/>
          </w:tcPr>
          <w:p>
            <w:pPr>
              <w:pStyle w:val="Compact"/>
            </w:pPr>
            <w:r>
              <w:rPr>
                <w:rFonts w:ascii="Arial" w:hAnsi="Arial"/>
                <w:b/>
                <w:sz w:val="17"/>
              </w:rPr>
              <w:t xml:space="preserve">C2 loss (Gy</w:t>
            </w:r>
            <w:r>
              <w:rPr>
                <w:rFonts w:ascii="Arial" w:hAnsi="Arial"/>
                <w:b/>
                <w:sz w:val="17"/>
                <w:vertAlign w:val="subscript"/>
              </w:rPr>
              <w:t xml:space="preserve">10</w:t>
            </w:r>
            <w:r>
              <w:rPr>
                <w:rFonts w:ascii="Arial" w:hAnsi="Arial"/>
                <w:b/>
                <w:sz w:val="17"/>
              </w:rPr>
              <w:t xml:space="preserve">/d)</w:t>
            </w:r>
          </w:p>
        </w:tc>
        <w:tc>
          <w:tcPr>
            <w:tcW w:type="dxa" w:w="1512"/>
            <w:vAlign w:val="top"/>
          </w:tcPr>
          <w:p>
            <w:pPr>
              <w:pStyle w:val="Compact"/>
            </w:pPr>
            <w:r>
              <w:rPr>
                <w:rFonts w:ascii="Arial" w:hAnsi="Arial"/>
                <w:b/>
                <w:sz w:val="17"/>
              </w:rPr>
              <w:t xml:space="preserve">C2 BED</w:t>
            </w:r>
            <w:r>
              <w:rPr>
                <w:rFonts w:ascii="Arial" w:hAnsi="Arial"/>
                <w:b/>
                <w:sz w:val="17"/>
                <w:vertAlign w:val="subscript"/>
              </w:rPr>
              <w:t xml:space="preserve">DI</w:t>
            </w:r>
            <w:r>
              <w:rPr>
                <w:rFonts w:ascii="Arial" w:hAnsi="Arial"/>
                <w:b/>
                <w:sz w:val="17"/>
              </w:rPr>
              <w:t xml:space="preserve"> </w:t>
            </w:r>
            <w:r>
              <w:rPr>
                <w:rFonts w:ascii="Arial" w:hAnsi="Arial"/>
                <w:b/>
                <w:sz w:val="17"/>
              </w:rPr>
              <w:t xml:space="preserve">/ BED</w:t>
            </w:r>
            <w:r>
              <w:rPr>
                <w:rFonts w:ascii="Arial" w:hAnsi="Arial"/>
                <w:b/>
                <w:sz w:val="17"/>
                <w:vertAlign w:val="subscript"/>
              </w:rPr>
              <w:t xml:space="preserve">DD</w:t>
            </w:r>
          </w:p>
        </w:tc>
      </w:tr>
      <w:tr>
        <w:tc>
          <w:tcPr>
            <w:tcW w:type="dxa" w:w="3168"/>
          </w:tcPr>
          <w:p>
            <w:pPr>
              <w:pStyle w:val="Compact"/>
            </w:pPr>
            <w:r>
              <w:rPr>
                <w:rFonts w:ascii="Arial" w:hAnsi="Arial"/>
                <w:sz w:val="17"/>
              </w:rPr>
              <w:t xml:space="preserve">A. Standard, 70 Gy/35 fractions</w:t>
            </w:r>
          </w:p>
        </w:tc>
        <w:tc>
          <w:tcPr>
            <w:tcW w:type="dxa" w:w="720"/>
          </w:tcPr>
          <w:p>
            <w:pPr>
              <w:pStyle w:val="Compact"/>
            </w:pPr>
            <w:r>
              <w:rPr>
                <w:rFonts w:ascii="Arial" w:hAnsi="Arial"/>
                <w:sz w:val="17"/>
              </w:rPr>
              <w:t xml:space="preserve">47</w:t>
            </w:r>
          </w:p>
        </w:tc>
        <w:tc>
          <w:tcPr>
            <w:tcW w:type="dxa" w:w="1080"/>
          </w:tcPr>
          <w:p>
            <w:pPr>
              <w:pStyle w:val="Compact"/>
            </w:pPr>
            <w:r>
              <w:rPr>
                <w:rFonts w:ascii="Arial" w:hAnsi="Arial"/>
                <w:sz w:val="17"/>
              </w:rPr>
              <w:t xml:space="preserve">22.6</w:t>
            </w:r>
          </w:p>
        </w:tc>
        <w:tc>
          <w:tcPr>
            <w:tcW w:type="dxa" w:w="1152"/>
          </w:tcPr>
          <w:p>
            <w:pPr>
              <w:pStyle w:val="Compact"/>
            </w:pPr>
            <w:r>
              <w:rPr>
                <w:rFonts w:ascii="Arial" w:hAnsi="Arial"/>
                <w:sz w:val="17"/>
              </w:rPr>
              <w:t xml:space="preserve">4.5</w:t>
            </w:r>
          </w:p>
        </w:tc>
        <w:tc>
          <w:tcPr>
            <w:tcW w:type="dxa" w:w="1152"/>
          </w:tcPr>
          <w:p>
            <w:pPr>
              <w:pStyle w:val="Compact"/>
            </w:pPr>
            <w:r>
              <w:rPr>
                <w:rFonts w:ascii="Arial" w:hAnsi="Arial"/>
                <w:sz w:val="17"/>
              </w:rPr>
              <w:t xml:space="preserve">0.52</w:t>
            </w:r>
          </w:p>
        </w:tc>
        <w:tc>
          <w:tcPr>
            <w:tcW w:type="dxa" w:w="1512"/>
          </w:tcPr>
          <w:p>
            <w:pPr>
              <w:pStyle w:val="Compact"/>
            </w:pPr>
            <w:r>
              <w:rPr>
                <w:rFonts w:ascii="Arial" w:hAnsi="Arial"/>
                <w:sz w:val="17"/>
              </w:rPr>
              <w:t xml:space="preserve">71.3 / 71.3</w:t>
            </w:r>
          </w:p>
        </w:tc>
        <w:tc>
          <w:tcPr>
            <w:tcW w:type="dxa" w:w="1080"/>
          </w:tcPr>
          <w:p>
            <w:pPr>
              <w:pStyle w:val="Compact"/>
            </w:pPr>
            <w:r>
              <w:rPr>
                <w:rFonts w:ascii="Arial" w:hAnsi="Arial"/>
                <w:sz w:val="17"/>
              </w:rPr>
              <w:t xml:space="preserve">28.1</w:t>
            </w:r>
          </w:p>
        </w:tc>
        <w:tc>
          <w:tcPr>
            <w:tcW w:type="dxa" w:w="1152"/>
          </w:tcPr>
          <w:p>
            <w:pPr>
              <w:pStyle w:val="Compact"/>
            </w:pPr>
            <w:r>
              <w:rPr>
                <w:rFonts w:ascii="Arial" w:hAnsi="Arial"/>
                <w:sz w:val="17"/>
              </w:rPr>
              <w:t xml:space="preserve">3.4</w:t>
            </w:r>
          </w:p>
        </w:tc>
        <w:tc>
          <w:tcPr>
            <w:tcW w:type="dxa" w:w="1152"/>
          </w:tcPr>
          <w:p>
            <w:pPr>
              <w:pStyle w:val="Compact"/>
            </w:pPr>
            <w:r>
              <w:rPr>
                <w:rFonts w:ascii="Arial" w:hAnsi="Arial"/>
                <w:sz w:val="17"/>
              </w:rPr>
              <w:t xml:space="preserve">0.50</w:t>
            </w:r>
          </w:p>
        </w:tc>
        <w:tc>
          <w:tcPr>
            <w:tcW w:type="dxa" w:w="1512"/>
          </w:tcPr>
          <w:p>
            <w:pPr>
              <w:pStyle w:val="Compact"/>
            </w:pPr>
            <w:r>
              <w:rPr>
                <w:rFonts w:ascii="Arial" w:hAnsi="Arial"/>
                <w:sz w:val="17"/>
              </w:rPr>
              <w:t xml:space="preserve">74.5 / 74.5</w:t>
            </w:r>
          </w:p>
        </w:tc>
      </w:tr>
      <w:tr>
        <w:tc>
          <w:tcPr>
            <w:tcW w:type="dxa" w:w="3168"/>
          </w:tcPr>
          <w:p>
            <w:pPr>
              <w:pStyle w:val="Compact"/>
            </w:pPr>
            <w:r>
              <w:rPr>
                <w:rFonts w:ascii="Arial" w:hAnsi="Arial"/>
                <w:sz w:val="17"/>
              </w:rPr>
              <w:t xml:space="preserve">B. UK, 65 Gy/30 fractions</w:t>
            </w:r>
          </w:p>
        </w:tc>
        <w:tc>
          <w:tcPr>
            <w:tcW w:type="dxa" w:w="720"/>
          </w:tcPr>
          <w:p>
            <w:pPr>
              <w:pStyle w:val="Compact"/>
            </w:pPr>
            <w:r>
              <w:rPr>
                <w:rFonts w:ascii="Arial" w:hAnsi="Arial"/>
                <w:sz w:val="17"/>
              </w:rPr>
              <w:t xml:space="preserve">40</w:t>
            </w:r>
          </w:p>
        </w:tc>
        <w:tc>
          <w:tcPr>
            <w:tcW w:type="dxa" w:w="1080"/>
          </w:tcPr>
          <w:p>
            <w:pPr>
              <w:pStyle w:val="Compact"/>
            </w:pPr>
            <w:r>
              <w:rPr>
                <w:rFonts w:ascii="Arial" w:hAnsi="Arial"/>
                <w:sz w:val="17"/>
              </w:rPr>
              <w:t xml:space="preserve">20.4</w:t>
            </w:r>
          </w:p>
        </w:tc>
        <w:tc>
          <w:tcPr>
            <w:tcW w:type="dxa" w:w="1152"/>
          </w:tcPr>
          <w:p>
            <w:pPr>
              <w:pStyle w:val="Compact"/>
            </w:pPr>
            <w:r>
              <w:rPr>
                <w:rFonts w:ascii="Arial" w:hAnsi="Arial"/>
                <w:sz w:val="17"/>
              </w:rPr>
              <w:t xml:space="preserve">4.1</w:t>
            </w:r>
          </w:p>
        </w:tc>
        <w:tc>
          <w:tcPr>
            <w:tcW w:type="dxa" w:w="1152"/>
          </w:tcPr>
          <w:p>
            <w:pPr>
              <w:pStyle w:val="Compact"/>
            </w:pPr>
            <w:r>
              <w:rPr>
                <w:rFonts w:ascii="Arial" w:hAnsi="Arial"/>
                <w:sz w:val="17"/>
              </w:rPr>
              <w:t xml:space="preserve">0.56</w:t>
            </w:r>
          </w:p>
        </w:tc>
        <w:tc>
          <w:tcPr>
            <w:tcW w:type="dxa" w:w="1512"/>
          </w:tcPr>
          <w:p>
            <w:pPr>
              <w:pStyle w:val="Compact"/>
            </w:pPr>
            <w:r>
              <w:rPr>
                <w:rFonts w:ascii="Arial" w:hAnsi="Arial"/>
                <w:sz w:val="17"/>
              </w:rPr>
              <w:t xml:space="preserve">71.1 / 68.1</w:t>
            </w:r>
          </w:p>
        </w:tc>
        <w:tc>
          <w:tcPr>
            <w:tcW w:type="dxa" w:w="1080"/>
          </w:tcPr>
          <w:p>
            <w:pPr>
              <w:pStyle w:val="Compact"/>
            </w:pPr>
            <w:r>
              <w:rPr>
                <w:rFonts w:ascii="Arial" w:hAnsi="Arial"/>
                <w:sz w:val="17"/>
              </w:rPr>
              <w:t xml:space="preserve">25.4</w:t>
            </w:r>
          </w:p>
        </w:tc>
        <w:tc>
          <w:tcPr>
            <w:tcW w:type="dxa" w:w="1152"/>
          </w:tcPr>
          <w:p>
            <w:pPr>
              <w:pStyle w:val="Compact"/>
            </w:pPr>
            <w:r>
              <w:rPr>
                <w:rFonts w:ascii="Arial" w:hAnsi="Arial"/>
                <w:sz w:val="17"/>
              </w:rPr>
              <w:t xml:space="preserve">3.2</w:t>
            </w:r>
          </w:p>
        </w:tc>
        <w:tc>
          <w:tcPr>
            <w:tcW w:type="dxa" w:w="1152"/>
          </w:tcPr>
          <w:p>
            <w:pPr>
              <w:pStyle w:val="Compact"/>
            </w:pPr>
            <w:r>
              <w:rPr>
                <w:rFonts w:ascii="Arial" w:hAnsi="Arial"/>
                <w:sz w:val="17"/>
              </w:rPr>
              <w:t xml:space="preserve">0.54</w:t>
            </w:r>
          </w:p>
        </w:tc>
        <w:tc>
          <w:tcPr>
            <w:tcW w:type="dxa" w:w="1512"/>
          </w:tcPr>
          <w:p>
            <w:pPr>
              <w:pStyle w:val="Compact"/>
            </w:pPr>
            <w:r>
              <w:rPr>
                <w:rFonts w:ascii="Arial" w:hAnsi="Arial"/>
                <w:sz w:val="17"/>
              </w:rPr>
              <w:t xml:space="preserve">73.1 / 71.2</w:t>
            </w:r>
          </w:p>
        </w:tc>
      </w:tr>
      <w:tr>
        <w:tc>
          <w:tcPr>
            <w:tcW w:type="dxa" w:w="3168"/>
          </w:tcPr>
          <w:p>
            <w:pPr>
              <w:pStyle w:val="Compact"/>
            </w:pPr>
            <w:r>
              <w:rPr>
                <w:rFonts w:ascii="Arial" w:hAnsi="Arial"/>
                <w:sz w:val="17"/>
              </w:rPr>
              <w:t xml:space="preserve">C. HYPNO control, 66 Gy/33 fractions</w:t>
            </w:r>
          </w:p>
        </w:tc>
        <w:tc>
          <w:tcPr>
            <w:tcW w:type="dxa" w:w="720"/>
          </w:tcPr>
          <w:p>
            <w:pPr>
              <w:pStyle w:val="Compact"/>
            </w:pPr>
            <w:r>
              <w:rPr>
                <w:rFonts w:ascii="Arial" w:hAnsi="Arial"/>
                <w:sz w:val="17"/>
              </w:rPr>
              <w:t xml:space="preserve">38</w:t>
            </w:r>
          </w:p>
        </w:tc>
        <w:tc>
          <w:tcPr>
            <w:tcW w:type="dxa" w:w="1080"/>
          </w:tcPr>
          <w:p>
            <w:pPr>
              <w:pStyle w:val="Compact"/>
            </w:pPr>
            <w:r>
              <w:rPr>
                <w:rFonts w:ascii="Arial" w:hAnsi="Arial"/>
                <w:sz w:val="17"/>
              </w:rPr>
              <w:t xml:space="preserve">19.4</w:t>
            </w:r>
          </w:p>
        </w:tc>
        <w:tc>
          <w:tcPr>
            <w:tcW w:type="dxa" w:w="1152"/>
          </w:tcPr>
          <w:p>
            <w:pPr>
              <w:pStyle w:val="Compact"/>
            </w:pPr>
            <w:r>
              <w:rPr>
                <w:rFonts w:ascii="Arial" w:hAnsi="Arial"/>
                <w:sz w:val="17"/>
              </w:rPr>
              <w:t xml:space="preserve">4.0</w:t>
            </w:r>
          </w:p>
        </w:tc>
        <w:tc>
          <w:tcPr>
            <w:tcW w:type="dxa" w:w="1152"/>
          </w:tcPr>
          <w:p>
            <w:pPr>
              <w:pStyle w:val="Compact"/>
            </w:pPr>
            <w:r>
              <w:rPr>
                <w:rFonts w:ascii="Arial" w:hAnsi="Arial"/>
                <w:sz w:val="17"/>
              </w:rPr>
              <w:t xml:space="preserve">0.58</w:t>
            </w:r>
          </w:p>
        </w:tc>
        <w:tc>
          <w:tcPr>
            <w:tcW w:type="dxa" w:w="1512"/>
          </w:tcPr>
          <w:p>
            <w:pPr>
              <w:pStyle w:val="Compact"/>
            </w:pPr>
            <w:r>
              <w:rPr>
                <w:rFonts w:ascii="Arial" w:hAnsi="Arial"/>
                <w:sz w:val="17"/>
              </w:rPr>
              <w:t xml:space="preserve">72.5 / 68.4</w:t>
            </w:r>
          </w:p>
        </w:tc>
        <w:tc>
          <w:tcPr>
            <w:tcW w:type="dxa" w:w="1080"/>
          </w:tcPr>
          <w:p>
            <w:pPr>
              <w:pStyle w:val="Compact"/>
            </w:pPr>
            <w:r>
              <w:rPr>
                <w:rFonts w:ascii="Arial" w:hAnsi="Arial"/>
                <w:sz w:val="17"/>
              </w:rPr>
              <w:t xml:space="preserve">24.1</w:t>
            </w:r>
          </w:p>
        </w:tc>
        <w:tc>
          <w:tcPr>
            <w:tcW w:type="dxa" w:w="1152"/>
          </w:tcPr>
          <w:p>
            <w:pPr>
              <w:pStyle w:val="Compact"/>
            </w:pPr>
            <w:r>
              <w:rPr>
                <w:rFonts w:ascii="Arial" w:hAnsi="Arial"/>
                <w:sz w:val="17"/>
              </w:rPr>
              <w:t xml:space="preserve">3.1</w:t>
            </w:r>
          </w:p>
        </w:tc>
        <w:tc>
          <w:tcPr>
            <w:tcW w:type="dxa" w:w="1152"/>
          </w:tcPr>
          <w:p>
            <w:pPr>
              <w:pStyle w:val="Compact"/>
            </w:pPr>
            <w:r>
              <w:rPr>
                <w:rFonts w:ascii="Arial" w:hAnsi="Arial"/>
                <w:sz w:val="17"/>
              </w:rPr>
              <w:t xml:space="preserve">0.56</w:t>
            </w:r>
          </w:p>
        </w:tc>
        <w:tc>
          <w:tcPr>
            <w:tcW w:type="dxa" w:w="1512"/>
          </w:tcPr>
          <w:p>
            <w:pPr>
              <w:pStyle w:val="Compact"/>
            </w:pPr>
            <w:r>
              <w:rPr>
                <w:rFonts w:ascii="Arial" w:hAnsi="Arial"/>
                <w:sz w:val="17"/>
              </w:rPr>
              <w:t xml:space="preserve">74.2 / 71.5</w:t>
            </w:r>
          </w:p>
        </w:tc>
      </w:tr>
      <w:tr>
        <w:tc>
          <w:tcPr>
            <w:tcW w:type="dxa" w:w="3168"/>
          </w:tcPr>
          <w:p>
            <w:pPr>
              <w:pStyle w:val="Compact"/>
            </w:pPr>
            <w:r>
              <w:rPr>
                <w:rFonts w:ascii="Arial" w:hAnsi="Arial"/>
                <w:sz w:val="17"/>
              </w:rPr>
              <w:t xml:space="preserve">D. HYPNO test, 55 Gy/20 fractions</w:t>
            </w:r>
          </w:p>
        </w:tc>
        <w:tc>
          <w:tcPr>
            <w:tcW w:type="dxa" w:w="720"/>
          </w:tcPr>
          <w:p>
            <w:pPr>
              <w:pStyle w:val="Compact"/>
            </w:pPr>
            <w:r>
              <w:rPr>
                <w:rFonts w:ascii="Arial" w:hAnsi="Arial"/>
                <w:sz w:val="17"/>
              </w:rPr>
              <w:t xml:space="preserve">26</w:t>
            </w:r>
          </w:p>
        </w:tc>
        <w:tc>
          <w:tcPr>
            <w:tcW w:type="dxa" w:w="1080"/>
          </w:tcPr>
          <w:p>
            <w:pPr>
              <w:pStyle w:val="Compact"/>
            </w:pPr>
            <w:r>
              <w:rPr>
                <w:rFonts w:ascii="Arial" w:hAnsi="Arial"/>
                <w:sz w:val="17"/>
              </w:rPr>
              <w:t xml:space="preserve">15.0*</w:t>
            </w:r>
          </w:p>
        </w:tc>
        <w:tc>
          <w:tcPr>
            <w:tcW w:type="dxa" w:w="1152"/>
          </w:tcPr>
          <w:p>
            <w:pPr>
              <w:pStyle w:val="Compact"/>
            </w:pPr>
            <w:r>
              <w:rPr>
                <w:rFonts w:ascii="Arial" w:hAnsi="Arial"/>
                <w:sz w:val="17"/>
              </w:rPr>
              <w:t xml:space="preserve">3.3</w:t>
            </w:r>
          </w:p>
        </w:tc>
        <w:tc>
          <w:tcPr>
            <w:tcW w:type="dxa" w:w="1152"/>
          </w:tcPr>
          <w:p>
            <w:pPr>
              <w:pStyle w:val="Compact"/>
            </w:pPr>
            <w:r>
              <w:rPr>
                <w:rFonts w:ascii="Arial" w:hAnsi="Arial"/>
                <w:sz w:val="17"/>
              </w:rPr>
              <w:t xml:space="preserve">0.69</w:t>
            </w:r>
          </w:p>
        </w:tc>
        <w:tc>
          <w:tcPr>
            <w:tcW w:type="dxa" w:w="1512"/>
          </w:tcPr>
          <w:p>
            <w:pPr>
              <w:pStyle w:val="Compact"/>
            </w:pPr>
            <w:r>
              <w:rPr>
                <w:rFonts w:ascii="Arial" w:hAnsi="Arial"/>
                <w:sz w:val="17"/>
              </w:rPr>
              <w:t xml:space="preserve">70.1 / 62.5</w:t>
            </w:r>
          </w:p>
        </w:tc>
        <w:tc>
          <w:tcPr>
            <w:tcW w:type="dxa" w:w="1080"/>
          </w:tcPr>
          <w:p>
            <w:pPr>
              <w:pStyle w:val="Compact"/>
            </w:pPr>
            <w:r>
              <w:rPr>
                <w:rFonts w:ascii="Arial" w:hAnsi="Arial"/>
                <w:sz w:val="17"/>
              </w:rPr>
              <w:t xml:space="preserve">18.6</w:t>
            </w:r>
          </w:p>
        </w:tc>
        <w:tc>
          <w:tcPr>
            <w:tcW w:type="dxa" w:w="1152"/>
          </w:tcPr>
          <w:p>
            <w:pPr>
              <w:pStyle w:val="Compact"/>
            </w:pPr>
            <w:r>
              <w:rPr>
                <w:rFonts w:ascii="Arial" w:hAnsi="Arial"/>
                <w:sz w:val="17"/>
              </w:rPr>
              <w:t xml:space="preserve">2.7</w:t>
            </w:r>
          </w:p>
        </w:tc>
        <w:tc>
          <w:tcPr>
            <w:tcW w:type="dxa" w:w="1152"/>
          </w:tcPr>
          <w:p>
            <w:pPr>
              <w:pStyle w:val="Compact"/>
            </w:pPr>
            <w:r>
              <w:rPr>
                <w:rFonts w:ascii="Arial" w:hAnsi="Arial"/>
                <w:sz w:val="17"/>
              </w:rPr>
              <w:t xml:space="preserve">0.65</w:t>
            </w:r>
          </w:p>
        </w:tc>
        <w:tc>
          <w:tcPr>
            <w:tcW w:type="dxa" w:w="1512"/>
          </w:tcPr>
          <w:p>
            <w:pPr>
              <w:pStyle w:val="Compact"/>
            </w:pPr>
            <w:r>
              <w:rPr>
                <w:rFonts w:ascii="Arial" w:hAnsi="Arial"/>
                <w:sz w:val="17"/>
              </w:rPr>
              <w:t xml:space="preserve">70.1 / 65.3</w:t>
            </w:r>
          </w:p>
        </w:tc>
      </w:tr>
      <w:tr>
        <w:tc>
          <w:tcPr>
            <w:tcW w:type="dxa" w:w="3168"/>
          </w:tcPr>
          <w:p>
            <w:pPr>
              <w:pStyle w:val="Compact"/>
            </w:pPr>
            <w:r>
              <w:rPr>
                <w:rFonts w:ascii="Arial" w:hAnsi="Arial"/>
                <w:sz w:val="17"/>
              </w:rPr>
              <w:t xml:space="preserve">E. HYHOPE, 46.5 Gy/15 fractions</w:t>
            </w:r>
          </w:p>
        </w:tc>
        <w:tc>
          <w:tcPr>
            <w:tcW w:type="dxa" w:w="720"/>
          </w:tcPr>
          <w:p>
            <w:pPr>
              <w:pStyle w:val="Compact"/>
            </w:pPr>
            <w:r>
              <w:rPr>
                <w:rFonts w:ascii="Arial" w:hAnsi="Arial"/>
                <w:sz w:val="17"/>
              </w:rPr>
              <w:t xml:space="preserve">19</w:t>
            </w:r>
          </w:p>
        </w:tc>
        <w:tc>
          <w:tcPr>
            <w:tcW w:type="dxa" w:w="1080"/>
          </w:tcPr>
          <w:p>
            <w:pPr>
              <w:pStyle w:val="Compact"/>
            </w:pPr>
            <w:r>
              <w:rPr>
                <w:rFonts w:ascii="Arial" w:hAnsi="Arial"/>
                <w:sz w:val="17"/>
              </w:rPr>
              <w:t xml:space="preserve">12.6*</w:t>
            </w:r>
          </w:p>
        </w:tc>
        <w:tc>
          <w:tcPr>
            <w:tcW w:type="dxa" w:w="1152"/>
          </w:tcPr>
          <w:p>
            <w:pPr>
              <w:pStyle w:val="Compact"/>
            </w:pPr>
            <w:r>
              <w:rPr>
                <w:rFonts w:ascii="Arial" w:hAnsi="Arial"/>
                <w:sz w:val="17"/>
              </w:rPr>
              <w:t xml:space="preserve">3.0</w:t>
            </w:r>
          </w:p>
        </w:tc>
        <w:tc>
          <w:tcPr>
            <w:tcW w:type="dxa" w:w="1152"/>
          </w:tcPr>
          <w:p>
            <w:pPr>
              <w:pStyle w:val="Compact"/>
            </w:pPr>
            <w:r>
              <w:rPr>
                <w:rFonts w:ascii="Arial" w:hAnsi="Arial"/>
                <w:sz w:val="17"/>
              </w:rPr>
              <w:t xml:space="preserve">0.77</w:t>
            </w:r>
          </w:p>
        </w:tc>
        <w:tc>
          <w:tcPr>
            <w:tcW w:type="dxa" w:w="1512"/>
          </w:tcPr>
          <w:p>
            <w:pPr>
              <w:pStyle w:val="Compact"/>
            </w:pPr>
            <w:r>
              <w:rPr>
                <w:rFonts w:ascii="Arial" w:hAnsi="Arial"/>
                <w:sz w:val="17"/>
              </w:rPr>
              <w:t xml:space="preserve">60.9 / 56.0</w:t>
            </w:r>
          </w:p>
        </w:tc>
        <w:tc>
          <w:tcPr>
            <w:tcW w:type="dxa" w:w="1080"/>
          </w:tcPr>
          <w:p>
            <w:pPr>
              <w:pStyle w:val="Compact"/>
            </w:pPr>
            <w:r>
              <w:rPr>
                <w:rFonts w:ascii="Arial" w:hAnsi="Arial"/>
                <w:sz w:val="17"/>
              </w:rPr>
              <w:t xml:space="preserve">15.7*</w:t>
            </w:r>
          </w:p>
        </w:tc>
        <w:tc>
          <w:tcPr>
            <w:tcW w:type="dxa" w:w="1152"/>
          </w:tcPr>
          <w:p>
            <w:pPr>
              <w:pStyle w:val="Compact"/>
            </w:pPr>
            <w:r>
              <w:rPr>
                <w:rFonts w:ascii="Arial" w:hAnsi="Arial"/>
                <w:sz w:val="17"/>
              </w:rPr>
              <w:t xml:space="preserve">2.4</w:t>
            </w:r>
          </w:p>
        </w:tc>
        <w:tc>
          <w:tcPr>
            <w:tcW w:type="dxa" w:w="1152"/>
          </w:tcPr>
          <w:p>
            <w:pPr>
              <w:pStyle w:val="Compact"/>
            </w:pPr>
            <w:r>
              <w:rPr>
                <w:rFonts w:ascii="Arial" w:hAnsi="Arial"/>
                <w:sz w:val="17"/>
              </w:rPr>
              <w:t xml:space="preserve">0.71</w:t>
            </w:r>
          </w:p>
        </w:tc>
        <w:tc>
          <w:tcPr>
            <w:tcW w:type="dxa" w:w="1512"/>
          </w:tcPr>
          <w:p>
            <w:pPr>
              <w:pStyle w:val="Compact"/>
            </w:pPr>
            <w:r>
              <w:rPr>
                <w:rFonts w:ascii="Arial" w:hAnsi="Arial"/>
                <w:sz w:val="17"/>
              </w:rPr>
              <w:t xml:space="preserve">60.9 / 58.5</w:t>
            </w:r>
          </w:p>
        </w:tc>
      </w:tr>
      <w:tr>
        <w:tc>
          <w:tcPr>
            <w:tcW w:type="dxa" w:w="3168"/>
          </w:tcPr>
          <w:p>
            <w:pPr>
              <w:pStyle w:val="Compact"/>
            </w:pPr>
            <w:r>
              <w:rPr>
                <w:rFonts w:ascii="Arial" w:hAnsi="Arial"/>
                <w:sz w:val="17"/>
              </w:rPr>
              <w:t xml:space="preserve">F. DAHANCA 6&amp;7</w:t>
            </w:r>
          </w:p>
        </w:tc>
        <w:tc>
          <w:tcPr>
            <w:tcW w:type="dxa" w:w="720"/>
          </w:tcPr>
          <w:p>
            <w:pPr>
              <w:pStyle w:val="Compact"/>
            </w:pPr>
            <w:r>
              <w:rPr>
                <w:rFonts w:ascii="Arial" w:hAnsi="Arial"/>
                <w:sz w:val="17"/>
              </w:rPr>
              <w:t xml:space="preserve">39</w:t>
            </w:r>
          </w:p>
        </w:tc>
        <w:tc>
          <w:tcPr>
            <w:tcW w:type="dxa" w:w="1080"/>
          </w:tcPr>
          <w:p>
            <w:pPr>
              <w:pStyle w:val="Compact"/>
            </w:pPr>
            <w:r>
              <w:rPr>
                <w:rFonts w:ascii="Arial" w:hAnsi="Arial"/>
                <w:sz w:val="17"/>
              </w:rPr>
              <w:t xml:space="preserve">19.6</w:t>
            </w:r>
          </w:p>
        </w:tc>
        <w:tc>
          <w:tcPr>
            <w:tcW w:type="dxa" w:w="1152"/>
          </w:tcPr>
          <w:p>
            <w:pPr>
              <w:pStyle w:val="Compact"/>
            </w:pPr>
            <w:r>
              <w:rPr>
                <w:rFonts w:ascii="Arial" w:hAnsi="Arial"/>
                <w:sz w:val="17"/>
              </w:rPr>
              <w:t xml:space="preserve">4.0</w:t>
            </w:r>
          </w:p>
        </w:tc>
        <w:tc>
          <w:tcPr>
            <w:tcW w:type="dxa" w:w="1152"/>
          </w:tcPr>
          <w:p>
            <w:pPr>
              <w:pStyle w:val="Compact"/>
            </w:pPr>
            <w:r>
              <w:rPr>
                <w:rFonts w:ascii="Arial" w:hAnsi="Arial"/>
                <w:sz w:val="17"/>
              </w:rPr>
              <w:t xml:space="preserve">0.58</w:t>
            </w:r>
          </w:p>
        </w:tc>
        <w:tc>
          <w:tcPr>
            <w:tcW w:type="dxa" w:w="1512"/>
          </w:tcPr>
          <w:p>
            <w:pPr>
              <w:pStyle w:val="Compact"/>
            </w:pPr>
            <w:r>
              <w:rPr>
                <w:rFonts w:ascii="Arial" w:hAnsi="Arial"/>
                <w:sz w:val="17"/>
              </w:rPr>
              <w:t xml:space="preserve">73.1 / 69.2</w:t>
            </w:r>
          </w:p>
        </w:tc>
        <w:tc>
          <w:tcPr>
            <w:tcW w:type="dxa" w:w="1080"/>
          </w:tcPr>
          <w:p>
            <w:pPr>
              <w:pStyle w:val="Compact"/>
            </w:pPr>
            <w:r>
              <w:rPr>
                <w:rFonts w:ascii="Arial" w:hAnsi="Arial"/>
                <w:sz w:val="17"/>
              </w:rPr>
              <w:t xml:space="preserve">24.4</w:t>
            </w:r>
          </w:p>
        </w:tc>
        <w:tc>
          <w:tcPr>
            <w:tcW w:type="dxa" w:w="1152"/>
          </w:tcPr>
          <w:p>
            <w:pPr>
              <w:pStyle w:val="Compact"/>
            </w:pPr>
            <w:r>
              <w:rPr>
                <w:rFonts w:ascii="Arial" w:hAnsi="Arial"/>
                <w:sz w:val="17"/>
              </w:rPr>
              <w:t xml:space="preserve">3.1</w:t>
            </w:r>
          </w:p>
        </w:tc>
        <w:tc>
          <w:tcPr>
            <w:tcW w:type="dxa" w:w="1152"/>
          </w:tcPr>
          <w:p>
            <w:pPr>
              <w:pStyle w:val="Compact"/>
            </w:pPr>
            <w:r>
              <w:rPr>
                <w:rFonts w:ascii="Arial" w:hAnsi="Arial"/>
                <w:sz w:val="17"/>
              </w:rPr>
              <w:t xml:space="preserve">0.55</w:t>
            </w:r>
          </w:p>
        </w:tc>
        <w:tc>
          <w:tcPr>
            <w:tcW w:type="dxa" w:w="1512"/>
          </w:tcPr>
          <w:p>
            <w:pPr>
              <w:pStyle w:val="Compact"/>
            </w:pPr>
            <w:r>
              <w:rPr>
                <w:rFonts w:ascii="Arial" w:hAnsi="Arial"/>
                <w:sz w:val="17"/>
              </w:rPr>
              <w:t xml:space="preserve">74.9 / 72.3</w:t>
            </w:r>
          </w:p>
        </w:tc>
      </w:tr>
      <w:tr>
        <w:tc>
          <w:tcPr>
            <w:tcW w:type="dxa" w:w="3168"/>
          </w:tcPr>
          <w:p>
            <w:pPr>
              <w:pStyle w:val="Compact"/>
            </w:pPr>
            <w:r>
              <w:rPr>
                <w:rFonts w:ascii="Arial" w:hAnsi="Arial"/>
                <w:sz w:val="17"/>
              </w:rPr>
              <w:t xml:space="preserve">G. CAIR</w:t>
            </w:r>
          </w:p>
        </w:tc>
        <w:tc>
          <w:tcPr>
            <w:tcW w:type="dxa" w:w="720"/>
          </w:tcPr>
          <w:p>
            <w:pPr>
              <w:pStyle w:val="Compact"/>
            </w:pPr>
            <w:r>
              <w:rPr>
                <w:rFonts w:ascii="Arial" w:hAnsi="Arial"/>
                <w:sz w:val="17"/>
              </w:rPr>
              <w:t xml:space="preserve">40</w:t>
            </w:r>
          </w:p>
        </w:tc>
        <w:tc>
          <w:tcPr>
            <w:tcW w:type="dxa" w:w="1080"/>
          </w:tcPr>
          <w:p>
            <w:pPr>
              <w:pStyle w:val="Compact"/>
            </w:pPr>
            <w:r>
              <w:rPr>
                <w:rFonts w:ascii="Arial" w:hAnsi="Arial"/>
                <w:sz w:val="17"/>
              </w:rPr>
              <w:t xml:space="preserve">17.9*</w:t>
            </w:r>
          </w:p>
        </w:tc>
        <w:tc>
          <w:tcPr>
            <w:tcW w:type="dxa" w:w="1152"/>
          </w:tcPr>
          <w:p>
            <w:pPr>
              <w:pStyle w:val="Compact"/>
            </w:pPr>
            <w:r>
              <w:rPr>
                <w:rFonts w:ascii="Arial" w:hAnsi="Arial"/>
                <w:sz w:val="17"/>
              </w:rPr>
              <w:t xml:space="preserve">3.8</w:t>
            </w:r>
          </w:p>
        </w:tc>
        <w:tc>
          <w:tcPr>
            <w:tcW w:type="dxa" w:w="1152"/>
          </w:tcPr>
          <w:p>
            <w:pPr>
              <w:pStyle w:val="Compact"/>
            </w:pPr>
            <w:r>
              <w:rPr>
                <w:rFonts w:ascii="Arial" w:hAnsi="Arial"/>
                <w:sz w:val="17"/>
              </w:rPr>
              <w:t xml:space="preserve">0.62</w:t>
            </w:r>
          </w:p>
        </w:tc>
        <w:tc>
          <w:tcPr>
            <w:tcW w:type="dxa" w:w="1512"/>
          </w:tcPr>
          <w:p>
            <w:pPr>
              <w:pStyle w:val="Compact"/>
            </w:pPr>
            <w:r>
              <w:rPr>
                <w:rFonts w:ascii="Arial" w:hAnsi="Arial"/>
                <w:sz w:val="17"/>
              </w:rPr>
              <w:t xml:space="preserve">82.4 / 76.8</w:t>
            </w:r>
          </w:p>
        </w:tc>
        <w:tc>
          <w:tcPr>
            <w:tcW w:type="dxa" w:w="1080"/>
          </w:tcPr>
          <w:p>
            <w:pPr>
              <w:pStyle w:val="Compact"/>
            </w:pPr>
            <w:r>
              <w:rPr>
                <w:rFonts w:ascii="Arial" w:hAnsi="Arial"/>
                <w:sz w:val="17"/>
              </w:rPr>
              <w:t xml:space="preserve">22.2</w:t>
            </w:r>
          </w:p>
        </w:tc>
        <w:tc>
          <w:tcPr>
            <w:tcW w:type="dxa" w:w="1152"/>
          </w:tcPr>
          <w:p>
            <w:pPr>
              <w:pStyle w:val="Compact"/>
            </w:pPr>
            <w:r>
              <w:rPr>
                <w:rFonts w:ascii="Arial" w:hAnsi="Arial"/>
                <w:sz w:val="17"/>
              </w:rPr>
              <w:t xml:space="preserve">3.0</w:t>
            </w:r>
          </w:p>
        </w:tc>
        <w:tc>
          <w:tcPr>
            <w:tcW w:type="dxa" w:w="1152"/>
          </w:tcPr>
          <w:p>
            <w:pPr>
              <w:pStyle w:val="Compact"/>
            </w:pPr>
            <w:r>
              <w:rPr>
                <w:rFonts w:ascii="Arial" w:hAnsi="Arial"/>
                <w:sz w:val="17"/>
              </w:rPr>
              <w:t xml:space="preserve">0.59</w:t>
            </w:r>
          </w:p>
        </w:tc>
        <w:tc>
          <w:tcPr>
            <w:tcW w:type="dxa" w:w="1512"/>
          </w:tcPr>
          <w:p>
            <w:pPr>
              <w:pStyle w:val="Compact"/>
            </w:pPr>
            <w:r>
              <w:rPr>
                <w:rFonts w:ascii="Arial" w:hAnsi="Arial"/>
                <w:sz w:val="17"/>
              </w:rPr>
              <w:t xml:space="preserve">84.4 / 80.0</w:t>
            </w:r>
          </w:p>
        </w:tc>
      </w:tr>
      <w:tr>
        <w:tc>
          <w:tcPr>
            <w:tcW w:type="dxa" w:w="3168"/>
          </w:tcPr>
          <w:p>
            <w:pPr>
              <w:pStyle w:val="Compact"/>
            </w:pPr>
            <w:r>
              <w:rPr>
                <w:rFonts w:ascii="Arial" w:hAnsi="Arial"/>
                <w:sz w:val="17"/>
              </w:rPr>
              <w:t xml:space="preserve">H. GORTEC very accelerated</w:t>
            </w:r>
          </w:p>
        </w:tc>
        <w:tc>
          <w:tcPr>
            <w:tcW w:type="dxa" w:w="720"/>
          </w:tcPr>
          <w:p>
            <w:pPr>
              <w:pStyle w:val="Compact"/>
            </w:pPr>
            <w:r>
              <w:rPr>
                <w:rFonts w:ascii="Arial" w:hAnsi="Arial"/>
                <w:sz w:val="17"/>
              </w:rPr>
              <w:t xml:space="preserve">22</w:t>
            </w:r>
          </w:p>
        </w:tc>
        <w:tc>
          <w:tcPr>
            <w:tcW w:type="dxa" w:w="1080"/>
          </w:tcPr>
          <w:p>
            <w:pPr>
              <w:pStyle w:val="Compact"/>
            </w:pPr>
            <w:r>
              <w:rPr>
                <w:rFonts w:ascii="Arial" w:hAnsi="Arial"/>
                <w:sz w:val="17"/>
              </w:rPr>
              <w:t xml:space="preserve">11.7*</w:t>
            </w:r>
          </w:p>
        </w:tc>
        <w:tc>
          <w:tcPr>
            <w:tcW w:type="dxa" w:w="1152"/>
          </w:tcPr>
          <w:p>
            <w:pPr>
              <w:pStyle w:val="Compact"/>
            </w:pPr>
            <w:r>
              <w:rPr>
                <w:rFonts w:ascii="Arial" w:hAnsi="Arial"/>
                <w:sz w:val="17"/>
              </w:rPr>
              <w:t xml:space="preserve">2.9</w:t>
            </w:r>
          </w:p>
        </w:tc>
        <w:tc>
          <w:tcPr>
            <w:tcW w:type="dxa" w:w="1152"/>
          </w:tcPr>
          <w:p>
            <w:pPr>
              <w:pStyle w:val="Compact"/>
            </w:pPr>
            <w:r>
              <w:rPr>
                <w:rFonts w:ascii="Arial" w:hAnsi="Arial"/>
                <w:sz w:val="17"/>
              </w:rPr>
              <w:t xml:space="preserve">0.80</w:t>
            </w:r>
          </w:p>
        </w:tc>
        <w:tc>
          <w:tcPr>
            <w:tcW w:type="dxa" w:w="1512"/>
          </w:tcPr>
          <w:p>
            <w:pPr>
              <w:pStyle w:val="Compact"/>
            </w:pPr>
            <w:r>
              <w:rPr>
                <w:rFonts w:ascii="Arial" w:hAnsi="Arial"/>
                <w:sz w:val="17"/>
              </w:rPr>
              <w:t xml:space="preserve">75.6 / 67.4</w:t>
            </w:r>
          </w:p>
        </w:tc>
        <w:tc>
          <w:tcPr>
            <w:tcW w:type="dxa" w:w="1080"/>
          </w:tcPr>
          <w:p>
            <w:pPr>
              <w:pStyle w:val="Compact"/>
            </w:pPr>
            <w:r>
              <w:rPr>
                <w:rFonts w:ascii="Arial" w:hAnsi="Arial"/>
                <w:sz w:val="17"/>
              </w:rPr>
              <w:t xml:space="preserve">14.6*</w:t>
            </w:r>
          </w:p>
        </w:tc>
        <w:tc>
          <w:tcPr>
            <w:tcW w:type="dxa" w:w="1152"/>
          </w:tcPr>
          <w:p>
            <w:pPr>
              <w:pStyle w:val="Compact"/>
            </w:pPr>
            <w:r>
              <w:rPr>
                <w:rFonts w:ascii="Arial" w:hAnsi="Arial"/>
                <w:sz w:val="17"/>
              </w:rPr>
              <w:t xml:space="preserve">2.4</w:t>
            </w:r>
          </w:p>
        </w:tc>
        <w:tc>
          <w:tcPr>
            <w:tcW w:type="dxa" w:w="1152"/>
          </w:tcPr>
          <w:p>
            <w:pPr>
              <w:pStyle w:val="Compact"/>
            </w:pPr>
            <w:r>
              <w:rPr>
                <w:rFonts w:ascii="Arial" w:hAnsi="Arial"/>
                <w:sz w:val="17"/>
              </w:rPr>
              <w:t xml:space="preserve">0.74</w:t>
            </w:r>
          </w:p>
        </w:tc>
        <w:tc>
          <w:tcPr>
            <w:tcW w:type="dxa" w:w="1512"/>
          </w:tcPr>
          <w:p>
            <w:pPr>
              <w:pStyle w:val="Compact"/>
            </w:pPr>
            <w:r>
              <w:rPr>
                <w:rFonts w:ascii="Arial" w:hAnsi="Arial"/>
                <w:sz w:val="17"/>
              </w:rPr>
              <w:t xml:space="preserve">75.6 / 70.2</w:t>
            </w:r>
          </w:p>
        </w:tc>
      </w:tr>
      <w:tr>
        <w:tc>
          <w:tcPr>
            <w:tcW w:type="dxa" w:w="3168"/>
          </w:tcPr>
          <w:p>
            <w:pPr>
              <w:pStyle w:val="Compact"/>
            </w:pPr>
            <w:r>
              <w:rPr>
                <w:rFonts w:ascii="Arial" w:hAnsi="Arial"/>
                <w:sz w:val="17"/>
              </w:rPr>
              <w:t xml:space="preserve">I. TROG accelerated</w:t>
            </w:r>
          </w:p>
        </w:tc>
        <w:tc>
          <w:tcPr>
            <w:tcW w:type="dxa" w:w="720"/>
          </w:tcPr>
          <w:p>
            <w:pPr>
              <w:pStyle w:val="Compact"/>
            </w:pPr>
            <w:r>
              <w:rPr>
                <w:rFonts w:ascii="Arial" w:hAnsi="Arial"/>
                <w:sz w:val="17"/>
              </w:rPr>
              <w:t xml:space="preserve">24</w:t>
            </w:r>
          </w:p>
        </w:tc>
        <w:tc>
          <w:tcPr>
            <w:tcW w:type="dxa" w:w="1080"/>
          </w:tcPr>
          <w:p>
            <w:pPr>
              <w:pStyle w:val="Compact"/>
            </w:pPr>
            <w:r>
              <w:rPr>
                <w:rFonts w:ascii="Arial" w:hAnsi="Arial"/>
                <w:sz w:val="17"/>
              </w:rPr>
              <w:t xml:space="preserve">13.8*</w:t>
            </w:r>
          </w:p>
        </w:tc>
        <w:tc>
          <w:tcPr>
            <w:tcW w:type="dxa" w:w="1152"/>
          </w:tcPr>
          <w:p>
            <w:pPr>
              <w:pStyle w:val="Compact"/>
            </w:pPr>
            <w:r>
              <w:rPr>
                <w:rFonts w:ascii="Arial" w:hAnsi="Arial"/>
                <w:sz w:val="17"/>
              </w:rPr>
              <w:t xml:space="preserve">3.2</w:t>
            </w:r>
          </w:p>
        </w:tc>
        <w:tc>
          <w:tcPr>
            <w:tcW w:type="dxa" w:w="1152"/>
          </w:tcPr>
          <w:p>
            <w:pPr>
              <w:pStyle w:val="Compact"/>
            </w:pPr>
            <w:r>
              <w:rPr>
                <w:rFonts w:ascii="Arial" w:hAnsi="Arial"/>
                <w:sz w:val="17"/>
              </w:rPr>
              <w:t xml:space="preserve">0.73</w:t>
            </w:r>
          </w:p>
        </w:tc>
        <w:tc>
          <w:tcPr>
            <w:tcW w:type="dxa" w:w="1512"/>
          </w:tcPr>
          <w:p>
            <w:pPr>
              <w:pStyle w:val="Compact"/>
            </w:pPr>
            <w:r>
              <w:rPr>
                <w:rFonts w:ascii="Arial" w:hAnsi="Arial"/>
                <w:sz w:val="17"/>
              </w:rPr>
              <w:t xml:space="preserve">70.1 / 62.7</w:t>
            </w:r>
          </w:p>
        </w:tc>
        <w:tc>
          <w:tcPr>
            <w:tcW w:type="dxa" w:w="1080"/>
          </w:tcPr>
          <w:p>
            <w:pPr>
              <w:pStyle w:val="Compact"/>
            </w:pPr>
            <w:r>
              <w:rPr>
                <w:rFonts w:ascii="Arial" w:hAnsi="Arial"/>
                <w:sz w:val="17"/>
              </w:rPr>
              <w:t xml:space="preserve">17.2*</w:t>
            </w:r>
          </w:p>
        </w:tc>
        <w:tc>
          <w:tcPr>
            <w:tcW w:type="dxa" w:w="1152"/>
          </w:tcPr>
          <w:p>
            <w:pPr>
              <w:pStyle w:val="Compact"/>
            </w:pPr>
            <w:r>
              <w:rPr>
                <w:rFonts w:ascii="Arial" w:hAnsi="Arial"/>
                <w:sz w:val="17"/>
              </w:rPr>
              <w:t xml:space="preserve">2.6</w:t>
            </w:r>
          </w:p>
        </w:tc>
        <w:tc>
          <w:tcPr>
            <w:tcW w:type="dxa" w:w="1152"/>
          </w:tcPr>
          <w:p>
            <w:pPr>
              <w:pStyle w:val="Compact"/>
            </w:pPr>
            <w:r>
              <w:rPr>
                <w:rFonts w:ascii="Arial" w:hAnsi="Arial"/>
                <w:sz w:val="17"/>
              </w:rPr>
              <w:t xml:space="preserve">0.68</w:t>
            </w:r>
          </w:p>
        </w:tc>
        <w:tc>
          <w:tcPr>
            <w:tcW w:type="dxa" w:w="1512"/>
          </w:tcPr>
          <w:p>
            <w:pPr>
              <w:pStyle w:val="Compact"/>
            </w:pPr>
            <w:r>
              <w:rPr>
                <w:rFonts w:ascii="Arial" w:hAnsi="Arial"/>
                <w:sz w:val="17"/>
              </w:rPr>
              <w:t xml:space="preserve">70.1 / 65.5</w:t>
            </w:r>
          </w:p>
        </w:tc>
      </w:tr>
      <w:tr>
        <w:tc>
          <w:tcPr>
            <w:tcW w:type="dxa" w:w="3168"/>
          </w:tcPr>
          <w:p>
            <w:pPr>
              <w:pStyle w:val="Compact"/>
            </w:pPr>
            <w:r>
              <w:rPr>
                <w:rFonts w:ascii="Arial" w:hAnsi="Arial"/>
                <w:sz w:val="17"/>
              </w:rPr>
              <w:t xml:space="preserve">J. CHART</w:t>
            </w:r>
          </w:p>
        </w:tc>
        <w:tc>
          <w:tcPr>
            <w:tcW w:type="dxa" w:w="720"/>
          </w:tcPr>
          <w:p>
            <w:pPr>
              <w:pStyle w:val="Compact"/>
            </w:pPr>
            <w:r>
              <w:rPr>
                <w:rFonts w:ascii="Arial" w:hAnsi="Arial"/>
                <w:sz w:val="17"/>
              </w:rPr>
              <w:t xml:space="preserve">12</w:t>
            </w:r>
          </w:p>
        </w:tc>
        <w:tc>
          <w:tcPr>
            <w:tcW w:type="dxa" w:w="1080"/>
          </w:tcPr>
          <w:p>
            <w:pPr>
              <w:pStyle w:val="Compact"/>
            </w:pPr>
            <w:r>
              <w:rPr>
                <w:rFonts w:ascii="Arial" w:hAnsi="Arial"/>
                <w:sz w:val="17"/>
              </w:rPr>
              <w:t xml:space="preserve">7.8*</w:t>
            </w:r>
          </w:p>
        </w:tc>
        <w:tc>
          <w:tcPr>
            <w:tcW w:type="dxa" w:w="1152"/>
          </w:tcPr>
          <w:p>
            <w:pPr>
              <w:pStyle w:val="Compact"/>
            </w:pPr>
            <w:r>
              <w:rPr>
                <w:rFonts w:ascii="Arial" w:hAnsi="Arial"/>
                <w:sz w:val="17"/>
              </w:rPr>
              <w:t xml:space="preserve">2.3</w:t>
            </w:r>
          </w:p>
        </w:tc>
        <w:tc>
          <w:tcPr>
            <w:tcW w:type="dxa" w:w="1152"/>
          </w:tcPr>
          <w:p>
            <w:pPr>
              <w:pStyle w:val="Compact"/>
            </w:pPr>
            <w:r>
              <w:rPr>
                <w:rFonts w:ascii="Arial" w:hAnsi="Arial"/>
                <w:sz w:val="17"/>
              </w:rPr>
              <w:t xml:space="preserve">0.99</w:t>
            </w:r>
          </w:p>
        </w:tc>
        <w:tc>
          <w:tcPr>
            <w:tcW w:type="dxa" w:w="1512"/>
          </w:tcPr>
          <w:p>
            <w:pPr>
              <w:pStyle w:val="Compact"/>
            </w:pPr>
            <w:r>
              <w:rPr>
                <w:rFonts w:ascii="Arial" w:hAnsi="Arial"/>
                <w:sz w:val="17"/>
              </w:rPr>
              <w:t xml:space="preserve">62.1 / 58.0</w:t>
            </w:r>
          </w:p>
        </w:tc>
        <w:tc>
          <w:tcPr>
            <w:tcW w:type="dxa" w:w="1080"/>
          </w:tcPr>
          <w:p>
            <w:pPr>
              <w:pStyle w:val="Compact"/>
            </w:pPr>
            <w:r>
              <w:rPr>
                <w:rFonts w:ascii="Arial" w:hAnsi="Arial"/>
                <w:sz w:val="17"/>
              </w:rPr>
              <w:t xml:space="preserve">9.7*</w:t>
            </w:r>
          </w:p>
        </w:tc>
        <w:tc>
          <w:tcPr>
            <w:tcW w:type="dxa" w:w="1152"/>
          </w:tcPr>
          <w:p>
            <w:pPr>
              <w:pStyle w:val="Compact"/>
            </w:pPr>
            <w:r>
              <w:rPr>
                <w:rFonts w:ascii="Arial" w:hAnsi="Arial"/>
                <w:sz w:val="17"/>
              </w:rPr>
              <w:t xml:space="preserve">2.0</w:t>
            </w:r>
          </w:p>
        </w:tc>
        <w:tc>
          <w:tcPr>
            <w:tcW w:type="dxa" w:w="1152"/>
          </w:tcPr>
          <w:p>
            <w:pPr>
              <w:pStyle w:val="Compact"/>
            </w:pPr>
            <w:r>
              <w:rPr>
                <w:rFonts w:ascii="Arial" w:hAnsi="Arial"/>
                <w:sz w:val="17"/>
              </w:rPr>
              <w:t xml:space="preserve">0.86</w:t>
            </w:r>
          </w:p>
        </w:tc>
        <w:tc>
          <w:tcPr>
            <w:tcW w:type="dxa" w:w="1512"/>
          </w:tcPr>
          <w:p>
            <w:pPr>
              <w:pStyle w:val="Compact"/>
            </w:pPr>
            <w:r>
              <w:rPr>
                <w:rFonts w:ascii="Arial" w:hAnsi="Arial"/>
                <w:sz w:val="17"/>
              </w:rPr>
              <w:t xml:space="preserve">62.1 / 60.1</w:t>
            </w:r>
          </w:p>
        </w:tc>
      </w:tr>
      <w:tr>
        <w:tc>
          <w:tcPr>
            <w:tcW w:type="dxa" w:w="3168"/>
          </w:tcPr>
          <w:p>
            <w:pPr>
              <w:pStyle w:val="Compact"/>
            </w:pPr>
            <w:r>
              <w:rPr>
                <w:rFonts w:ascii="Arial" w:hAnsi="Arial"/>
                <w:sz w:val="17"/>
              </w:rPr>
              <w:t xml:space="preserve">K. RTOG 9003 concomitant boost</w:t>
            </w:r>
          </w:p>
        </w:tc>
        <w:tc>
          <w:tcPr>
            <w:tcW w:type="dxa" w:w="720"/>
          </w:tcPr>
          <w:p>
            <w:pPr>
              <w:pStyle w:val="Compact"/>
            </w:pPr>
            <w:r>
              <w:rPr>
                <w:rFonts w:ascii="Arial" w:hAnsi="Arial"/>
                <w:sz w:val="17"/>
              </w:rPr>
              <w:t xml:space="preserve">43</w:t>
            </w:r>
          </w:p>
        </w:tc>
        <w:tc>
          <w:tcPr>
            <w:tcW w:type="dxa" w:w="1080"/>
          </w:tcPr>
          <w:p>
            <w:pPr>
              <w:pStyle w:val="Compact"/>
            </w:pPr>
            <w:r>
              <w:rPr>
                <w:rFonts w:ascii="Arial" w:hAnsi="Arial"/>
                <w:sz w:val="17"/>
              </w:rPr>
              <w:t xml:space="preserve">20.8</w:t>
            </w:r>
          </w:p>
        </w:tc>
        <w:tc>
          <w:tcPr>
            <w:tcW w:type="dxa" w:w="1152"/>
          </w:tcPr>
          <w:p>
            <w:pPr>
              <w:pStyle w:val="Compact"/>
            </w:pPr>
            <w:r>
              <w:rPr>
                <w:rFonts w:ascii="Arial" w:hAnsi="Arial"/>
                <w:sz w:val="17"/>
              </w:rPr>
              <w:t xml:space="preserve">4.2</w:t>
            </w:r>
          </w:p>
        </w:tc>
        <w:tc>
          <w:tcPr>
            <w:tcW w:type="dxa" w:w="1152"/>
          </w:tcPr>
          <w:p>
            <w:pPr>
              <w:pStyle w:val="Compact"/>
            </w:pPr>
            <w:r>
              <w:rPr>
                <w:rFonts w:ascii="Arial" w:hAnsi="Arial"/>
                <w:sz w:val="17"/>
              </w:rPr>
              <w:t xml:space="preserve">0.55</w:t>
            </w:r>
          </w:p>
        </w:tc>
        <w:tc>
          <w:tcPr>
            <w:tcW w:type="dxa" w:w="1512"/>
          </w:tcPr>
          <w:p>
            <w:pPr>
              <w:pStyle w:val="Compact"/>
            </w:pPr>
            <w:r>
              <w:rPr>
                <w:rFonts w:ascii="Arial" w:hAnsi="Arial"/>
                <w:sz w:val="17"/>
              </w:rPr>
              <w:t xml:space="preserve">73.5 / 71.3</w:t>
            </w:r>
          </w:p>
        </w:tc>
        <w:tc>
          <w:tcPr>
            <w:tcW w:type="dxa" w:w="1080"/>
          </w:tcPr>
          <w:p>
            <w:pPr>
              <w:pStyle w:val="Compact"/>
            </w:pPr>
            <w:r>
              <w:rPr>
                <w:rFonts w:ascii="Arial" w:hAnsi="Arial"/>
                <w:sz w:val="17"/>
              </w:rPr>
              <w:t xml:space="preserve">25.9</w:t>
            </w:r>
          </w:p>
        </w:tc>
        <w:tc>
          <w:tcPr>
            <w:tcW w:type="dxa" w:w="1152"/>
          </w:tcPr>
          <w:p>
            <w:pPr>
              <w:pStyle w:val="Compact"/>
            </w:pPr>
            <w:r>
              <w:rPr>
                <w:rFonts w:ascii="Arial" w:hAnsi="Arial"/>
                <w:sz w:val="17"/>
              </w:rPr>
              <w:t xml:space="preserve">3.3</w:t>
            </w:r>
          </w:p>
        </w:tc>
        <w:tc>
          <w:tcPr>
            <w:tcW w:type="dxa" w:w="1152"/>
          </w:tcPr>
          <w:p>
            <w:pPr>
              <w:pStyle w:val="Compact"/>
            </w:pPr>
            <w:r>
              <w:rPr>
                <w:rFonts w:ascii="Arial" w:hAnsi="Arial"/>
                <w:sz w:val="17"/>
              </w:rPr>
              <w:t xml:space="preserve">0.53</w:t>
            </w:r>
          </w:p>
        </w:tc>
        <w:tc>
          <w:tcPr>
            <w:tcW w:type="dxa" w:w="1512"/>
          </w:tcPr>
          <w:p>
            <w:pPr>
              <w:pStyle w:val="Compact"/>
            </w:pPr>
            <w:r>
              <w:rPr>
                <w:rFonts w:ascii="Arial" w:hAnsi="Arial"/>
                <w:sz w:val="17"/>
              </w:rPr>
              <w:t xml:space="preserve">76.0 / 74.4</w:t>
            </w:r>
          </w:p>
        </w:tc>
      </w:tr>
      <w:tr>
        <w:tc>
          <w:tcPr>
            <w:tcW w:type="dxa" w:w="3168"/>
          </w:tcPr>
          <w:p>
            <w:pPr>
              <w:pStyle w:val="Compact"/>
            </w:pPr>
            <w:r>
              <w:rPr>
                <w:rFonts w:ascii="Arial" w:hAnsi="Arial"/>
                <w:sz w:val="17"/>
              </w:rPr>
              <w:t xml:space="preserve">L. RTOG 9003 hyperfractionation</w:t>
            </w:r>
          </w:p>
        </w:tc>
        <w:tc>
          <w:tcPr>
            <w:tcW w:type="dxa" w:w="720"/>
          </w:tcPr>
          <w:p>
            <w:pPr>
              <w:pStyle w:val="Compact"/>
            </w:pPr>
            <w:r>
              <w:rPr>
                <w:rFonts w:ascii="Arial" w:hAnsi="Arial"/>
                <w:sz w:val="17"/>
              </w:rPr>
              <w:t xml:space="preserve">50</w:t>
            </w:r>
          </w:p>
        </w:tc>
        <w:tc>
          <w:tcPr>
            <w:tcW w:type="dxa" w:w="1080"/>
          </w:tcPr>
          <w:p>
            <w:pPr>
              <w:pStyle w:val="Compact"/>
            </w:pPr>
            <w:r>
              <w:rPr>
                <w:rFonts w:ascii="Arial" w:hAnsi="Arial"/>
                <w:sz w:val="17"/>
              </w:rPr>
              <w:t xml:space="preserve">22.1</w:t>
            </w:r>
          </w:p>
        </w:tc>
        <w:tc>
          <w:tcPr>
            <w:tcW w:type="dxa" w:w="1152"/>
          </w:tcPr>
          <w:p>
            <w:pPr>
              <w:pStyle w:val="Compact"/>
            </w:pPr>
            <w:r>
              <w:rPr>
                <w:rFonts w:ascii="Arial" w:hAnsi="Arial"/>
                <w:sz w:val="17"/>
              </w:rPr>
              <w:t xml:space="preserve">4.4</w:t>
            </w:r>
          </w:p>
        </w:tc>
        <w:tc>
          <w:tcPr>
            <w:tcW w:type="dxa" w:w="1152"/>
          </w:tcPr>
          <w:p>
            <w:pPr>
              <w:pStyle w:val="Compact"/>
            </w:pPr>
            <w:r>
              <w:rPr>
                <w:rFonts w:ascii="Arial" w:hAnsi="Arial"/>
                <w:sz w:val="17"/>
              </w:rPr>
              <w:t xml:space="preserve">0.53</w:t>
            </w:r>
          </w:p>
        </w:tc>
        <w:tc>
          <w:tcPr>
            <w:tcW w:type="dxa" w:w="1512"/>
          </w:tcPr>
          <w:p>
            <w:pPr>
              <w:pStyle w:val="Compact"/>
            </w:pPr>
            <w:r>
              <w:rPr>
                <w:rFonts w:ascii="Arial" w:hAnsi="Arial"/>
                <w:sz w:val="17"/>
              </w:rPr>
              <w:t xml:space="preserve">76.7 / 76.7</w:t>
            </w:r>
          </w:p>
        </w:tc>
        <w:tc>
          <w:tcPr>
            <w:tcW w:type="dxa" w:w="1080"/>
          </w:tcPr>
          <w:p>
            <w:pPr>
              <w:pStyle w:val="Compact"/>
            </w:pPr>
            <w:r>
              <w:rPr>
                <w:rFonts w:ascii="Arial" w:hAnsi="Arial"/>
                <w:sz w:val="17"/>
              </w:rPr>
              <w:t xml:space="preserve">27.5</w:t>
            </w:r>
          </w:p>
        </w:tc>
        <w:tc>
          <w:tcPr>
            <w:tcW w:type="dxa" w:w="1152"/>
          </w:tcPr>
          <w:p>
            <w:pPr>
              <w:pStyle w:val="Compact"/>
            </w:pPr>
            <w:r>
              <w:rPr>
                <w:rFonts w:ascii="Arial" w:hAnsi="Arial"/>
                <w:sz w:val="17"/>
              </w:rPr>
              <w:t xml:space="preserve">3.4</w:t>
            </w:r>
          </w:p>
        </w:tc>
        <w:tc>
          <w:tcPr>
            <w:tcW w:type="dxa" w:w="1152"/>
          </w:tcPr>
          <w:p>
            <w:pPr>
              <w:pStyle w:val="Compact"/>
            </w:pPr>
            <w:r>
              <w:rPr>
                <w:rFonts w:ascii="Arial" w:hAnsi="Arial"/>
                <w:sz w:val="17"/>
              </w:rPr>
              <w:t xml:space="preserve">0.51</w:t>
            </w:r>
          </w:p>
        </w:tc>
        <w:tc>
          <w:tcPr>
            <w:tcW w:type="dxa" w:w="1512"/>
          </w:tcPr>
          <w:p>
            <w:pPr>
              <w:pStyle w:val="Compact"/>
            </w:pPr>
            <w:r>
              <w:rPr>
                <w:rFonts w:ascii="Arial" w:hAnsi="Arial"/>
                <w:sz w:val="17"/>
              </w:rPr>
              <w:t xml:space="preserve">80.4 / 79.9</w:t>
            </w:r>
          </w:p>
        </w:tc>
      </w:tr>
      <w:tr>
        <w:tc>
          <w:tcPr>
            <w:tcW w:type="dxa" w:w="3168"/>
          </w:tcPr>
          <w:p>
            <w:pPr>
              <w:pStyle w:val="Compact"/>
            </w:pPr>
            <w:r>
              <w:rPr>
                <w:rFonts w:ascii="Arial" w:hAnsi="Arial"/>
                <w:sz w:val="17"/>
              </w:rPr>
              <w:t xml:space="preserve">M. EORTC 22791 hyperfractionation</w:t>
            </w:r>
          </w:p>
        </w:tc>
        <w:tc>
          <w:tcPr>
            <w:tcW w:type="dxa" w:w="720"/>
          </w:tcPr>
          <w:p>
            <w:pPr>
              <w:pStyle w:val="Compact"/>
            </w:pPr>
            <w:r>
              <w:rPr>
                <w:rFonts w:ascii="Arial" w:hAnsi="Arial"/>
                <w:sz w:val="17"/>
              </w:rPr>
              <w:t xml:space="preserve">51</w:t>
            </w:r>
          </w:p>
        </w:tc>
        <w:tc>
          <w:tcPr>
            <w:tcW w:type="dxa" w:w="1080"/>
          </w:tcPr>
          <w:p>
            <w:pPr>
              <w:pStyle w:val="Compact"/>
            </w:pPr>
            <w:r>
              <w:rPr>
                <w:rFonts w:ascii="Arial" w:hAnsi="Arial"/>
                <w:sz w:val="17"/>
              </w:rPr>
              <w:t xml:space="preserve">21.9</w:t>
            </w:r>
          </w:p>
        </w:tc>
        <w:tc>
          <w:tcPr>
            <w:tcW w:type="dxa" w:w="1152"/>
          </w:tcPr>
          <w:p>
            <w:pPr>
              <w:pStyle w:val="Compact"/>
            </w:pPr>
            <w:r>
              <w:rPr>
                <w:rFonts w:ascii="Arial" w:hAnsi="Arial"/>
                <w:sz w:val="17"/>
              </w:rPr>
              <w:t xml:space="preserve">4.3</w:t>
            </w:r>
          </w:p>
        </w:tc>
        <w:tc>
          <w:tcPr>
            <w:tcW w:type="dxa" w:w="1152"/>
          </w:tcPr>
          <w:p>
            <w:pPr>
              <w:pStyle w:val="Compact"/>
            </w:pPr>
            <w:r>
              <w:rPr>
                <w:rFonts w:ascii="Arial" w:hAnsi="Arial"/>
                <w:sz w:val="17"/>
              </w:rPr>
              <w:t xml:space="preserve">0.53</w:t>
            </w:r>
          </w:p>
        </w:tc>
        <w:tc>
          <w:tcPr>
            <w:tcW w:type="dxa" w:w="1512"/>
          </w:tcPr>
          <w:p>
            <w:pPr>
              <w:pStyle w:val="Compact"/>
            </w:pPr>
            <w:r>
              <w:rPr>
                <w:rFonts w:ascii="Arial" w:hAnsi="Arial"/>
                <w:sz w:val="17"/>
              </w:rPr>
              <w:t xml:space="preserve">78.7 / 78.6</w:t>
            </w:r>
          </w:p>
        </w:tc>
        <w:tc>
          <w:tcPr>
            <w:tcW w:type="dxa" w:w="1080"/>
          </w:tcPr>
          <w:p>
            <w:pPr>
              <w:pStyle w:val="Compact"/>
            </w:pPr>
            <w:r>
              <w:rPr>
                <w:rFonts w:ascii="Arial" w:hAnsi="Arial"/>
                <w:sz w:val="17"/>
              </w:rPr>
              <w:t xml:space="preserve">27.2</w:t>
            </w:r>
          </w:p>
        </w:tc>
        <w:tc>
          <w:tcPr>
            <w:tcW w:type="dxa" w:w="1152"/>
          </w:tcPr>
          <w:p>
            <w:pPr>
              <w:pStyle w:val="Compact"/>
            </w:pPr>
            <w:r>
              <w:rPr>
                <w:rFonts w:ascii="Arial" w:hAnsi="Arial"/>
                <w:sz w:val="17"/>
              </w:rPr>
              <w:t xml:space="preserve">3.4</w:t>
            </w:r>
          </w:p>
        </w:tc>
        <w:tc>
          <w:tcPr>
            <w:tcW w:type="dxa" w:w="1152"/>
          </w:tcPr>
          <w:p>
            <w:pPr>
              <w:pStyle w:val="Compact"/>
            </w:pPr>
            <w:r>
              <w:rPr>
                <w:rFonts w:ascii="Arial" w:hAnsi="Arial"/>
                <w:sz w:val="17"/>
              </w:rPr>
              <w:t xml:space="preserve">0.51</w:t>
            </w:r>
          </w:p>
        </w:tc>
        <w:tc>
          <w:tcPr>
            <w:tcW w:type="dxa" w:w="1512"/>
          </w:tcPr>
          <w:p>
            <w:pPr>
              <w:pStyle w:val="Compact"/>
            </w:pPr>
            <w:r>
              <w:rPr>
                <w:rFonts w:ascii="Arial" w:hAnsi="Arial"/>
                <w:sz w:val="17"/>
              </w:rPr>
              <w:t xml:space="preserve">82.6 / 81.9</w:t>
            </w:r>
          </w:p>
        </w:tc>
      </w:tr>
    </w:tbl>
    <w:bookmarkEnd w:id="19"/>
    <w:bookmarkStart w:id="20" w:name="comparison-with-the-trial-results"/>
    <w:p>
      <w:pPr>
        <w:pStyle w:val="Heading1"/>
      </w:pPr>
      <w:r>
        <w:t xml:space="preserve">Comparison with the trial results</w:t>
      </w:r>
    </w:p>
    <w:p>
      <w:pPr>
        <w:pStyle w:val="FirstParagraph"/>
      </w:pPr>
      <w:r>
        <w:t xml:space="preserve">Differences from each trial’s own control arm (Gy</w:t>
      </w:r>
      <w:r>
        <w:rPr>
          <w:vertAlign w:val="subscript"/>
        </w:rPr>
        <w:t xml:space="preserve">10</w:t>
      </w:r>
      <w:r>
        <w:t xml:space="preserve">), next to the observed difference in tumor control as tabulated in Shuryak et al. 2018, Table 1 [1] (HYPNO: within 1.4 percentage points at 3 years [4]).</w:t>
      </w:r>
    </w:p>
    <w:tbl>
      <w:tblPr>
        <w:tblStyle w:val="Table"/>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W w:w="14256" w:type="dxa"/>
        <w:tblLayout w:type="fixed"/>
      </w:tblPr>
      <w:tblGrid>
        <w:gridCol w:w="3744"/>
        <w:gridCol w:w="2304"/>
        <w:gridCol w:w="2736"/>
        <w:gridCol w:w="2736"/>
        <w:gridCol w:w="2736"/>
      </w:tblGrid>
      <w:tr>
        <w:trPr>
          <w:tblHeader w:val="on"/>
          <w:tblHeader w:val="true"/>
        </w:trPr>
        <w:tc>
          <w:tcPr>
            <w:tcW w:type="dxa" w:w="3744"/>
            <w:vAlign w:val="top"/>
          </w:tcPr>
          <w:p>
            <w:pPr>
              <w:pStyle w:val="Compact"/>
            </w:pPr>
            <w:r>
              <w:rPr>
                <w:rFonts w:ascii="Arial" w:hAnsi="Arial"/>
                <w:b/>
                <w:sz w:val="17"/>
              </w:rPr>
              <w:t xml:space="preserve">Trial arm</w:t>
            </w:r>
          </w:p>
        </w:tc>
        <w:tc>
          <w:tcPr>
            <w:tcW w:type="dxa" w:w="2304"/>
            <w:vAlign w:val="top"/>
          </w:tcPr>
          <w:p>
            <w:pPr>
              <w:pStyle w:val="Compact"/>
            </w:pPr>
            <w:r>
              <w:rPr>
                <w:rFonts w:ascii="Arial" w:hAnsi="Arial"/>
                <w:b/>
                <w:sz w:val="17"/>
              </w:rPr>
              <w:t xml:space="preserve">Observed Δ tumor control (points)</w:t>
            </w:r>
          </w:p>
        </w:tc>
        <w:tc>
          <w:tcPr>
            <w:tcW w:type="dxa" w:w="2736"/>
            <w:vAlign w:val="top"/>
          </w:tcPr>
          <w:p>
            <w:pPr>
              <w:pStyle w:val="Compact"/>
            </w:pPr>
            <w:r>
              <w:rPr>
                <w:rFonts w:ascii="Arial" w:hAnsi="Arial"/>
                <w:b/>
                <w:sz w:val="17"/>
              </w:rPr>
              <w:t xml:space="preserve">Default (α 0.2, λ</w:t>
            </w:r>
            <w:r>
              <w:rPr>
                <w:rFonts w:ascii="Arial" w:hAnsi="Arial"/>
                <w:b/>
                <w:sz w:val="17"/>
                <w:vertAlign w:val="subscript"/>
              </w:rPr>
              <w:t xml:space="preserve">DD</w:t>
            </w:r>
            <w:r>
              <w:rPr>
                <w:rFonts w:ascii="Arial" w:hAnsi="Arial"/>
                <w:b/>
                <w:sz w:val="17"/>
              </w:rPr>
              <w:t xml:space="preserve"> </w:t>
            </w:r>
            <w:r>
              <w:rPr>
                <w:rFonts w:ascii="Arial" w:hAnsi="Arial"/>
                <w:b/>
                <w:sz w:val="17"/>
              </w:rPr>
              <w:t xml:space="preserve">0.5): ΔDI / ΔDD</w:t>
            </w:r>
          </w:p>
        </w:tc>
        <w:tc>
          <w:tcPr>
            <w:tcW w:type="dxa" w:w="2736"/>
            <w:vAlign w:val="top"/>
          </w:tcPr>
          <w:p>
            <w:pPr>
              <w:pStyle w:val="Compact"/>
            </w:pPr>
            <w:r>
              <w:rPr>
                <w:rFonts w:ascii="Arial" w:hAnsi="Arial"/>
                <w:b/>
                <w:sz w:val="17"/>
              </w:rPr>
              <w:t xml:space="preserve">C1 (α 0.30, λ</w:t>
            </w:r>
            <w:r>
              <w:rPr>
                <w:rFonts w:ascii="Arial" w:hAnsi="Arial"/>
                <w:b/>
                <w:sz w:val="17"/>
                <w:vertAlign w:val="subscript"/>
              </w:rPr>
              <w:t xml:space="preserve">DD</w:t>
            </w:r>
            <w:r>
              <w:rPr>
                <w:rFonts w:ascii="Arial" w:hAnsi="Arial"/>
                <w:b/>
                <w:sz w:val="17"/>
              </w:rPr>
              <w:t xml:space="preserve"> </w:t>
            </w:r>
            <w:r>
              <w:rPr>
                <w:rFonts w:ascii="Arial" w:hAnsi="Arial"/>
                <w:b/>
                <w:sz w:val="17"/>
              </w:rPr>
              <w:t xml:space="preserve">0.375): ΔDI / ΔDD</w:t>
            </w:r>
          </w:p>
        </w:tc>
        <w:tc>
          <w:tcPr>
            <w:tcW w:type="dxa" w:w="2736"/>
            <w:vAlign w:val="top"/>
          </w:tcPr>
          <w:p>
            <w:pPr>
              <w:pStyle w:val="Compact"/>
            </w:pPr>
            <w:r>
              <w:rPr>
                <w:rFonts w:ascii="Arial" w:hAnsi="Arial"/>
                <w:b/>
                <w:sz w:val="17"/>
              </w:rPr>
              <w:t xml:space="preserve">C2 (α 0.40, λ</w:t>
            </w:r>
            <w:r>
              <w:rPr>
                <w:rFonts w:ascii="Arial" w:hAnsi="Arial"/>
                <w:b/>
                <w:sz w:val="17"/>
                <w:vertAlign w:val="subscript"/>
              </w:rPr>
              <w:t xml:space="preserve">DD</w:t>
            </w:r>
            <w:r>
              <w:rPr>
                <w:rFonts w:ascii="Arial" w:hAnsi="Arial"/>
                <w:b/>
                <w:sz w:val="17"/>
              </w:rPr>
              <w:t xml:space="preserve"> </w:t>
            </w:r>
            <w:r>
              <w:rPr>
                <w:rFonts w:ascii="Arial" w:hAnsi="Arial"/>
                <w:b/>
                <w:sz w:val="17"/>
              </w:rPr>
              <w:t xml:space="preserve">0.394): ΔDI / ΔDD</w:t>
            </w:r>
          </w:p>
        </w:tc>
      </w:tr>
      <w:tr>
        <w:tc>
          <w:tcPr>
            <w:tcW w:type="dxa" w:w="3744"/>
          </w:tcPr>
          <w:p>
            <w:pPr>
              <w:pStyle w:val="Compact"/>
            </w:pPr>
            <w:r>
              <w:rPr>
                <w:rFonts w:ascii="Arial" w:hAnsi="Arial"/>
                <w:sz w:val="17"/>
              </w:rPr>
              <w:t xml:space="preserve">D. HYPNO test</w:t>
            </w:r>
          </w:p>
        </w:tc>
        <w:tc>
          <w:tcPr>
            <w:tcW w:type="dxa" w:w="2304"/>
          </w:tcPr>
          <w:p>
            <w:pPr>
              <w:pStyle w:val="Compact"/>
            </w:pPr>
            <w:r>
              <w:rPr>
                <w:rFonts w:ascii="Arial" w:hAnsi="Arial"/>
                <w:sz w:val="17"/>
              </w:rPr>
              <w:t xml:space="preserve">within ±1.4</w:t>
            </w:r>
          </w:p>
        </w:tc>
        <w:tc>
          <w:tcPr>
            <w:tcW w:type="dxa" w:w="2736"/>
          </w:tcPr>
          <w:p>
            <w:pPr>
              <w:pStyle w:val="Compact"/>
            </w:pPr>
            <w:r>
              <w:rPr>
                <w:rFonts w:ascii="Arial" w:hAnsi="Arial"/>
                <w:sz w:val="17"/>
              </w:rPr>
              <w:t xml:space="preserve">+0.9 / −4.7</w:t>
            </w:r>
          </w:p>
        </w:tc>
        <w:tc>
          <w:tcPr>
            <w:tcW w:type="dxa" w:w="2736"/>
          </w:tcPr>
          <w:p>
            <w:pPr>
              <w:pStyle w:val="Compact"/>
            </w:pPr>
            <w:r>
              <w:rPr>
                <w:rFonts w:ascii="Arial" w:hAnsi="Arial"/>
                <w:sz w:val="17"/>
              </w:rPr>
              <w:t xml:space="preserve">−2.4 / −5.9</w:t>
            </w:r>
          </w:p>
        </w:tc>
        <w:tc>
          <w:tcPr>
            <w:tcW w:type="dxa" w:w="2736"/>
          </w:tcPr>
          <w:p>
            <w:pPr>
              <w:pStyle w:val="Compact"/>
            </w:pPr>
            <w:r>
              <w:rPr>
                <w:rFonts w:ascii="Arial" w:hAnsi="Arial"/>
                <w:sz w:val="17"/>
              </w:rPr>
              <w:t xml:space="preserve">−4.1 / −6.1</w:t>
            </w:r>
          </w:p>
        </w:tc>
      </w:tr>
      <w:tr>
        <w:tc>
          <w:tcPr>
            <w:tcW w:type="dxa" w:w="3744"/>
          </w:tcPr>
          <w:p>
            <w:pPr>
              <w:pStyle w:val="Compact"/>
            </w:pPr>
            <w:r>
              <w:rPr>
                <w:rFonts w:ascii="Arial" w:hAnsi="Arial"/>
                <w:sz w:val="17"/>
              </w:rPr>
              <w:t xml:space="preserve">F. DAHANCA 6&amp;7</w:t>
            </w:r>
          </w:p>
        </w:tc>
        <w:tc>
          <w:tcPr>
            <w:tcW w:type="dxa" w:w="2304"/>
          </w:tcPr>
          <w:p>
            <w:pPr>
              <w:pStyle w:val="Compact"/>
            </w:pPr>
            <w:r>
              <w:rPr>
                <w:rFonts w:ascii="Arial" w:hAnsi="Arial"/>
                <w:sz w:val="17"/>
              </w:rPr>
              <w:t xml:space="preserve">+7.0</w:t>
            </w:r>
          </w:p>
        </w:tc>
        <w:tc>
          <w:tcPr>
            <w:tcW w:type="dxa" w:w="2736"/>
          </w:tcPr>
          <w:p>
            <w:pPr>
              <w:pStyle w:val="Compact"/>
            </w:pPr>
            <w:r>
              <w:rPr>
                <w:rFonts w:ascii="Arial" w:hAnsi="Arial"/>
                <w:sz w:val="17"/>
              </w:rPr>
              <w:t xml:space="preserve">+7.0 / +0.5</w:t>
            </w:r>
          </w:p>
        </w:tc>
        <w:tc>
          <w:tcPr>
            <w:tcW w:type="dxa" w:w="2736"/>
          </w:tcPr>
          <w:p>
            <w:pPr>
              <w:pStyle w:val="Compact"/>
            </w:pPr>
            <w:r>
              <w:rPr>
                <w:rFonts w:ascii="Arial" w:hAnsi="Arial"/>
                <w:sz w:val="17"/>
              </w:rPr>
              <w:t xml:space="preserve">+4.7 / +0.5</w:t>
            </w:r>
          </w:p>
        </w:tc>
        <w:tc>
          <w:tcPr>
            <w:tcW w:type="dxa" w:w="2736"/>
          </w:tcPr>
          <w:p>
            <w:pPr>
              <w:pStyle w:val="Compact"/>
            </w:pPr>
            <w:r>
              <w:rPr>
                <w:rFonts w:ascii="Arial" w:hAnsi="Arial"/>
                <w:sz w:val="17"/>
              </w:rPr>
              <w:t xml:space="preserve">+3.5 / +0.5</w:t>
            </w:r>
          </w:p>
        </w:tc>
      </w:tr>
      <w:tr>
        <w:tc>
          <w:tcPr>
            <w:tcW w:type="dxa" w:w="3744"/>
          </w:tcPr>
          <w:p>
            <w:pPr>
              <w:pStyle w:val="Compact"/>
            </w:pPr>
            <w:r>
              <w:rPr>
                <w:rFonts w:ascii="Arial" w:hAnsi="Arial"/>
                <w:sz w:val="17"/>
              </w:rPr>
              <w:t xml:space="preserve">G. CAIR</w:t>
            </w:r>
          </w:p>
        </w:tc>
        <w:tc>
          <w:tcPr>
            <w:tcW w:type="dxa" w:w="2304"/>
          </w:tcPr>
          <w:p>
            <w:pPr>
              <w:pStyle w:val="Compact"/>
            </w:pPr>
            <w:r>
              <w:rPr>
                <w:rFonts w:ascii="Arial" w:hAnsi="Arial"/>
                <w:sz w:val="17"/>
              </w:rPr>
              <w:t xml:space="preserve">+45.7</w:t>
            </w:r>
          </w:p>
        </w:tc>
        <w:tc>
          <w:tcPr>
            <w:tcW w:type="dxa" w:w="2736"/>
          </w:tcPr>
          <w:p>
            <w:pPr>
              <w:pStyle w:val="Compact"/>
            </w:pPr>
            <w:r>
              <w:rPr>
                <w:rFonts w:ascii="Arial" w:hAnsi="Arial"/>
                <w:sz w:val="17"/>
              </w:rPr>
              <w:t xml:space="preserve">+14.0 / +1.2</w:t>
            </w:r>
          </w:p>
        </w:tc>
        <w:tc>
          <w:tcPr>
            <w:tcW w:type="dxa" w:w="2736"/>
          </w:tcPr>
          <w:p>
            <w:pPr>
              <w:pStyle w:val="Compact"/>
            </w:pPr>
            <w:r>
              <w:rPr>
                <w:rFonts w:ascii="Arial" w:hAnsi="Arial"/>
                <w:sz w:val="17"/>
              </w:rPr>
              <w:t xml:space="preserve">+9.3 / +1.1</w:t>
            </w:r>
          </w:p>
        </w:tc>
        <w:tc>
          <w:tcPr>
            <w:tcW w:type="dxa" w:w="2736"/>
          </w:tcPr>
          <w:p>
            <w:pPr>
              <w:pStyle w:val="Compact"/>
            </w:pPr>
            <w:r>
              <w:rPr>
                <w:rFonts w:ascii="Arial" w:hAnsi="Arial"/>
                <w:sz w:val="17"/>
              </w:rPr>
              <w:t xml:space="preserve">+7.0 / +1.1</w:t>
            </w:r>
          </w:p>
        </w:tc>
      </w:tr>
      <w:tr>
        <w:tc>
          <w:tcPr>
            <w:tcW w:type="dxa" w:w="3744"/>
          </w:tcPr>
          <w:p>
            <w:pPr>
              <w:pStyle w:val="Compact"/>
            </w:pPr>
            <w:r>
              <w:rPr>
                <w:rFonts w:ascii="Arial" w:hAnsi="Arial"/>
                <w:sz w:val="17"/>
              </w:rPr>
              <w:t xml:space="preserve">H. GORTEC very accelerated</w:t>
            </w:r>
          </w:p>
        </w:tc>
        <w:tc>
          <w:tcPr>
            <w:tcW w:type="dxa" w:w="2304"/>
          </w:tcPr>
          <w:p>
            <w:pPr>
              <w:pStyle w:val="Compact"/>
            </w:pPr>
            <w:r>
              <w:rPr>
                <w:rFonts w:ascii="Arial" w:hAnsi="Arial"/>
                <w:sz w:val="17"/>
              </w:rPr>
              <w:t xml:space="preserve">+18.2</w:t>
            </w:r>
          </w:p>
        </w:tc>
        <w:tc>
          <w:tcPr>
            <w:tcW w:type="dxa" w:w="2736"/>
          </w:tcPr>
          <w:p>
            <w:pPr>
              <w:pStyle w:val="Compact"/>
            </w:pPr>
            <w:r>
              <w:rPr>
                <w:rFonts w:ascii="Arial" w:hAnsi="Arial"/>
                <w:sz w:val="17"/>
              </w:rPr>
              <w:t xml:space="preserve">+11.6 / −2.6</w:t>
            </w:r>
          </w:p>
        </w:tc>
        <w:tc>
          <w:tcPr>
            <w:tcW w:type="dxa" w:w="2736"/>
          </w:tcPr>
          <w:p>
            <w:pPr>
              <w:pStyle w:val="Compact"/>
            </w:pPr>
            <w:r>
              <w:rPr>
                <w:rFonts w:ascii="Arial" w:hAnsi="Arial"/>
                <w:sz w:val="17"/>
              </w:rPr>
              <w:t xml:space="preserve">+4.9 / −3.9</w:t>
            </w:r>
          </w:p>
        </w:tc>
        <w:tc>
          <w:tcPr>
            <w:tcW w:type="dxa" w:w="2736"/>
          </w:tcPr>
          <w:p>
            <w:pPr>
              <w:pStyle w:val="Compact"/>
            </w:pPr>
            <w:r>
              <w:rPr>
                <w:rFonts w:ascii="Arial" w:hAnsi="Arial"/>
                <w:sz w:val="17"/>
              </w:rPr>
              <w:t xml:space="preserve">+1.6 / −4.3</w:t>
            </w:r>
          </w:p>
        </w:tc>
      </w:tr>
      <w:tr>
        <w:tc>
          <w:tcPr>
            <w:tcW w:type="dxa" w:w="3744"/>
          </w:tcPr>
          <w:p>
            <w:pPr>
              <w:pStyle w:val="Compact"/>
            </w:pPr>
            <w:r>
              <w:rPr>
                <w:rFonts w:ascii="Arial" w:hAnsi="Arial"/>
                <w:sz w:val="17"/>
              </w:rPr>
              <w:t xml:space="preserve">I. TROG accelerated</w:t>
            </w:r>
          </w:p>
        </w:tc>
        <w:tc>
          <w:tcPr>
            <w:tcW w:type="dxa" w:w="2304"/>
          </w:tcPr>
          <w:p>
            <w:pPr>
              <w:pStyle w:val="Compact"/>
            </w:pPr>
            <w:r>
              <w:rPr>
                <w:rFonts w:ascii="Arial" w:hAnsi="Arial"/>
                <w:sz w:val="17"/>
              </w:rPr>
              <w:t xml:space="preserve">+8.5</w:t>
            </w:r>
          </w:p>
        </w:tc>
        <w:tc>
          <w:tcPr>
            <w:tcW w:type="dxa" w:w="2736"/>
          </w:tcPr>
          <w:p>
            <w:pPr>
              <w:pStyle w:val="Compact"/>
            </w:pPr>
            <w:r>
              <w:rPr>
                <w:rFonts w:ascii="Arial" w:hAnsi="Arial"/>
                <w:sz w:val="17"/>
              </w:rPr>
              <w:t xml:space="preserve">+8.1 / −6.6</w:t>
            </w:r>
          </w:p>
        </w:tc>
        <w:tc>
          <w:tcPr>
            <w:tcW w:type="dxa" w:w="2736"/>
          </w:tcPr>
          <w:p>
            <w:pPr>
              <w:pStyle w:val="Compact"/>
            </w:pPr>
            <w:r>
              <w:rPr>
                <w:rFonts w:ascii="Arial" w:hAnsi="Arial"/>
                <w:sz w:val="17"/>
              </w:rPr>
              <w:t xml:space="preserve">+0.8 / −8.5</w:t>
            </w:r>
          </w:p>
        </w:tc>
        <w:tc>
          <w:tcPr>
            <w:tcW w:type="dxa" w:w="2736"/>
          </w:tcPr>
          <w:p>
            <w:pPr>
              <w:pStyle w:val="Compact"/>
            </w:pPr>
            <w:r>
              <w:rPr>
                <w:rFonts w:ascii="Arial" w:hAnsi="Arial"/>
                <w:sz w:val="17"/>
              </w:rPr>
              <w:t xml:space="preserve">−2.9 / −8.8</w:t>
            </w:r>
          </w:p>
        </w:tc>
      </w:tr>
      <w:tr>
        <w:tc>
          <w:tcPr>
            <w:tcW w:type="dxa" w:w="3744"/>
          </w:tcPr>
          <w:p>
            <w:pPr>
              <w:pStyle w:val="Compact"/>
            </w:pPr>
            <w:r>
              <w:rPr>
                <w:rFonts w:ascii="Arial" w:hAnsi="Arial"/>
                <w:sz w:val="17"/>
              </w:rPr>
              <w:t xml:space="preserve">J. CHART</w:t>
            </w:r>
          </w:p>
        </w:tc>
        <w:tc>
          <w:tcPr>
            <w:tcW w:type="dxa" w:w="2304"/>
          </w:tcPr>
          <w:p>
            <w:pPr>
              <w:pStyle w:val="Compact"/>
            </w:pPr>
            <w:r>
              <w:rPr>
                <w:rFonts w:ascii="Arial" w:hAnsi="Arial"/>
                <w:sz w:val="17"/>
              </w:rPr>
              <w:t xml:space="preserve">−1.2</w:t>
            </w:r>
          </w:p>
        </w:tc>
        <w:tc>
          <w:tcPr>
            <w:tcW w:type="dxa" w:w="2736"/>
          </w:tcPr>
          <w:p>
            <w:pPr>
              <w:pStyle w:val="Compact"/>
            </w:pPr>
            <w:r>
              <w:rPr>
                <w:rFonts w:ascii="Arial" w:hAnsi="Arial"/>
                <w:sz w:val="17"/>
              </w:rPr>
              <w:t xml:space="preserve">−0.1 / −7.3</w:t>
            </w:r>
          </w:p>
        </w:tc>
        <w:tc>
          <w:tcPr>
            <w:tcW w:type="dxa" w:w="2736"/>
          </w:tcPr>
          <w:p>
            <w:pPr>
              <w:pStyle w:val="Compact"/>
            </w:pPr>
            <w:r>
              <w:rPr>
                <w:rFonts w:ascii="Arial" w:hAnsi="Arial"/>
                <w:sz w:val="17"/>
              </w:rPr>
              <w:t xml:space="preserve">−5.8 / −9.9</w:t>
            </w:r>
          </w:p>
        </w:tc>
        <w:tc>
          <w:tcPr>
            <w:tcW w:type="dxa" w:w="2736"/>
          </w:tcPr>
          <w:p>
            <w:pPr>
              <w:pStyle w:val="Compact"/>
            </w:pPr>
            <w:r>
              <w:rPr>
                <w:rFonts w:ascii="Arial" w:hAnsi="Arial"/>
                <w:sz w:val="17"/>
              </w:rPr>
              <w:t xml:space="preserve">−8.6 / −10.9</w:t>
            </w:r>
          </w:p>
        </w:tc>
      </w:tr>
      <w:tr>
        <w:tc>
          <w:tcPr>
            <w:tcW w:type="dxa" w:w="3744"/>
          </w:tcPr>
          <w:p>
            <w:pPr>
              <w:pStyle w:val="Compact"/>
            </w:pPr>
            <w:r>
              <w:rPr>
                <w:rFonts w:ascii="Arial" w:hAnsi="Arial"/>
                <w:sz w:val="17"/>
              </w:rPr>
              <w:t xml:space="preserve">K. RTOG 9003 concomitant boost</w:t>
            </w:r>
          </w:p>
        </w:tc>
        <w:tc>
          <w:tcPr>
            <w:tcW w:type="dxa" w:w="2304"/>
          </w:tcPr>
          <w:p>
            <w:pPr>
              <w:pStyle w:val="Compact"/>
            </w:pPr>
            <w:r>
              <w:rPr>
                <w:rFonts w:ascii="Arial" w:hAnsi="Arial"/>
                <w:sz w:val="17"/>
              </w:rPr>
              <w:t xml:space="preserve">+9.7</w:t>
            </w:r>
          </w:p>
        </w:tc>
        <w:tc>
          <w:tcPr>
            <w:tcW w:type="dxa" w:w="2736"/>
          </w:tcPr>
          <w:p>
            <w:pPr>
              <w:pStyle w:val="Compact"/>
            </w:pPr>
            <w:r>
              <w:rPr>
                <w:rFonts w:ascii="Arial" w:hAnsi="Arial"/>
                <w:sz w:val="17"/>
              </w:rPr>
              <w:t xml:space="preserve">+6.5 / +0.2</w:t>
            </w:r>
          </w:p>
        </w:tc>
        <w:tc>
          <w:tcPr>
            <w:tcW w:type="dxa" w:w="2736"/>
          </w:tcPr>
          <w:p>
            <w:pPr>
              <w:pStyle w:val="Compact"/>
            </w:pPr>
            <w:r>
              <w:rPr>
                <w:rFonts w:ascii="Arial" w:hAnsi="Arial"/>
                <w:sz w:val="17"/>
              </w:rPr>
              <w:t xml:space="preserve">+4.2 / +0.1</w:t>
            </w:r>
          </w:p>
        </w:tc>
        <w:tc>
          <w:tcPr>
            <w:tcW w:type="dxa" w:w="2736"/>
          </w:tcPr>
          <w:p>
            <w:pPr>
              <w:pStyle w:val="Compact"/>
            </w:pPr>
            <w:r>
              <w:rPr>
                <w:rFonts w:ascii="Arial" w:hAnsi="Arial"/>
                <w:sz w:val="17"/>
              </w:rPr>
              <w:t xml:space="preserve">+3.0 / +0.1</w:t>
            </w:r>
          </w:p>
        </w:tc>
      </w:tr>
      <w:tr>
        <w:tc>
          <w:tcPr>
            <w:tcW w:type="dxa" w:w="3744"/>
          </w:tcPr>
          <w:p>
            <w:pPr>
              <w:pStyle w:val="Compact"/>
            </w:pPr>
            <w:r>
              <w:rPr>
                <w:rFonts w:ascii="Arial" w:hAnsi="Arial"/>
                <w:sz w:val="17"/>
              </w:rPr>
              <w:t xml:space="preserve">L. RTOG 9003 hyperfractionation</w:t>
            </w:r>
          </w:p>
        </w:tc>
        <w:tc>
          <w:tcPr>
            <w:tcW w:type="dxa" w:w="2304"/>
          </w:tcPr>
          <w:p>
            <w:pPr>
              <w:pStyle w:val="Compact"/>
            </w:pPr>
            <w:r>
              <w:rPr>
                <w:rFonts w:ascii="Arial" w:hAnsi="Arial"/>
                <w:sz w:val="17"/>
              </w:rPr>
              <w:t xml:space="preserve">+10.0</w:t>
            </w:r>
          </w:p>
        </w:tc>
        <w:tc>
          <w:tcPr>
            <w:tcW w:type="dxa" w:w="2736"/>
          </w:tcPr>
          <w:p>
            <w:pPr>
              <w:pStyle w:val="Compact"/>
            </w:pPr>
            <w:r>
              <w:rPr>
                <w:rFonts w:ascii="Arial" w:hAnsi="Arial"/>
                <w:sz w:val="17"/>
              </w:rPr>
              <w:t xml:space="preserve">+7.4 / +4.6</w:t>
            </w:r>
          </w:p>
        </w:tc>
        <w:tc>
          <w:tcPr>
            <w:tcW w:type="dxa" w:w="2736"/>
          </w:tcPr>
          <w:p>
            <w:pPr>
              <w:pStyle w:val="Compact"/>
            </w:pPr>
            <w:r>
              <w:rPr>
                <w:rFonts w:ascii="Arial" w:hAnsi="Arial"/>
                <w:sz w:val="17"/>
              </w:rPr>
              <w:t xml:space="preserve">+7.4 / +5.5</w:t>
            </w:r>
          </w:p>
        </w:tc>
        <w:tc>
          <w:tcPr>
            <w:tcW w:type="dxa" w:w="2736"/>
          </w:tcPr>
          <w:p>
            <w:pPr>
              <w:pStyle w:val="Compact"/>
            </w:pPr>
            <w:r>
              <w:rPr>
                <w:rFonts w:ascii="Arial" w:hAnsi="Arial"/>
                <w:sz w:val="17"/>
              </w:rPr>
              <w:t xml:space="preserve">+7.4 / +5.6</w:t>
            </w:r>
          </w:p>
        </w:tc>
      </w:tr>
      <w:tr>
        <w:tc>
          <w:tcPr>
            <w:tcW w:type="dxa" w:w="3744"/>
          </w:tcPr>
          <w:p>
            <w:pPr>
              <w:pStyle w:val="Compact"/>
            </w:pPr>
            <w:r>
              <w:rPr>
                <w:rFonts w:ascii="Arial" w:hAnsi="Arial"/>
                <w:sz w:val="17"/>
              </w:rPr>
              <w:t xml:space="preserve">M. EORTC 22791 hyperfractionation</w:t>
            </w:r>
          </w:p>
        </w:tc>
        <w:tc>
          <w:tcPr>
            <w:tcW w:type="dxa" w:w="2304"/>
          </w:tcPr>
          <w:p>
            <w:pPr>
              <w:pStyle w:val="Compact"/>
            </w:pPr>
            <w:r>
              <w:rPr>
                <w:rFonts w:ascii="Arial" w:hAnsi="Arial"/>
                <w:sz w:val="17"/>
              </w:rPr>
              <w:t xml:space="preserve">+1.0</w:t>
            </w:r>
          </w:p>
        </w:tc>
        <w:tc>
          <w:tcPr>
            <w:tcW w:type="dxa" w:w="2736"/>
          </w:tcPr>
          <w:p>
            <w:pPr>
              <w:pStyle w:val="Compact"/>
            </w:pPr>
            <w:r>
              <w:rPr>
                <w:rFonts w:ascii="Arial" w:hAnsi="Arial"/>
                <w:sz w:val="17"/>
              </w:rPr>
              <w:t xml:space="preserve">+10.1 / +6.2</w:t>
            </w:r>
          </w:p>
        </w:tc>
        <w:tc>
          <w:tcPr>
            <w:tcW w:type="dxa" w:w="2736"/>
          </w:tcPr>
          <w:p>
            <w:pPr>
              <w:pStyle w:val="Compact"/>
            </w:pPr>
            <w:r>
              <w:rPr>
                <w:rFonts w:ascii="Arial" w:hAnsi="Arial"/>
                <w:sz w:val="17"/>
              </w:rPr>
              <w:t xml:space="preserve">+10.1 / +7.5</w:t>
            </w:r>
          </w:p>
        </w:tc>
        <w:tc>
          <w:tcPr>
            <w:tcW w:type="dxa" w:w="2736"/>
          </w:tcPr>
          <w:p>
            <w:pPr>
              <w:pStyle w:val="Compact"/>
            </w:pPr>
            <w:r>
              <w:rPr>
                <w:rFonts w:ascii="Arial" w:hAnsi="Arial"/>
                <w:sz w:val="17"/>
              </w:rPr>
              <w:t xml:space="preserve">+10.1 / +7.6</w:t>
            </w:r>
          </w:p>
        </w:tc>
      </w:tr>
    </w:tbl>
    <w:p>
      <w:pPr>
        <w:pStyle w:val="Compact"/>
        <w:numPr>
          <w:ilvl w:val="0"/>
          <w:numId w:val="1003"/>
        </w:numPr>
      </w:pPr>
      <w:r>
        <w:t xml:space="preserve">Making the DD rates plausible does not fix the direction of the DD predictions. At both candidates the DD model still predicts a loss for GORTEC and TROG, which improved tumor control, and a deficit of about 6 Gy</w:t>
      </w:r>
      <w:r>
        <w:rPr>
          <w:vertAlign w:val="subscript"/>
        </w:rPr>
        <w:t xml:space="preserve">10</w:t>
      </w:r>
      <w:r>
        <w:t xml:space="preserve"> </w:t>
      </w:r>
      <w:r>
        <w:t xml:space="preserve">for HYPNO.</w:t>
      </w:r>
    </w:p>
    <w:p>
      <w:pPr>
        <w:pStyle w:val="Compact"/>
        <w:numPr>
          <w:ilvl w:val="0"/>
          <w:numId w:val="1003"/>
        </w:numPr>
      </w:pPr>
      <w:r>
        <w:t xml:space="preserve">Raising α also weakens the DI model’s agreement with the accelerated arms, because it lowers the DI daily loss: at C2 the DI model predicts losses for TROG and HYPNO. At C1 the DI direction is still right for 8 of 9 comparisons, but by smaller margins.</w:t>
      </w:r>
    </w:p>
    <w:p>
      <w:pPr>
        <w:pStyle w:val="Compact"/>
        <w:numPr>
          <w:ilvl w:val="0"/>
          <w:numId w:val="1003"/>
        </w:numPr>
      </w:pPr>
      <w:r>
        <w:t xml:space="preserve">This is a check of direction with unfitted parameters, not a fit. The 2018 analysis [1], which fitted α, the rates, the onset parameter and stage-specific clonogen numbers, found the DD model better overall.</w:t>
      </w:r>
    </w:p>
    <w:bookmarkEnd w:id="20"/>
    <w:bookmarkStart w:id="21" w:name="implications-for-the-calculator"/>
    <w:p>
      <w:pPr>
        <w:pStyle w:val="Heading1"/>
      </w:pPr>
      <w:r>
        <w:t xml:space="preserve">Implications for the calculator</w:t>
      </w:r>
    </w:p>
    <w:p>
      <w:pPr>
        <w:pStyle w:val="Compact"/>
        <w:numPr>
          <w:ilvl w:val="0"/>
          <w:numId w:val="1004"/>
        </w:numPr>
      </w:pPr>
      <w:r>
        <w:rPr>
          <w:b/>
          <w:bCs/>
        </w:rPr>
        <w:t xml:space="preserve">A defensible DD setting exists if rate and daily loss take precedence.</w:t>
      </w:r>
      <w:r>
        <w:t xml:space="preserve"> </w:t>
      </w:r>
      <w:r>
        <w:t xml:space="preserve">α ≈ 0.30 Gy</w:t>
      </w:r>
      <w:r>
        <w:rPr>
          <w:vertAlign w:val="superscript"/>
        </w:rPr>
        <w:t xml:space="preserve">−1</w:t>
      </w:r>
      <w:r>
        <w:t xml:space="preserve"> </w:t>
      </w:r>
      <w:r>
        <w:t xml:space="preserve">with λ</w:t>
      </w:r>
      <w:r>
        <w:rPr>
          <w:vertAlign w:val="subscript"/>
        </w:rPr>
        <w:t xml:space="preserve">DD</w:t>
      </w:r>
      <w:r>
        <w:t xml:space="preserve"> </w:t>
      </w:r>
      <w:r>
        <w:t xml:space="preserve">≈ 0.375 per day keeps the current calibration and gives clinically plausible DD doubling times and daily losses for all 13 regimens, with the DI daily loss at Fowler’s value. Its cost is early DD onsets (days 8–15) for courses shorter than about 4 weeks, which is the DD model’s central hypothesis and is not established clinically.</w:t>
      </w:r>
    </w:p>
    <w:p>
      <w:pPr>
        <w:pStyle w:val="Compact"/>
        <w:numPr>
          <w:ilvl w:val="0"/>
          <w:numId w:val="1004"/>
        </w:numPr>
      </w:pPr>
      <w:r>
        <w:rPr>
          <w:b/>
          <w:bCs/>
        </w:rPr>
        <w:t xml:space="preserve">Rounded values.</w:t>
      </w:r>
      <w:r>
        <w:t xml:space="preserve"> </w:t>
      </w:r>
      <w:r>
        <w:t xml:space="preserve">α = 0.30 Gy</w:t>
      </w:r>
      <w:r>
        <w:rPr>
          <w:vertAlign w:val="superscript"/>
        </w:rPr>
        <w:t xml:space="preserve">−1</w:t>
      </w:r>
      <w:r>
        <w:t xml:space="preserve"> </w:t>
      </w:r>
      <w:r>
        <w:t xml:space="preserve">with λ</w:t>
      </w:r>
      <w:r>
        <w:rPr>
          <w:vertAlign w:val="subscript"/>
        </w:rPr>
        <w:t xml:space="preserve">DD</w:t>
      </w:r>
      <w:r>
        <w:t xml:space="preserve"> </w:t>
      </w:r>
      <w:r>
        <w:t xml:space="preserve">= 0.40 per day (reference onset day 24.1) gives doubling times of 2.2–4.2 days and daily losses of 0.55–1.05 Gy</w:t>
      </w:r>
      <w:r>
        <w:rPr>
          <w:vertAlign w:val="subscript"/>
        </w:rPr>
        <w:t xml:space="preserve">10</w:t>
      </w:r>
      <w:r>
        <w:t xml:space="preserve">: only CHART slightly exceeds the 1.0 Gy</w:t>
      </w:r>
      <w:r>
        <w:rPr>
          <w:vertAlign w:val="subscript"/>
        </w:rPr>
        <w:t xml:space="preserve">10</w:t>
      </w:r>
      <w:r>
        <w:t xml:space="preserve"> </w:t>
      </w:r>
      <w:r>
        <w:t xml:space="preserve">limit. λ</w:t>
      </w:r>
      <w:r>
        <w:rPr>
          <w:vertAlign w:val="subscript"/>
        </w:rPr>
        <w:t xml:space="preserve">DD</w:t>
      </w:r>
      <w:r>
        <w:t xml:space="preserve"> </w:t>
      </w:r>
      <w:r>
        <w:t xml:space="preserve">= 0.38 per day keeps all 13 regimens within the limits (0.53–1.00 Gy</w:t>
      </w:r>
      <w:r>
        <w:rPr>
          <w:vertAlign w:val="subscript"/>
        </w:rPr>
        <w:t xml:space="preserve">10</w:t>
      </w:r>
      <w:r>
        <w:t xml:space="preserve">). Either is a reasonable default candidate if rate and daily loss take precedence over onset.</w:t>
      </w:r>
    </w:p>
    <w:p>
      <w:pPr>
        <w:pStyle w:val="Compact"/>
        <w:numPr>
          <w:ilvl w:val="0"/>
          <w:numId w:val="1004"/>
        </w:numPr>
      </w:pPr>
      <w:r>
        <w:rPr>
          <w:b/>
          <w:bCs/>
        </w:rPr>
        <w:t xml:space="preserve">It changes the suggestions.</w:t>
      </w:r>
      <w:r>
        <w:t xml:space="preserve"> </w:t>
      </w:r>
      <w:r>
        <w:t xml:space="preserve">With α = 0.30 the DI daily loss drops from 1.00 to 0.67 Gy</w:t>
      </w:r>
      <w:r>
        <w:rPr>
          <w:vertAlign w:val="subscript"/>
        </w:rPr>
        <w:t xml:space="preserve">10</w:t>
      </w:r>
      <w:r>
        <w:t xml:space="preserve">. Under the strict early-toxicity limit (no higher than the standard course) the search then returns no regimen, as with the published parameter sets. Under the Fowler limit of 59 Gy</w:t>
      </w:r>
      <w:r>
        <w:rPr>
          <w:vertAlign w:val="subscript"/>
        </w:rPr>
        <w:t xml:space="preserve">10</w:t>
      </w:r>
      <w:r>
        <w:t xml:space="preserve"> </w:t>
      </w:r>
      <w:r>
        <w:t xml:space="preserve">it returns 12, all credited by the DI model only. At α = 0.40 the Fowler limit leaves 5.</w:t>
      </w:r>
    </w:p>
    <w:p>
      <w:pPr>
        <w:pStyle w:val="Compact"/>
        <w:numPr>
          <w:ilvl w:val="0"/>
          <w:numId w:val="1004"/>
        </w:numPr>
      </w:pPr>
      <w:r>
        <w:rPr>
          <w:b/>
          <w:bCs/>
        </w:rPr>
        <w:t xml:space="preserve">The band is narrow and depends on the limits.</w:t>
      </w:r>
      <w:r>
        <w:t xml:space="preserve"> </w:t>
      </w:r>
      <w:r>
        <w:t xml:space="preserve">At the candidate, the DD daily loss ranges from 0.52 Gy</w:t>
      </w:r>
      <w:r>
        <w:rPr>
          <w:vertAlign w:val="subscript"/>
        </w:rPr>
        <w:t xml:space="preserve">10</w:t>
      </w:r>
      <w:r>
        <w:t xml:space="preserve"> </w:t>
      </w:r>
      <w:r>
        <w:t xml:space="preserve">(standard course) to 0.99 Gy</w:t>
      </w:r>
      <w:r>
        <w:rPr>
          <w:vertAlign w:val="subscript"/>
        </w:rPr>
        <w:t xml:space="preserve">10</w:t>
      </w:r>
      <w:r>
        <w:t xml:space="preserve"> </w:t>
      </w:r>
      <w:r>
        <w:t xml:space="preserve">(CHART), almost a factor of 2, which only just fits the loose 0.5–1.0 window. A narrower window empties the band. Any default chosen this way should be presented with these limits stated.</w:t>
      </w:r>
    </w:p>
    <w:p>
      <w:pPr>
        <w:pStyle w:val="Compact"/>
        <w:numPr>
          <w:ilvl w:val="0"/>
          <w:numId w:val="1004"/>
        </w:numPr>
      </w:pPr>
      <w:r>
        <w:rPr>
          <w:b/>
          <w:bCs/>
        </w:rPr>
        <w:t xml:space="preserve">The direction mismatch is structural.</w:t>
      </w:r>
      <w:r>
        <w:t xml:space="preserve"> </w:t>
      </w:r>
      <w:r>
        <w:t xml:space="preserve">No parameter choice tested here makes the DD model reproduce the gains of the accelerated trial arms. That needs a change to the model itself (for example a weaker dependence of onset on cumulative cell killing) or a fit to the trial data, not a different default.</w:t>
      </w:r>
    </w:p>
    <w:bookmarkEnd w:id="21"/>
    <w:bookmarkStart w:id="22" w:name="limitations"/>
    <w:p>
      <w:pPr>
        <w:pStyle w:val="Heading1"/>
      </w:pPr>
      <w:r>
        <w:t xml:space="preserve">Limitations</w:t>
      </w:r>
    </w:p>
    <w:p>
      <w:pPr>
        <w:pStyle w:val="Compact"/>
        <w:numPr>
          <w:ilvl w:val="0"/>
          <w:numId w:val="1005"/>
        </w:numPr>
      </w:pPr>
      <w:r>
        <w:t xml:space="preserve">The plausibility limits are judgments informed by published estimates that come mainly from 5–7-week schedules.</w:t>
      </w:r>
    </w:p>
    <w:p>
      <w:pPr>
        <w:pStyle w:val="Compact"/>
        <w:numPr>
          <w:ilvl w:val="0"/>
          <w:numId w:val="1005"/>
        </w:numPr>
      </w:pPr>
      <w:r>
        <w:t xml:space="preserve">Schedules with two or three fractions per day are evaluated without incomplete repair between same-day fractions.</w:t>
      </w:r>
    </w:p>
    <w:p>
      <w:pPr>
        <w:pStyle w:val="Compact"/>
        <w:numPr>
          <w:ilvl w:val="0"/>
          <w:numId w:val="1005"/>
        </w:numPr>
      </w:pPr>
      <w:r>
        <w:t xml:space="preserve">Trial-arm schedules are averages from a published compilation, and tumor control was measured at different times and stages across trials.</w:t>
      </w:r>
    </w:p>
    <w:p>
      <w:pPr>
        <w:pStyle w:val="Compact"/>
        <w:numPr>
          <w:ilvl w:val="0"/>
          <w:numId w:val="1005"/>
        </w:numPr>
      </w:pPr>
      <w:r>
        <w:t xml:space="preserve">λ</w:t>
      </w:r>
      <w:r>
        <w:rPr>
          <w:vertAlign w:val="subscript"/>
        </w:rPr>
        <w:t xml:space="preserve">DI</w:t>
      </w:r>
      <w:r>
        <w:t xml:space="preserve"> </w:t>
      </w:r>
      <w:r>
        <w:t xml:space="preserve">and T</w:t>
      </w:r>
      <w:r>
        <w:rPr>
          <w:vertAlign w:val="subscript"/>
        </w:rPr>
        <w:t xml:space="preserve">k</w:t>
      </w:r>
      <w:r>
        <w:t xml:space="preserve"> </w:t>
      </w:r>
      <w:r>
        <w:t xml:space="preserve">were held at the calculator defaults, as requested. A search that also varied them would explore a larger space.</w:t>
      </w:r>
    </w:p>
    <w:p>
      <w:pPr>
        <w:pStyle w:val="Compact"/>
        <w:numPr>
          <w:ilvl w:val="0"/>
          <w:numId w:val="1005"/>
        </w:numPr>
      </w:pPr>
      <w:r>
        <w:t xml:space="preserve">Concurrent chemotherapy is not part of any BED here.</w:t>
      </w:r>
    </w:p>
    <w:bookmarkEnd w:id="22"/>
    <w:bookmarkStart w:id="23" w:name="files"/>
    <w:p>
      <w:pPr>
        <w:pStyle w:val="Heading1"/>
      </w:pPr>
      <w:r>
        <w:t xml:space="preserve">Files</w:t>
      </w:r>
    </w:p>
    <w:p>
      <w:pPr>
        <w:pStyle w:val="FirstParagraph"/>
      </w:pPr>
      <w:r>
        <w:t xml:space="preserve">All grid results are in the folder</w:t>
      </w:r>
      <w:r>
        <w:t xml:space="preserve"> </w:t>
      </w:r>
      <w:r>
        <w:rPr>
          <w:rStyle w:val="VerbatimChar"/>
        </w:rPr>
        <w:t xml:space="preserve">dd_grid_2026_10_18/</w:t>
      </w:r>
      <w:r>
        <w:t xml:space="preserve">:</w:t>
      </w:r>
      <w:r>
        <w:t xml:space="preserve"> </w:t>
      </w:r>
      <w:r>
        <w:rPr>
          <w:rStyle w:val="VerbatimChar"/>
        </w:rPr>
        <w:t xml:space="preserve">grid_variantA.csv</w:t>
      </w:r>
      <w:r>
        <w:t xml:space="preserve"> </w:t>
      </w:r>
      <w:r>
        <w:t xml:space="preserve">(all three quantities),</w:t>
      </w:r>
      <w:r>
        <w:t xml:space="preserve"> </w:t>
      </w:r>
      <w:r>
        <w:rPr>
          <w:rStyle w:val="VerbatimChar"/>
        </w:rPr>
        <w:t xml:space="preserve">grid_rate_first.csv</w:t>
      </w:r>
      <w:r>
        <w:t xml:space="preserve"> </w:t>
      </w:r>
      <w:r>
        <w:t xml:space="preserve">(rate and loss first, both limit sets),</w:t>
      </w:r>
      <w:r>
        <w:t xml:space="preserve"> </w:t>
      </w:r>
      <w:r>
        <w:rPr>
          <w:rStyle w:val="VerbatimChar"/>
        </w:rPr>
        <w:t xml:space="preserve">feasible_region_by_alpha.csv</w:t>
      </w:r>
      <w:r>
        <w:t xml:space="preserve">,</w:t>
      </w:r>
      <w:r>
        <w:t xml:space="preserve"> </w:t>
      </w:r>
      <w:r>
        <w:rPr>
          <w:rStyle w:val="VerbatimChar"/>
        </w:rPr>
        <w:t xml:space="preserve">candidate_points_regimens.csv</w:t>
      </w:r>
      <w:r>
        <w:t xml:space="preserve">, and the figures.</w:t>
      </w:r>
    </w:p>
    <w:bookmarkEnd w:id="23"/>
    <w:bookmarkStart w:id="24" w:name="references"/>
    <w:p>
      <w:pPr>
        <w:pStyle w:val="Heading1"/>
      </w:pPr>
      <w:r>
        <w:t xml:space="preserve">References</w:t>
      </w:r>
    </w:p>
    <w:p>
      <w:pPr>
        <w:pStyle w:val="Compact"/>
        <w:numPr>
          <w:ilvl w:val="0"/>
          <w:numId w:val="1006"/>
        </w:numPr>
        <w:jc w:val="left"/>
      </w:pPr>
      <w:r>
        <w:t xml:space="preserve">Shuryak I, Hall EJ, Brenner DJ. Dose dependence of accelerated repopulation in head and neck cancer: supporting evidence and clinical implications. Radiother Oncol. 2018;127(1):20-26. https://doi.org/10.1016/j.radonc.2018.02.015 (PMID 29534828)</w:t>
      </w:r>
    </w:p>
    <w:p>
      <w:pPr>
        <w:pStyle w:val="Compact"/>
        <w:numPr>
          <w:ilvl w:val="0"/>
          <w:numId w:val="1006"/>
        </w:numPr>
        <w:jc w:val="left"/>
      </w:pPr>
      <w:r>
        <w:t xml:space="preserve">Fowler JF. 21 years of biologically effective dose. Br J Radiol. 2010;83(991):554-568. https://doi.org/10.1259/bjr/31372149 (PMID 20603408)</w:t>
      </w:r>
    </w:p>
    <w:p>
      <w:pPr>
        <w:pStyle w:val="Compact"/>
        <w:numPr>
          <w:ilvl w:val="0"/>
          <w:numId w:val="1006"/>
        </w:numPr>
        <w:jc w:val="left"/>
      </w:pPr>
      <w:r>
        <w:t xml:space="preserve">Withers HR, Taylor JMG, Maciejewski B. The hazard of accelerated tumor clonogen repopulation during radiotherapy. Acta Oncol. 1988;27(2):131-146. https://doi.org/10.3109/02841868809090333 (PMID 3390344)</w:t>
      </w:r>
    </w:p>
    <w:p>
      <w:pPr>
        <w:pStyle w:val="Compact"/>
        <w:numPr>
          <w:ilvl w:val="0"/>
          <w:numId w:val="1006"/>
        </w:numPr>
        <w:jc w:val="left"/>
      </w:pPr>
      <w:r>
        <w:t xml:space="preserve">Bentzen SM, Gupta T, Jacinto AA, et al. Hypofractionated versus normofractionated accelerated radiation therapy with or without cisplatin for locally advanced head and neck squamous cell carcinoma (HYPNO): a randomized, open-label, phase 3, noninferiority trial. Int J Radiat Oncol Biol Phys. 2026;125(2):387-398. https://doi.org/10.1016/j.ijrobp.2025.12.056 (PMID 41711624)</w:t>
      </w:r>
    </w:p>
    <w:p>
      <w:pPr>
        <w:pStyle w:val="Compact"/>
        <w:numPr>
          <w:ilvl w:val="0"/>
          <w:numId w:val="1006"/>
        </w:numPr>
        <w:jc w:val="left"/>
      </w:pPr>
      <w:r>
        <w:t xml:space="preserve">Hartley A, Sanghera P, Kazi W, et al. Correlation of currently used radiobiological parameters with local control and acute and late mucosal toxicity in randomised studies of altered fractionation for locally advanced head and neck cancer. Clin Oncol (R Coll Radiol). 2011;23(1):29-33. https://doi.org/10.1016/j.clon.2010.08.007 (PMID 20829006)</w:t>
      </w:r>
    </w:p>
    <w:bookmarkEnd w:id="24"/>
    <w:sectPr>
      <w:footerReference w:type="default" r:id="rId9"/>
      <w:footnotePr>
        <w:numRestart w:val="eachSect"/>
      </w:footnotePr>
      <w:pgSz w:orient="landscape" w:w="15840" w:h="12240"/>
      <w:pgMar w:left="864" w:right="864"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1"/>
    </w:rPr>
  </w:style>
  <w:style w:styleId="BodyText" w:type="paragraph">
    <w:name w:val="Body Text"/>
    <w:basedOn w:val="Normal"/>
    <w:link w:val="BodyTextChar"/>
    <w:qFormat/>
    <w:pPr>
      <w:spacing w:after="180" w:before="180"/>
    </w:pPr>
    <w:rPr>
      <w:rFonts w:ascii="Arial" w:hAnsi="Arial"/>
      <w:sz w:val="21"/>
    </w:rPr>
  </w:style>
  <w:style w:customStyle="1" w:styleId="FirstParagraph" w:type="paragraph">
    <w:name w:val="First Paragraph"/>
    <w:basedOn w:val="BodyText"/>
    <w:next w:val="BodyText"/>
    <w:qFormat/>
    <w:rPr>
      <w:rFonts w:ascii="Arial" w:hAnsi="Arial"/>
      <w:sz w:val="21"/>
    </w:rPr>
  </w:style>
  <w:style w:customStyle="1" w:styleId="Compact" w:type="paragraph">
    <w:name w:val="Compact"/>
    <w:basedOn w:val="BodyText"/>
    <w:qFormat/>
    <w:pPr>
      <w:spacing w:after="36" w:before="36"/>
    </w:pPr>
    <w:rPr>
      <w:rFonts w:ascii="Arial" w:hAnsi="Arial"/>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5" Type="http://schemas.openxmlformats.org/officeDocument/2006/relationships/image" Target="media/rId1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tumor α and the DD maximum repopulation rate make the DD model clinically plausible?</dc:title>
  <dc:creator/>
  <cp:keywords/>
  <dcterms:created xsi:type="dcterms:W3CDTF">2026-10-19T01:48:44Z</dcterms:created>
  <dcterms:modified xsi:type="dcterms:W3CDTF">2026-10-19T01:48:44Z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Grid search over both parameters with the current calibration to the DI model</vt:lpwstr>
  </property>
</Properties>
</file>