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Tumor BED under the DI and DD repopulation models for standard and clinically tested head and neck regimens</w:t>
      </w:r>
    </w:p>
    <w:p>
      <w:pPr>
        <w:pStyle w:val="Subtitle"/>
      </w:pPr>
      <w:r>
        <w:t xml:space="preserve">DD maximum repopulation rate matched to the DI model (0.666 per day) and at the current default (0.5 per day)</w:t>
      </w:r>
    </w:p>
    <w:p>
      <w:pPr>
        <w:pStyle w:val="FirstParagraph"/>
      </w:pPr>
      <w:r>
        <w:t xml:space="preserve">Igor Shuryak, MD, PhD</w:t>
      </w:r>
    </w:p>
    <w:p>
      <w:pPr>
        <w:pStyle w:val="BodyText"/>
      </w:pPr>
      <w:r>
        <w:t xml:space="preserve">is144@cumc.columbia.edu</w:t>
      </w:r>
    </w:p>
    <w:p>
      <w:pPr>
        <w:pStyle w:val="BodyText"/>
      </w:pPr>
      <w:r>
        <w:t xml:space="preserve">October 18, 2026</w:t>
      </w:r>
    </w:p>
    <w:bookmarkStart w:id="9" w:name="purpose"/>
    <w:p>
      <w:pPr>
        <w:pStyle w:val="Heading1"/>
      </w:pPr>
      <w:r>
        <w:t xml:space="preserve">Purpose</w:t>
      </w:r>
    </w:p>
    <w:p>
      <w:pPr>
        <w:pStyle w:val="FirstParagraph"/>
      </w:pPr>
      <w:r>
        <w:t xml:space="preserve">This note shows how the two tumor repopulation models in the head and neck squamous cell carcinoma (HNSCC) biologically effective dose (BED) calculator behave on the standard regimen and on regimens that have been tested clinically. It compares two settings of the dose-dependent (DD) model. In the first, its maximum repopulation rate is chosen so that the DD model reproduces the dose-independent (DI) model at the standard 70 Gy in 35 fractions (0.666 per day). The second is the calculator’s current default (0.5 per day). The question is whether the repopulation onset times, doubling times and daily BED losses that the models imply are clinically plausible.</w:t>
      </w:r>
    </w:p>
    <w:bookmarkEnd w:id="9"/>
    <w:bookmarkStart w:id="10" w:name="models-and-settings"/>
    <w:p>
      <w:pPr>
        <w:pStyle w:val="Heading1"/>
      </w:pPr>
      <w:r>
        <w:t xml:space="preserve">Models and settings</w:t>
      </w:r>
    </w:p>
    <w:p>
      <w:pPr>
        <w:pStyle w:val="FirstParagraph"/>
      </w:pPr>
      <w:r>
        <w:t xml:space="preserve">Both models use the linear-quadratic (LQ) BED,</w:t>
      </w:r>
      <w:r>
        <w:t xml:space="preserve"> </w:t>
      </w:r>
      <m:oMath>
        <m:r>
          <m:t>K</m:t>
        </m:r>
        <m:r>
          <m:rPr>
            <m:sty m:val="p"/>
          </m:rPr>
          <m:t>=</m:t>
        </m:r>
        <m:r>
          <m:t>n</m:t>
        </m:r>
        <m:r>
          <m:t>d</m:t>
        </m:r>
        <m:r>
          <m:t> </m:t>
        </m:r>
        <m:r>
          <m:rPr>
            <m:sty m:val="p"/>
          </m:rPr>
          <m:t>(</m:t>
        </m:r>
        <m:r>
          <m:t>1</m:t>
        </m:r>
        <m:r>
          <m:rPr>
            <m:sty m:val="p"/>
          </m:rPr>
          <m:t>+</m:t>
        </m:r>
        <m:r>
          <m:t>d</m:t>
        </m:r>
        <m:r>
          <m:rPr>
            <m:sty m:val="p"/>
          </m:rPr>
          <m:t>/</m:t>
        </m:r>
        <m:r>
          <m:rPr>
            <m:sty m:val="p"/>
          </m:rPr>
          <m:t>(</m:t>
        </m:r>
        <m:r>
          <m:t>α</m:t>
        </m:r>
        <m:r>
          <m:rPr>
            <m:sty m:val="p"/>
          </m:rPr>
          <m:t>/</m:t>
        </m:r>
        <m:r>
          <m:t>β</m:t>
        </m:r>
        <m:r>
          <m:rPr>
            <m:sty m:val="p"/>
          </m:rPr>
          <m:t>)</m:t>
        </m:r>
        <m:r>
          <m:rPr>
            <m:sty m:val="p"/>
          </m:rPr>
          <m:t>)</m:t>
        </m:r>
      </m:oMath>
      <w:r>
        <w:t xml:space="preserve">, for</w:t>
      </w:r>
      <w:r>
        <w:t xml:space="preserve"> </w:t>
      </w:r>
      <m:oMath>
        <m:r>
          <m:t>n</m:t>
        </m:r>
      </m:oMath>
      <w:r>
        <w:t xml:space="preserve"> </w:t>
      </w:r>
      <w:r>
        <w:t xml:space="preserve">fractions of dose</w:t>
      </w:r>
      <w:r>
        <w:t xml:space="preserve"> </w:t>
      </w:r>
      <m:oMath>
        <m:r>
          <m:t>d</m:t>
        </m:r>
      </m:oMath>
      <w:r>
        <w:t xml:space="preserve"> </w:t>
      </w:r>
      <w:r>
        <w:t xml:space="preserve">given over</w:t>
      </w:r>
      <w:r>
        <w:t xml:space="preserve"> </w:t>
      </w:r>
      <m:oMath>
        <m:r>
          <m:t>T</m:t>
        </m:r>
      </m:oMath>
      <w:r>
        <w:t xml:space="preserve"> </w:t>
      </w:r>
      <w:r>
        <w:t xml:space="preserve">days.</w:t>
      </w:r>
    </w:p>
    <w:p>
      <w:pPr>
        <w:pStyle w:val="Compact"/>
        <w:numPr>
          <w:ilvl w:val="0"/>
          <w:numId w:val="1001"/>
        </w:numPr>
      </w:pPr>
      <w:r>
        <w:rPr>
          <w:b/>
          <w:bCs/>
        </w:rPr>
        <w:t xml:space="preserve">DI model.</w:t>
      </w:r>
      <w:r>
        <w:t xml:space="preserve"> </w:t>
      </w:r>
      <w:r>
        <w:t xml:space="preserve">Repopulation starts at a fixed day</w:t>
      </w:r>
      <w:r>
        <w:t xml:space="preserve"> </w:t>
      </w:r>
      <m:oMath>
        <m:sSub>
          <m:e>
            <m:r>
              <m:t>T</m:t>
            </m:r>
          </m:e>
          <m:sub>
            <m:r>
              <m:t>k</m:t>
            </m:r>
          </m:sub>
        </m:sSub>
      </m:oMath>
      <w:r>
        <w:t xml:space="preserve"> </w:t>
      </w:r>
      <w:r>
        <w:t xml:space="preserve">and proceeds at a fixed rate</w:t>
      </w:r>
      <w:r>
        <w:t xml:space="preserve"> </w:t>
      </w:r>
      <m:oMath>
        <m:sSub>
          <m:e>
            <m:r>
              <m:t>λ</m:t>
            </m:r>
          </m:e>
          <m:sub>
            <m:r>
              <m:t>D</m:t>
            </m:r>
            <m:r>
              <m:t>I</m:t>
            </m:r>
          </m:sub>
        </m:sSub>
      </m:oMath>
      <w:r>
        <w:t xml:space="preserve">:</w:t>
      </w:r>
      <w:r>
        <w:t xml:space="preserve"> </w:t>
      </w:r>
      <m:oMath>
        <m:r>
          <m:t>B</m:t>
        </m:r>
        <m:r>
          <m:t>E</m:t>
        </m:r>
        <m:sSub>
          <m:e>
            <m:r>
              <m:t>D</m:t>
            </m:r>
          </m:e>
          <m:sub>
            <m:r>
              <m:t>D</m:t>
            </m:r>
            <m:r>
              <m:t>I</m:t>
            </m:r>
          </m:sub>
        </m:sSub>
        <m:r>
          <m:rPr>
            <m:sty m:val="p"/>
          </m:rPr>
          <m:t>=</m:t>
        </m:r>
        <m:r>
          <m:t>K</m:t>
        </m:r>
        <m:r>
          <m:rPr>
            <m:sty m:val="p"/>
          </m:rPr>
          <m:t>−</m:t>
        </m:r>
        <m:sSub>
          <m:e>
            <m:r>
              <m:t>λ</m:t>
            </m:r>
          </m:e>
          <m:sub>
            <m:r>
              <m:t>D</m:t>
            </m:r>
            <m:r>
              <m:t>I</m:t>
            </m:r>
          </m:sub>
        </m:sSub>
        <m:r>
          <m:rPr>
            <m:sty m:val="p"/>
          </m:rPr>
          <m:t>max</m:t>
        </m:r>
        <m:r>
          <m:rPr>
            <m:sty m:val="p"/>
          </m:rPr>
          <m:t>(</m:t>
        </m:r>
        <m:r>
          <m:t>0</m:t>
        </m:r>
        <m:r>
          <m:rPr>
            <m:sty m:val="p"/>
          </m:rPr>
          <m:t>,</m:t>
        </m:r>
        <m:r>
          <m:t>T</m:t>
        </m:r>
        <m:r>
          <m:rPr>
            <m:sty m:val="p"/>
          </m:rPr>
          <m:t>−</m:t>
        </m:r>
        <m:sSub>
          <m:e>
            <m:r>
              <m:t>T</m:t>
            </m:r>
          </m:e>
          <m:sub>
            <m:r>
              <m:t>k</m:t>
            </m:r>
          </m:sub>
        </m:sSub>
        <m:r>
          <m:rPr>
            <m:sty m:val="p"/>
          </m:rPr>
          <m:t>)</m:t>
        </m:r>
        <m:r>
          <m:rPr>
            <m:sty m:val="p"/>
          </m:rPr>
          <m:t>/</m:t>
        </m:r>
        <m:r>
          <m:t>α</m:t>
        </m:r>
      </m:oMath>
      <w:r>
        <w:t xml:space="preserve">.</w:t>
      </w:r>
    </w:p>
    <w:p>
      <w:pPr>
        <w:pStyle w:val="Compact"/>
        <w:numPr>
          <w:ilvl w:val="0"/>
          <w:numId w:val="1001"/>
        </w:numPr>
      </w:pPr>
      <w:r>
        <w:rPr>
          <w:b/>
          <w:bCs/>
        </w:rPr>
        <w:t xml:space="preserve">DD model</w:t>
      </w:r>
      <w:r>
        <w:t xml:space="preserve"> </w:t>
      </w:r>
      <w:r>
        <w:t xml:space="preserve">(Shuryak, Hall and Brenner 2018 [1]). Repopulation starts when cumulative cell killing reaches a fixed level</w:t>
      </w:r>
      <w:r>
        <w:t xml:space="preserve"> </w:t>
      </w:r>
      <m:oMath>
        <m:r>
          <m:t>C</m:t>
        </m:r>
      </m:oMath>
      <w:r>
        <w:t xml:space="preserve">, at day</w:t>
      </w:r>
      <w:r>
        <w:t xml:space="preserve"> </w:t>
      </w:r>
      <m:oMath>
        <m:r>
          <m:t>C</m:t>
        </m:r>
        <m:r>
          <m:t> </m:t>
        </m:r>
        <m:r>
          <m:t>T</m:t>
        </m:r>
        <m:r>
          <m:rPr>
            <m:sty m:val="p"/>
          </m:rPr>
          <m:t>/</m:t>
        </m:r>
        <m:r>
          <m:rPr>
            <m:sty m:val="p"/>
          </m:rPr>
          <m:t>(</m:t>
        </m:r>
        <m:r>
          <m:t>α</m:t>
        </m:r>
        <m:r>
          <m:t>K</m:t>
        </m:r>
        <m:r>
          <m:rPr>
            <m:sty m:val="p"/>
          </m:rPr>
          <m:t>)</m:t>
        </m:r>
      </m:oMath>
      <w:r>
        <w:t xml:space="preserve">, and proceeds at rate</w:t>
      </w:r>
      <w:r>
        <w:t xml:space="preserve"> </w:t>
      </w:r>
      <m:oMath>
        <m:sSub>
          <m:e>
            <m:r>
              <m:t>λ</m:t>
            </m:r>
          </m:e>
          <m:sub>
            <m:r>
              <m:t>D</m:t>
            </m:r>
            <m:r>
              <m:t>D</m:t>
            </m:r>
          </m:sub>
        </m:sSub>
        <m:sSub>
          <m:e>
            <m:r>
              <m:t>P</m:t>
            </m:r>
          </m:e>
          <m:sub>
            <m:r>
              <m:t>k</m:t>
            </m:r>
            <m:r>
              <m:t>i</m:t>
            </m:r>
            <m:r>
              <m:t>l</m:t>
            </m:r>
            <m:r>
              <m:t>l</m:t>
            </m:r>
          </m:sub>
        </m:sSub>
      </m:oMath>
      <w:r>
        <w:t xml:space="preserve">, where</w:t>
      </w:r>
      <w:r>
        <w:t xml:space="preserve"> </w:t>
      </w:r>
      <m:oMath>
        <m:sSub>
          <m:e>
            <m:r>
              <m:t>P</m:t>
            </m:r>
          </m:e>
          <m:sub>
            <m:r>
              <m:t>k</m:t>
            </m:r>
            <m:r>
              <m:t>i</m:t>
            </m:r>
            <m:r>
              <m:t>l</m:t>
            </m:r>
            <m:r>
              <m:t>l</m:t>
            </m:r>
          </m:sub>
        </m:sSub>
        <m:r>
          <m:rPr>
            <m:sty m:val="p"/>
          </m:rPr>
          <m:t>=</m:t>
        </m:r>
        <m:r>
          <m:t>1</m:t>
        </m:r>
        <m:r>
          <m:rPr>
            <m:sty m:val="p"/>
          </m:rPr>
          <m:t>−</m:t>
        </m:r>
        <m:sSup>
          <m:e>
            <m:r>
              <m:t>e</m:t>
            </m:r>
          </m:e>
          <m:sup>
            <m:r>
              <m:rPr>
                <m:sty m:val="p"/>
              </m:rPr>
              <m:t>−</m:t>
            </m:r>
            <m:r>
              <m:t>α</m:t>
            </m:r>
            <m:r>
              <m:t>K</m:t>
            </m:r>
            <m:r>
              <m:rPr>
                <m:sty m:val="p"/>
              </m:rPr>
              <m:t>/</m:t>
            </m:r>
            <m:r>
              <m:t>T</m:t>
            </m:r>
          </m:sup>
        </m:sSup>
      </m:oMath>
      <w:r>
        <w:t xml:space="preserve"> </w:t>
      </w:r>
      <w:r>
        <w:t xml:space="preserve">is the mean fraction of tumor cells killed per day:</w:t>
      </w:r>
      <w:r>
        <w:t xml:space="preserve"> </w:t>
      </w:r>
      <m:oMath>
        <m:r>
          <m:t>B</m:t>
        </m:r>
        <m:r>
          <m:t>E</m:t>
        </m:r>
        <m:sSub>
          <m:e>
            <m:r>
              <m:t>D</m:t>
            </m:r>
          </m:e>
          <m:sub>
            <m:r>
              <m:t>D</m:t>
            </m:r>
            <m:r>
              <m:t>D</m:t>
            </m:r>
          </m:sub>
        </m:sSub>
        <m:r>
          <m:rPr>
            <m:sty m:val="p"/>
          </m:rPr>
          <m:t>=</m:t>
        </m:r>
        <m:r>
          <m:t>K</m:t>
        </m:r>
        <m:r>
          <m:rPr>
            <m:sty m:val="p"/>
          </m:rPr>
          <m:t>−</m:t>
        </m:r>
        <m:sSub>
          <m:e>
            <m:r>
              <m:t>λ</m:t>
            </m:r>
          </m:e>
          <m:sub>
            <m:r>
              <m:t>D</m:t>
            </m:r>
            <m:r>
              <m:t>D</m:t>
            </m:r>
          </m:sub>
        </m:sSub>
        <m:sSub>
          <m:e>
            <m:r>
              <m:t>P</m:t>
            </m:r>
          </m:e>
          <m:sub>
            <m:r>
              <m:t>k</m:t>
            </m:r>
            <m:r>
              <m:t>i</m:t>
            </m:r>
            <m:r>
              <m:t>l</m:t>
            </m:r>
            <m:r>
              <m:t>l</m:t>
            </m:r>
          </m:sub>
        </m:sSub>
        <m:r>
          <m:rPr>
            <m:sty m:val="p"/>
          </m:rPr>
          <m:t>max</m:t>
        </m:r>
        <m:r>
          <m:rPr>
            <m:sty m:val="p"/>
          </m:rPr>
          <m:t>(</m:t>
        </m:r>
        <m:r>
          <m:t>0</m:t>
        </m:r>
        <m:r>
          <m:rPr>
            <m:sty m:val="p"/>
          </m:rPr>
          <m:t>,</m:t>
        </m:r>
        <m:r>
          <m:t>T</m:t>
        </m:r>
        <m:r>
          <m:rPr>
            <m:sty m:val="p"/>
          </m:rPr>
          <m:t>−</m:t>
        </m:r>
        <m:r>
          <m:t>C</m:t>
        </m:r>
        <m:r>
          <m:t> </m:t>
        </m:r>
        <m:r>
          <m:t>T</m:t>
        </m:r>
        <m:r>
          <m:rPr>
            <m:sty m:val="p"/>
          </m:rPr>
          <m:t>/</m:t>
        </m:r>
        <m:r>
          <m:rPr>
            <m:sty m:val="p"/>
          </m:rPr>
          <m:t>(</m:t>
        </m:r>
        <m:r>
          <m:t>α</m:t>
        </m:r>
        <m:r>
          <m:t>K</m:t>
        </m:r>
        <m:r>
          <m:rPr>
            <m:sty m:val="p"/>
          </m:rPr>
          <m:t>)</m:t>
        </m:r>
        <m:r>
          <m:rPr>
            <m:sty m:val="p"/>
          </m:rPr>
          <m:t>)</m:t>
        </m:r>
        <m:r>
          <m:rPr>
            <m:sty m:val="p"/>
          </m:rPr>
          <m:t>/</m:t>
        </m:r>
        <m:r>
          <m:t>α</m:t>
        </m:r>
      </m:oMath>
      <w:r>
        <w:t xml:space="preserve">.</w:t>
      </w:r>
    </w:p>
    <w:p>
      <w:pPr>
        <w:pStyle w:val="Compact"/>
        <w:numPr>
          <w:ilvl w:val="0"/>
          <w:numId w:val="1001"/>
        </w:numPr>
      </w:pPr>
      <w:r>
        <w:rPr>
          <w:b/>
          <w:bCs/>
        </w:rPr>
        <w:t xml:space="preserve">Calibration.</w:t>
      </w:r>
      <w:r>
        <w:t xml:space="preserve"> </w:t>
      </w:r>
      <m:oMath>
        <m:r>
          <m:t>C</m:t>
        </m:r>
      </m:oMath>
      <w:r>
        <w:t xml:space="preserve"> </w:t>
      </w:r>
      <w:r>
        <w:t xml:space="preserve">is solved so that</w:t>
      </w:r>
      <w:r>
        <w:t xml:space="preserve"> </w:t>
      </w:r>
      <m:oMath>
        <m:r>
          <m:t>B</m:t>
        </m:r>
        <m:r>
          <m:t>E</m:t>
        </m:r>
        <m:sSub>
          <m:e>
            <m:r>
              <m:t>D</m:t>
            </m:r>
          </m:e>
          <m:sub>
            <m:r>
              <m:t>D</m:t>
            </m:r>
            <m:r>
              <m:t>D</m:t>
            </m:r>
          </m:sub>
        </m:sSub>
        <m:r>
          <m:rPr>
            <m:sty m:val="p"/>
          </m:rPr>
          <m:t>=</m:t>
        </m:r>
        <m:r>
          <m:t>B</m:t>
        </m:r>
        <m:r>
          <m:t>E</m:t>
        </m:r>
        <m:sSub>
          <m:e>
            <m:r>
              <m:t>D</m:t>
            </m:r>
          </m:e>
          <m:sub>
            <m:r>
              <m:t>D</m:t>
            </m:r>
            <m:r>
              <m:t>I</m:t>
            </m:r>
          </m:sub>
        </m:sSub>
      </m:oMath>
      <w:r>
        <w:t xml:space="preserve"> </w:t>
      </w:r>
      <w:r>
        <w:t xml:space="preserve">for the reference regimen (70 Gy in 35 fractions over 47 days).</w:t>
      </w:r>
    </w:p>
    <w:p>
      <w:pPr>
        <w:pStyle w:val="Compact"/>
        <w:numPr>
          <w:ilvl w:val="0"/>
          <w:numId w:val="1001"/>
        </w:numPr>
      </w:pPr>
      <w:r>
        <w:rPr>
          <w:b/>
          <w:bCs/>
        </w:rPr>
        <w:t xml:space="preserve">Matching.</w:t>
      </w:r>
      <w:r>
        <w:t xml:space="preserve"> </w:t>
      </w:r>
      <w:r>
        <w:t xml:space="preserve">Here, in addition,</w:t>
      </w:r>
      <w:r>
        <w:t xml:space="preserve"> </w:t>
      </w:r>
      <m:oMath>
        <m:sSub>
          <m:e>
            <m:r>
              <m:t>λ</m:t>
            </m:r>
          </m:e>
          <m:sub>
            <m:r>
              <m:t>D</m:t>
            </m:r>
            <m:r>
              <m:t>D</m:t>
            </m:r>
          </m:sub>
        </m:sSub>
        <m:r>
          <m:rPr>
            <m:sty m:val="p"/>
          </m:rPr>
          <m:t>=</m:t>
        </m:r>
        <m:sSub>
          <m:e>
            <m:r>
              <m:t>λ</m:t>
            </m:r>
          </m:e>
          <m:sub>
            <m:r>
              <m:t>D</m:t>
            </m:r>
            <m:r>
              <m:t>I</m:t>
            </m:r>
          </m:sub>
        </m:sSub>
        <m:r>
          <m:rPr>
            <m:sty m:val="p"/>
          </m:rPr>
          <m:t>/</m:t>
        </m:r>
        <m:sSub>
          <m:e>
            <m:r>
              <m:t>P</m:t>
            </m:r>
          </m:e>
          <m:sub>
            <m:r>
              <m:t>k</m:t>
            </m:r>
            <m:r>
              <m:t>i</m:t>
            </m:r>
            <m:r>
              <m:t>l</m:t>
            </m:r>
            <m:r>
              <m:t>l</m:t>
            </m:r>
            <m:r>
              <m:rPr>
                <m:sty m:val="p"/>
              </m:rPr>
              <m:t>,</m:t>
            </m:r>
            <m:r>
              <m:t>r</m:t>
            </m:r>
            <m:r>
              <m:t>e</m:t>
            </m:r>
            <m:r>
              <m:t>f</m:t>
            </m:r>
          </m:sub>
        </m:sSub>
      </m:oMath>
      <w:r>
        <w:t xml:space="preserve">. With this choice the two models agree at the reference not only in BED but also in onset (day 28) and rate (0.2 per day). They differ only where daily or cumulative cell killing differs from the reference.</w:t>
      </w:r>
    </w:p>
    <w:p>
      <w:pPr>
        <w:pStyle w:val="FirstParagraph"/>
      </w:pPr>
      <w:r>
        <w:t xml:space="preserve">Each regimen has one repopulation doubling time,</w:t>
      </w:r>
      <w:r>
        <w:t xml:space="preserve"> </w:t>
      </w:r>
      <m:oMath>
        <m:r>
          <m:rPr>
            <m:sty m:val="p"/>
          </m:rPr>
          <m:t>ln</m:t>
        </m:r>
        <m:r>
          <m:t>2</m:t>
        </m:r>
      </m:oMath>
      <w:r>
        <w:t xml:space="preserve"> </w:t>
      </w:r>
      <w:r>
        <w:t xml:space="preserve">divided by its repopulation rate, and one daily BED loss, the rate divided by</w:t>
      </w:r>
      <w:r>
        <w:t xml:space="preserve"> </w:t>
      </w:r>
      <m:oMath>
        <m:r>
          <m:t>α</m:t>
        </m:r>
      </m:oMath>
      <w:r>
        <w:t xml:space="preserve">, in Gy</w:t>
      </w:r>
      <w:r>
        <w:rPr>
          <w:vertAlign w:val="subscript"/>
        </w:rPr>
        <w:t xml:space="preserve">10</w:t>
      </w:r>
      <w:r>
        <w:t xml:space="preserve"> </w:t>
      </w:r>
      <w:r>
        <w:t xml:space="preserve">per day after onset.</w:t>
      </w:r>
    </w:p>
    <w:tbl>
      <w:tblPr>
        <w:tblStyle w:val="Table"/>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W w:w="14112" w:type="dxa"/>
        <w:tblLayout w:type="fixed"/>
      </w:tblPr>
      <w:tblGrid>
        <w:gridCol w:w="4320"/>
        <w:gridCol w:w="9792"/>
      </w:tblGrid>
      <w:tr>
        <w:trPr>
          <w:tblHeader w:val="on"/>
          <w:tblHeader w:val="true"/>
        </w:trPr>
        <w:tc>
          <w:tcPr>
            <w:tcW w:type="dxa" w:w="4320"/>
            <w:vAlign w:val="top"/>
          </w:tcPr>
          <w:p>
            <w:pPr>
              <w:pStyle w:val="Compact"/>
            </w:pPr>
            <w:r>
              <w:rPr>
                <w:rFonts w:ascii="Arial" w:hAnsi="Arial"/>
                <w:b/>
                <w:sz w:val="20"/>
              </w:rPr>
              <w:t xml:space="preserve">Parameter</w:t>
            </w:r>
          </w:p>
        </w:tc>
        <w:tc>
          <w:tcPr>
            <w:tcW w:type="dxa" w:w="9792"/>
            <w:vAlign w:val="top"/>
          </w:tcPr>
          <w:p>
            <w:pPr>
              <w:pStyle w:val="Compact"/>
            </w:pPr>
            <w:r>
              <w:rPr>
                <w:rFonts w:ascii="Arial" w:hAnsi="Arial"/>
                <w:b/>
                <w:sz w:val="20"/>
              </w:rPr>
              <w:t xml:space="preserve">Value</w:t>
            </w:r>
          </w:p>
        </w:tc>
      </w:tr>
      <w:tr>
        <w:tc>
          <w:tcPr>
            <w:tcW w:type="dxa" w:w="4320"/>
          </w:tcPr>
          <w:p>
            <w:pPr>
              <w:pStyle w:val="Compact"/>
            </w:pPr>
            <w:r>
              <w:rPr>
                <w:rFonts w:ascii="Arial" w:hAnsi="Arial"/>
                <w:sz w:val="20"/>
              </w:rPr>
              <w:t xml:space="preserve">Tumor α</w:t>
            </w:r>
          </w:p>
        </w:tc>
        <w:tc>
          <w:tcPr>
            <w:tcW w:type="dxa" w:w="9792"/>
          </w:tcPr>
          <w:p>
            <w:pPr>
              <w:pStyle w:val="Compact"/>
            </w:pPr>
            <w:r>
              <w:rPr>
                <w:rFonts w:ascii="Arial" w:hAnsi="Arial"/>
                <w:sz w:val="20"/>
              </w:rPr>
              <w:t xml:space="preserve">0.2 Gy</w:t>
            </w:r>
            <w:r>
              <w:rPr>
                <w:rFonts w:ascii="Arial" w:hAnsi="Arial"/>
                <w:sz w:val="20"/>
                <w:vertAlign w:val="superscript"/>
              </w:rPr>
              <w:t xml:space="preserve">−1</w:t>
            </w:r>
            <w:r>
              <w:rPr>
                <w:rFonts w:ascii="Arial" w:hAnsi="Arial"/>
                <w:sz w:val="20"/>
              </w:rPr>
              <w:t xml:space="preserve"> </w:t>
            </w:r>
            <w:r>
              <w:rPr>
                <w:rFonts w:ascii="Arial" w:hAnsi="Arial"/>
                <w:sz w:val="20"/>
              </w:rPr>
              <w:t xml:space="preserve">(calculator default)</w:t>
            </w:r>
          </w:p>
        </w:tc>
      </w:tr>
      <w:tr>
        <w:tc>
          <w:tcPr>
            <w:tcW w:type="dxa" w:w="4320"/>
          </w:tcPr>
          <w:p>
            <w:pPr>
              <w:pStyle w:val="Compact"/>
            </w:pPr>
            <w:r>
              <w:rPr>
                <w:rFonts w:ascii="Arial" w:hAnsi="Arial"/>
                <w:sz w:val="20"/>
              </w:rPr>
              <w:t xml:space="preserve">Tumor α/β</w:t>
            </w:r>
          </w:p>
        </w:tc>
        <w:tc>
          <w:tcPr>
            <w:tcW w:type="dxa" w:w="9792"/>
          </w:tcPr>
          <w:p>
            <w:pPr>
              <w:pStyle w:val="Compact"/>
            </w:pPr>
            <w:r>
              <w:rPr>
                <w:rFonts w:ascii="Arial" w:hAnsi="Arial"/>
                <w:sz w:val="20"/>
              </w:rPr>
              <w:t xml:space="preserve">10 Gy</w:t>
            </w:r>
          </w:p>
        </w:tc>
      </w:tr>
      <w:tr>
        <w:tc>
          <w:tcPr>
            <w:tcW w:type="dxa" w:w="4320"/>
          </w:tcPr>
          <w:p>
            <w:pPr>
              <w:pStyle w:val="Compact"/>
            </w:pPr>
            <w:r>
              <w:rPr>
                <w:rFonts w:ascii="Arial" w:hAnsi="Arial"/>
                <w:sz w:val="20"/>
              </w:rPr>
              <w:t xml:space="preserve">DI rate λ</w:t>
            </w:r>
            <w:r>
              <w:rPr>
                <w:rFonts w:ascii="Arial" w:hAnsi="Arial"/>
                <w:sz w:val="20"/>
                <w:vertAlign w:val="subscript"/>
              </w:rPr>
              <w:t xml:space="preserve">DI</w:t>
            </w:r>
          </w:p>
        </w:tc>
        <w:tc>
          <w:tcPr>
            <w:tcW w:type="dxa" w:w="9792"/>
          </w:tcPr>
          <w:p>
            <w:pPr>
              <w:pStyle w:val="Compact"/>
            </w:pPr>
            <w:r>
              <w:rPr>
                <w:rFonts w:ascii="Arial" w:hAnsi="Arial"/>
                <w:sz w:val="20"/>
              </w:rPr>
              <w:t xml:space="preserve">0.2 per day (doubling time 3.5 days)</w:t>
            </w:r>
          </w:p>
        </w:tc>
      </w:tr>
      <w:tr>
        <w:tc>
          <w:tcPr>
            <w:tcW w:type="dxa" w:w="4320"/>
          </w:tcPr>
          <w:p>
            <w:pPr>
              <w:pStyle w:val="Compact"/>
            </w:pPr>
            <w:r>
              <w:rPr>
                <w:rFonts w:ascii="Arial" w:hAnsi="Arial"/>
                <w:sz w:val="20"/>
              </w:rPr>
              <w:t xml:space="preserve">DI onset T</w:t>
            </w:r>
            <w:r>
              <w:rPr>
                <w:rFonts w:ascii="Arial" w:hAnsi="Arial"/>
                <w:sz w:val="20"/>
                <w:vertAlign w:val="subscript"/>
              </w:rPr>
              <w:t xml:space="preserve">k</w:t>
            </w:r>
          </w:p>
        </w:tc>
        <w:tc>
          <w:tcPr>
            <w:tcW w:type="dxa" w:w="9792"/>
          </w:tcPr>
          <w:p>
            <w:pPr>
              <w:pStyle w:val="Compact"/>
            </w:pPr>
            <w:r>
              <w:rPr>
                <w:rFonts w:ascii="Arial" w:hAnsi="Arial"/>
                <w:sz w:val="20"/>
              </w:rPr>
              <w:t xml:space="preserve">28 days</w:t>
            </w:r>
          </w:p>
        </w:tc>
      </w:tr>
      <w:tr>
        <w:tc>
          <w:tcPr>
            <w:tcW w:type="dxa" w:w="4320"/>
          </w:tcPr>
          <w:p>
            <w:pPr>
              <w:pStyle w:val="Compact"/>
            </w:pPr>
            <w:r>
              <w:rPr>
                <w:rFonts w:ascii="Arial" w:hAnsi="Arial"/>
                <w:sz w:val="20"/>
              </w:rPr>
              <w:t xml:space="preserve">DD maximum rate λ</w:t>
            </w:r>
            <w:r>
              <w:rPr>
                <w:rFonts w:ascii="Arial" w:hAnsi="Arial"/>
                <w:sz w:val="20"/>
                <w:vertAlign w:val="subscript"/>
              </w:rPr>
              <w:t xml:space="preserve">DD</w:t>
            </w:r>
          </w:p>
        </w:tc>
        <w:tc>
          <w:tcPr>
            <w:tcW w:type="dxa" w:w="9792"/>
          </w:tcPr>
          <w:p>
            <w:pPr>
              <w:pStyle w:val="Compact"/>
            </w:pPr>
            <w:r>
              <w:rPr>
                <w:rFonts w:ascii="Arial" w:hAnsi="Arial"/>
                <w:sz w:val="20"/>
              </w:rPr>
              <w:t xml:space="preserve">0.666 per day (matched to DI, Tables 1 and 2) or 0.5 per day (current default, Tables 3 and 4)</w:t>
            </w:r>
          </w:p>
        </w:tc>
      </w:tr>
      <w:tr>
        <w:tc>
          <w:tcPr>
            <w:tcW w:type="dxa" w:w="4320"/>
          </w:tcPr>
          <w:p>
            <w:pPr>
              <w:pStyle w:val="Compact"/>
            </w:pPr>
            <w:r>
              <w:rPr>
                <w:rFonts w:ascii="Arial" w:hAnsi="Arial"/>
                <w:sz w:val="20"/>
              </w:rPr>
              <w:t xml:space="preserve">DD onset level C/α</w:t>
            </w:r>
          </w:p>
        </w:tc>
        <w:tc>
          <w:tcPr>
            <w:tcW w:type="dxa" w:w="9792"/>
          </w:tcPr>
          <w:p>
            <w:pPr>
              <w:pStyle w:val="Compact"/>
            </w:pPr>
            <w:r>
              <w:rPr>
                <w:rFonts w:ascii="Arial" w:hAnsi="Arial"/>
                <w:sz w:val="20"/>
              </w:rPr>
              <w:t xml:space="preserve">50.0 Gy</w:t>
            </w:r>
            <w:r>
              <w:rPr>
                <w:rFonts w:ascii="Arial" w:hAnsi="Arial"/>
                <w:sz w:val="20"/>
                <w:vertAlign w:val="subscript"/>
              </w:rPr>
              <w:t xml:space="preserve">10</w:t>
            </w:r>
            <w:r>
              <w:rPr>
                <w:rFonts w:ascii="Arial" w:hAnsi="Arial"/>
                <w:sz w:val="20"/>
              </w:rPr>
              <w:t xml:space="preserve"> </w:t>
            </w:r>
            <w:r>
              <w:rPr>
                <w:rFonts w:ascii="Arial" w:hAnsi="Arial"/>
                <w:sz w:val="20"/>
              </w:rPr>
              <w:t xml:space="preserve">(matched) or 38.8 Gy</w:t>
            </w:r>
            <w:r>
              <w:rPr>
                <w:rFonts w:ascii="Arial" w:hAnsi="Arial"/>
                <w:sz w:val="20"/>
                <w:vertAlign w:val="subscript"/>
              </w:rPr>
              <w:t xml:space="preserve">10</w:t>
            </w:r>
            <w:r>
              <w:rPr>
                <w:rFonts w:ascii="Arial" w:hAnsi="Arial"/>
                <w:sz w:val="20"/>
              </w:rPr>
              <w:t xml:space="preserve"> </w:t>
            </w:r>
            <w:r>
              <w:rPr>
                <w:rFonts w:ascii="Arial" w:hAnsi="Arial"/>
                <w:sz w:val="20"/>
              </w:rPr>
              <w:t xml:space="preserve">(default)</w:t>
            </w:r>
          </w:p>
        </w:tc>
      </w:tr>
      <w:tr>
        <w:tc>
          <w:tcPr>
            <w:tcW w:type="dxa" w:w="4320"/>
          </w:tcPr>
          <w:p>
            <w:pPr>
              <w:pStyle w:val="Compact"/>
            </w:pPr>
            <w:r>
              <w:rPr>
                <w:rFonts w:ascii="Arial" w:hAnsi="Arial"/>
                <w:sz w:val="20"/>
              </w:rPr>
              <w:t xml:space="preserve">Reference regimen</w:t>
            </w:r>
          </w:p>
        </w:tc>
        <w:tc>
          <w:tcPr>
            <w:tcW w:type="dxa" w:w="9792"/>
          </w:tcPr>
          <w:p>
            <w:pPr>
              <w:pStyle w:val="Compact"/>
            </w:pPr>
            <w:r>
              <w:rPr>
                <w:rFonts w:ascii="Arial" w:hAnsi="Arial"/>
                <w:sz w:val="20"/>
              </w:rPr>
              <w:t xml:space="preserve">70 Gy in 35 fractions, 47 days</w:t>
            </w:r>
          </w:p>
        </w:tc>
      </w:tr>
    </w:tbl>
    <w:p>
      <w:pPr>
        <w:pStyle w:val="BodyText"/>
      </w:pPr>
      <w:r>
        <w:rPr>
          <w:b/>
          <w:bCs/>
        </w:rPr>
        <w:t xml:space="preserve">Clinical benchmarks used for the plausibility assessment.</w:t>
      </w:r>
      <w:r>
        <w:t xml:space="preserve"> </w:t>
      </w:r>
      <w:r>
        <w:t xml:space="preserve">Repopulation onset about 4 ± 1 weeks (Withers et al. 1988 [2]) or 21–32 days (Fowler 2010 [3]). Doubling time during repopulation about 4 days (Withers [2]) or 3 days (Fowler [3]). Daily BED loss about 0.65–0.77 Gy</w:t>
      </w:r>
      <w:r>
        <w:rPr>
          <w:vertAlign w:val="subscript"/>
        </w:rPr>
        <w:t xml:space="preserve">10</w:t>
      </w:r>
      <w:r>
        <w:t xml:space="preserve">: Withers estimated 0.6 Gy per day in 2-Gy fractions, equal to 0.72 Gy</w:t>
      </w:r>
      <w:r>
        <w:rPr>
          <w:vertAlign w:val="subscript"/>
        </w:rPr>
        <w:t xml:space="preserve">10</w:t>
      </w:r>
      <w:r>
        <w:t xml:space="preserve"> </w:t>
      </w:r>
      <w:r>
        <w:t xml:space="preserve">[2], Fowler gave 0.66 Gy</w:t>
      </w:r>
      <w:r>
        <w:rPr>
          <w:vertAlign w:val="subscript"/>
        </w:rPr>
        <w:t xml:space="preserve">10</w:t>
      </w:r>
      <w:r>
        <w:t xml:space="preserve"> </w:t>
      </w:r>
      <w:r>
        <w:t xml:space="preserve">and</w:t>
      </w:r>
      <w:r>
        <w:t xml:space="preserve"> </w:t>
      </w:r>
      <w:r>
        <w:t xml:space="preserve">“no more than about 0.7 Gy/day”</w:t>
      </w:r>
      <w:r>
        <w:t xml:space="preserve"> </w:t>
      </w:r>
      <w:r>
        <w:t xml:space="preserve">[3], and the HYPNO design assumed 0.65 Gy per day [4]. These estimates come mainly from 5–7-week schedules.</w:t>
      </w:r>
    </w:p>
    <w:bookmarkEnd w:id="10"/>
    <w:bookmarkStart w:id="11" w:name="X1366967856ad09495d2afd865a3b2bf437a3712"/>
    <w:p>
      <w:pPr>
        <w:pStyle w:val="Heading1"/>
      </w:pPr>
      <w:r>
        <w:t xml:space="preserve">Table 1. Repopulation behavior of each regimen, DD rate matched to DI (0.666 per day)</w:t>
      </w:r>
    </w:p>
    <w:p>
      <w:pPr>
        <w:pStyle w:val="FirstParagraph"/>
      </w:pPr>
      <w:r>
        <w:t xml:space="preserve">Overall times</w:t>
      </w:r>
      <w:r>
        <w:t xml:space="preserve"> </w:t>
      </w:r>
      <m:oMath>
        <m:r>
          <m:t>T</m:t>
        </m:r>
      </m:oMath>
      <w:r>
        <w:t xml:space="preserve"> </w:t>
      </w:r>
      <w:r>
        <w:t xml:space="preserve">count the first to the last treatment day inclusive. For rows F–M, dose per fraction, number of fractions and</w:t>
      </w:r>
      <w:r>
        <w:t xml:space="preserve"> </w:t>
      </w:r>
      <m:oMath>
        <m:r>
          <m:t>T</m:t>
        </m:r>
      </m:oMath>
      <w:r>
        <w:t xml:space="preserve"> </w:t>
      </w:r>
      <w:r>
        <w:t xml:space="preserve">are the average values tabulated in Shuryak et al. 2018, Table 1 [1]. Rows A–E assume a Monday start, with 6 fractions per week for the HYPNO control arm. For the DI model, onset, doubling time and daily loss are the same for every regimen (day 28, 3.5 days, 1.00 Gy</w:t>
      </w:r>
      <w:r>
        <w:rPr>
          <w:vertAlign w:val="subscript"/>
        </w:rPr>
        <w:t xml:space="preserve">10</w:t>
      </w:r>
      <w:r>
        <w:t xml:space="preserve"> </w:t>
      </w:r>
      <w:r>
        <w:t xml:space="preserve">per day), and regimens shorter than 28 days incur no DI repopulation. Abbreviation: fx, fractions.</w:t>
      </w:r>
    </w:p>
    <w:tbl>
      <w:tblPr>
        <w:tblStyle w:val="Table"/>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W w:w="14112" w:type="dxa"/>
        <w:tblLayout w:type="fixed"/>
      </w:tblPr>
      <w:tblGrid>
        <w:gridCol w:w="2232"/>
        <w:gridCol w:w="720"/>
        <w:gridCol w:w="648"/>
        <w:gridCol w:w="648"/>
        <w:gridCol w:w="1007"/>
        <w:gridCol w:w="1152"/>
        <w:gridCol w:w="1152"/>
        <w:gridCol w:w="1440"/>
        <w:gridCol w:w="5112"/>
      </w:tblGrid>
      <w:tr>
        <w:trPr>
          <w:tblHeader w:val="on"/>
          <w:tblHeader w:val="true"/>
        </w:trPr>
        <w:tc>
          <w:tcPr>
            <w:tcW w:type="dxa" w:w="2232"/>
            <w:vAlign w:val="top"/>
          </w:tcPr>
          <w:p>
            <w:pPr>
              <w:pStyle w:val="Compact"/>
            </w:pPr>
            <w:r>
              <w:rPr>
                <w:rFonts w:ascii="Arial" w:hAnsi="Arial"/>
                <w:b/>
                <w:sz w:val="17"/>
              </w:rPr>
              <w:t xml:space="preserve">Regimen</w:t>
            </w:r>
          </w:p>
        </w:tc>
        <w:tc>
          <w:tcPr>
            <w:tcW w:type="dxa" w:w="720"/>
            <w:vAlign w:val="top"/>
          </w:tcPr>
          <w:p>
            <w:pPr>
              <w:pStyle w:val="Compact"/>
            </w:pPr>
            <w:r>
              <w:rPr>
                <w:rFonts w:ascii="Arial" w:hAnsi="Arial"/>
                <w:b/>
                <w:sz w:val="17"/>
              </w:rPr>
              <w:t xml:space="preserve">d (Gy)</w:t>
            </w:r>
          </w:p>
        </w:tc>
        <w:tc>
          <w:tcPr>
            <w:tcW w:type="dxa" w:w="648"/>
            <w:vAlign w:val="top"/>
          </w:tcPr>
          <w:p>
            <w:pPr>
              <w:pStyle w:val="Compact"/>
            </w:pPr>
            <w:r>
              <w:rPr>
                <w:rFonts w:ascii="Arial" w:hAnsi="Arial"/>
                <w:b/>
                <w:sz w:val="17"/>
              </w:rPr>
              <w:t xml:space="preserve">n</w:t>
            </w:r>
          </w:p>
        </w:tc>
        <w:tc>
          <w:tcPr>
            <w:tcW w:type="dxa" w:w="648"/>
            <w:vAlign w:val="top"/>
          </w:tcPr>
          <w:p>
            <w:pPr>
              <w:pStyle w:val="Compact"/>
            </w:pPr>
            <w:r>
              <w:rPr>
                <w:rFonts w:ascii="Arial" w:hAnsi="Arial"/>
                <w:b/>
                <w:sz w:val="17"/>
              </w:rPr>
              <w:t xml:space="preserve">T (d)</w:t>
            </w:r>
          </w:p>
        </w:tc>
        <w:tc>
          <w:tcPr>
            <w:tcW w:type="dxa" w:w="1008"/>
            <w:vAlign w:val="top"/>
          </w:tcPr>
          <w:p>
            <w:pPr>
              <w:pStyle w:val="Compact"/>
            </w:pPr>
            <w:r>
              <w:rPr>
                <w:rFonts w:ascii="Arial" w:hAnsi="Arial"/>
                <w:b/>
                <w:sz w:val="17"/>
              </w:rPr>
              <w:t xml:space="preserve">DD onset (day)</w:t>
            </w:r>
          </w:p>
        </w:tc>
        <w:tc>
          <w:tcPr>
            <w:tcW w:type="dxa" w:w="1152"/>
            <w:vAlign w:val="top"/>
          </w:tcPr>
          <w:p>
            <w:pPr>
              <w:pStyle w:val="Compact"/>
            </w:pPr>
            <w:r>
              <w:rPr>
                <w:rFonts w:ascii="Arial" w:hAnsi="Arial"/>
                <w:b/>
                <w:sz w:val="17"/>
              </w:rPr>
              <w:t xml:space="preserve">DD doubling time (d)</w:t>
            </w:r>
          </w:p>
        </w:tc>
        <w:tc>
          <w:tcPr>
            <w:tcW w:type="dxa" w:w="1152"/>
            <w:vAlign w:val="top"/>
          </w:tcPr>
          <w:p>
            <w:pPr>
              <w:pStyle w:val="Compact"/>
            </w:pPr>
            <w:r>
              <w:rPr>
                <w:rFonts w:ascii="Arial" w:hAnsi="Arial"/>
                <w:b/>
                <w:sz w:val="17"/>
              </w:rPr>
              <w:t xml:space="preserve">DD loss (Gy</w:t>
            </w:r>
            <w:r>
              <w:rPr>
                <w:rFonts w:ascii="Arial" w:hAnsi="Arial"/>
                <w:b/>
                <w:sz w:val="17"/>
                <w:vertAlign w:val="subscript"/>
              </w:rPr>
              <w:t xml:space="preserve">10</w:t>
            </w:r>
            <w:r>
              <w:rPr>
                <w:rFonts w:ascii="Arial" w:hAnsi="Arial"/>
                <w:b/>
                <w:sz w:val="17"/>
              </w:rPr>
              <w:t xml:space="preserve">/day)</w:t>
            </w:r>
          </w:p>
        </w:tc>
        <w:tc>
          <w:tcPr>
            <w:tcW w:type="dxa" w:w="1440"/>
            <w:vAlign w:val="top"/>
          </w:tcPr>
          <w:p>
            <w:pPr>
              <w:pStyle w:val="Compact"/>
            </w:pPr>
            <w:r>
              <w:rPr>
                <w:rFonts w:ascii="Arial" w:hAnsi="Arial"/>
                <w:b/>
                <w:sz w:val="17"/>
              </w:rPr>
              <w:t xml:space="preserve">BED</w:t>
            </w:r>
            <w:r>
              <w:rPr>
                <w:rFonts w:ascii="Arial" w:hAnsi="Arial"/>
                <w:b/>
                <w:sz w:val="17"/>
                <w:vertAlign w:val="subscript"/>
              </w:rPr>
              <w:t xml:space="preserve">DI</w:t>
            </w:r>
            <w:r>
              <w:rPr>
                <w:rFonts w:ascii="Arial" w:hAnsi="Arial"/>
                <w:b/>
                <w:sz w:val="17"/>
              </w:rPr>
              <w:t xml:space="preserve"> </w:t>
            </w:r>
            <w:r>
              <w:rPr>
                <w:rFonts w:ascii="Arial" w:hAnsi="Arial"/>
                <w:b/>
                <w:sz w:val="17"/>
              </w:rPr>
              <w:t xml:space="preserve">/ BED</w:t>
            </w:r>
            <w:r>
              <w:rPr>
                <w:rFonts w:ascii="Arial" w:hAnsi="Arial"/>
                <w:b/>
                <w:sz w:val="17"/>
                <w:vertAlign w:val="subscript"/>
              </w:rPr>
              <w:t xml:space="preserve">DD</w:t>
            </w:r>
            <w:r>
              <w:rPr>
                <w:rFonts w:ascii="Arial" w:hAnsi="Arial"/>
                <w:b/>
                <w:sz w:val="17"/>
              </w:rPr>
              <w:t xml:space="preserve"> </w:t>
            </w:r>
            <w:r>
              <w:rPr>
                <w:rFonts w:ascii="Arial" w:hAnsi="Arial"/>
                <w:b/>
                <w:sz w:val="17"/>
              </w:rPr>
              <w:t xml:space="preserve">(Gy</w:t>
            </w:r>
            <w:r>
              <w:rPr>
                <w:rFonts w:ascii="Arial" w:hAnsi="Arial"/>
                <w:b/>
                <w:sz w:val="17"/>
                <w:vertAlign w:val="subscript"/>
              </w:rPr>
              <w:t xml:space="preserve">10</w:t>
            </w:r>
            <w:r>
              <w:rPr>
                <w:rFonts w:ascii="Arial" w:hAnsi="Arial"/>
                <w:b/>
                <w:sz w:val="17"/>
              </w:rPr>
              <w:t xml:space="preserve">)</w:t>
            </w:r>
          </w:p>
        </w:tc>
        <w:tc>
          <w:tcPr>
            <w:tcW w:type="dxa" w:w="5112"/>
            <w:vAlign w:val="top"/>
          </w:tcPr>
          <w:p>
            <w:pPr>
              <w:pStyle w:val="Compact"/>
            </w:pPr>
            <w:r>
              <w:rPr>
                <w:rFonts w:ascii="Arial" w:hAnsi="Arial"/>
                <w:b/>
                <w:sz w:val="17"/>
              </w:rPr>
              <w:t xml:space="preserve">Plausibility of the DD values</w:t>
            </w:r>
          </w:p>
        </w:tc>
      </w:tr>
      <w:tr>
        <w:tc>
          <w:tcPr>
            <w:tcW w:type="dxa" w:w="2232"/>
          </w:tcPr>
          <w:p>
            <w:pPr>
              <w:pStyle w:val="Compact"/>
            </w:pPr>
            <w:r>
              <w:rPr>
                <w:rFonts w:ascii="Arial" w:hAnsi="Arial"/>
                <w:sz w:val="17"/>
              </w:rPr>
              <w:t xml:space="preserve">A. Standard, 70 Gy/35 fx (reference)</w:t>
            </w:r>
          </w:p>
        </w:tc>
        <w:tc>
          <w:tcPr>
            <w:tcW w:type="dxa" w:w="720"/>
          </w:tcPr>
          <w:p>
            <w:pPr>
              <w:pStyle w:val="Compact"/>
            </w:pPr>
            <w:r>
              <w:rPr>
                <w:rFonts w:ascii="Arial" w:hAnsi="Arial"/>
                <w:sz w:val="17"/>
              </w:rPr>
              <w:t xml:space="preserve">2.0</w:t>
            </w:r>
          </w:p>
        </w:tc>
        <w:tc>
          <w:tcPr>
            <w:tcW w:type="dxa" w:w="648"/>
          </w:tcPr>
          <w:p>
            <w:pPr>
              <w:pStyle w:val="Compact"/>
            </w:pPr>
            <w:r>
              <w:rPr>
                <w:rFonts w:ascii="Arial" w:hAnsi="Arial"/>
                <w:sz w:val="17"/>
              </w:rPr>
              <w:t xml:space="preserve">35</w:t>
            </w:r>
          </w:p>
        </w:tc>
        <w:tc>
          <w:tcPr>
            <w:tcW w:type="dxa" w:w="648"/>
          </w:tcPr>
          <w:p>
            <w:pPr>
              <w:pStyle w:val="Compact"/>
            </w:pPr>
            <w:r>
              <w:rPr>
                <w:rFonts w:ascii="Arial" w:hAnsi="Arial"/>
                <w:sz w:val="17"/>
              </w:rPr>
              <w:t xml:space="preserve">47</w:t>
            </w:r>
          </w:p>
        </w:tc>
        <w:tc>
          <w:tcPr>
            <w:tcW w:type="dxa" w:w="1008"/>
          </w:tcPr>
          <w:p>
            <w:pPr>
              <w:pStyle w:val="Compact"/>
            </w:pPr>
            <w:r>
              <w:rPr>
                <w:rFonts w:ascii="Arial" w:hAnsi="Arial"/>
                <w:sz w:val="17"/>
              </w:rPr>
              <w:t xml:space="preserve">28.0</w:t>
            </w:r>
          </w:p>
        </w:tc>
        <w:tc>
          <w:tcPr>
            <w:tcW w:type="dxa" w:w="1152"/>
          </w:tcPr>
          <w:p>
            <w:pPr>
              <w:pStyle w:val="Compact"/>
            </w:pPr>
            <w:r>
              <w:rPr>
                <w:rFonts w:ascii="Arial" w:hAnsi="Arial"/>
                <w:sz w:val="17"/>
              </w:rPr>
              <w:t xml:space="preserve">3.5</w:t>
            </w:r>
          </w:p>
        </w:tc>
        <w:tc>
          <w:tcPr>
            <w:tcW w:type="dxa" w:w="1152"/>
          </w:tcPr>
          <w:p>
            <w:pPr>
              <w:pStyle w:val="Compact"/>
            </w:pPr>
            <w:r>
              <w:rPr>
                <w:rFonts w:ascii="Arial" w:hAnsi="Arial"/>
                <w:sz w:val="17"/>
              </w:rPr>
              <w:t xml:space="preserve">1.00</w:t>
            </w:r>
          </w:p>
        </w:tc>
        <w:tc>
          <w:tcPr>
            <w:tcW w:type="dxa" w:w="1440"/>
          </w:tcPr>
          <w:p>
            <w:pPr>
              <w:pStyle w:val="Compact"/>
            </w:pPr>
            <w:r>
              <w:rPr>
                <w:rFonts w:ascii="Arial" w:hAnsi="Arial"/>
                <w:sz w:val="17"/>
              </w:rPr>
              <w:t xml:space="preserve">65.0 / 65.0</w:t>
            </w:r>
          </w:p>
        </w:tc>
        <w:tc>
          <w:tcPr>
            <w:tcW w:type="dxa" w:w="5112"/>
          </w:tcPr>
          <w:p>
            <w:pPr>
              <w:pStyle w:val="Compact"/>
            </w:pPr>
            <w:r>
              <w:rPr>
                <w:rFonts w:ascii="Arial" w:hAnsi="Arial"/>
                <w:sz w:val="17"/>
              </w:rPr>
              <w:t xml:space="preserve">Identical to DI by construction. Onset and doubling time plausible. Daily loss above the 0.65–0.77 Gy</w:t>
            </w:r>
            <w:r>
              <w:rPr>
                <w:rFonts w:ascii="Arial" w:hAnsi="Arial"/>
                <w:sz w:val="17"/>
                <w:vertAlign w:val="subscript"/>
              </w:rPr>
              <w:t xml:space="preserve">10</w:t>
            </w:r>
            <w:r>
              <w:rPr>
                <w:rFonts w:ascii="Arial" w:hAnsi="Arial"/>
                <w:sz w:val="17"/>
              </w:rPr>
              <w:t xml:space="preserve"> </w:t>
            </w:r>
            <w:r>
              <w:rPr>
                <w:rFonts w:ascii="Arial" w:hAnsi="Arial"/>
                <w:sz w:val="17"/>
              </w:rPr>
              <w:t xml:space="preserve">estimates, inherited from the calculator’s DI default.</w:t>
            </w:r>
          </w:p>
        </w:tc>
      </w:tr>
      <w:tr>
        <w:tc>
          <w:tcPr>
            <w:tcW w:type="dxa" w:w="2232"/>
          </w:tcPr>
          <w:p>
            <w:pPr>
              <w:pStyle w:val="Compact"/>
            </w:pPr>
            <w:r>
              <w:rPr>
                <w:rFonts w:ascii="Arial" w:hAnsi="Arial"/>
                <w:sz w:val="17"/>
              </w:rPr>
              <w:t xml:space="preserve">B. UK, 65 Gy/30 fx</w:t>
            </w:r>
          </w:p>
        </w:tc>
        <w:tc>
          <w:tcPr>
            <w:tcW w:type="dxa" w:w="720"/>
          </w:tcPr>
          <w:p>
            <w:pPr>
              <w:pStyle w:val="Compact"/>
            </w:pPr>
            <w:r>
              <w:rPr>
                <w:rFonts w:ascii="Arial" w:hAnsi="Arial"/>
                <w:sz w:val="17"/>
              </w:rPr>
              <w:t xml:space="preserve">2.17</w:t>
            </w:r>
          </w:p>
        </w:tc>
        <w:tc>
          <w:tcPr>
            <w:tcW w:type="dxa" w:w="648"/>
          </w:tcPr>
          <w:p>
            <w:pPr>
              <w:pStyle w:val="Compact"/>
            </w:pPr>
            <w:r>
              <w:rPr>
                <w:rFonts w:ascii="Arial" w:hAnsi="Arial"/>
                <w:sz w:val="17"/>
              </w:rPr>
              <w:t xml:space="preserve">30</w:t>
            </w:r>
          </w:p>
        </w:tc>
        <w:tc>
          <w:tcPr>
            <w:tcW w:type="dxa" w:w="648"/>
          </w:tcPr>
          <w:p>
            <w:pPr>
              <w:pStyle w:val="Compact"/>
            </w:pPr>
            <w:r>
              <w:rPr>
                <w:rFonts w:ascii="Arial" w:hAnsi="Arial"/>
                <w:sz w:val="17"/>
              </w:rPr>
              <w:t xml:space="preserve">40</w:t>
            </w:r>
          </w:p>
        </w:tc>
        <w:tc>
          <w:tcPr>
            <w:tcW w:type="dxa" w:w="1008"/>
          </w:tcPr>
          <w:p>
            <w:pPr>
              <w:pStyle w:val="Compact"/>
            </w:pPr>
            <w:r>
              <w:rPr>
                <w:rFonts w:ascii="Arial" w:hAnsi="Arial"/>
                <w:sz w:val="17"/>
              </w:rPr>
              <w:t xml:space="preserve">25.3</w:t>
            </w:r>
          </w:p>
        </w:tc>
        <w:tc>
          <w:tcPr>
            <w:tcW w:type="dxa" w:w="1152"/>
          </w:tcPr>
          <w:p>
            <w:pPr>
              <w:pStyle w:val="Compact"/>
            </w:pPr>
            <w:r>
              <w:rPr>
                <w:rFonts w:ascii="Arial" w:hAnsi="Arial"/>
                <w:sz w:val="17"/>
              </w:rPr>
              <w:t xml:space="preserve">3.2</w:t>
            </w:r>
          </w:p>
        </w:tc>
        <w:tc>
          <w:tcPr>
            <w:tcW w:type="dxa" w:w="1152"/>
          </w:tcPr>
          <w:p>
            <w:pPr>
              <w:pStyle w:val="Compact"/>
            </w:pPr>
            <w:r>
              <w:rPr>
                <w:rFonts w:ascii="Arial" w:hAnsi="Arial"/>
                <w:sz w:val="17"/>
              </w:rPr>
              <w:t xml:space="preserve">1.09</w:t>
            </w:r>
          </w:p>
        </w:tc>
        <w:tc>
          <w:tcPr>
            <w:tcW w:type="dxa" w:w="1440"/>
          </w:tcPr>
          <w:p>
            <w:pPr>
              <w:pStyle w:val="Compact"/>
            </w:pPr>
            <w:r>
              <w:rPr>
                <w:rFonts w:ascii="Arial" w:hAnsi="Arial"/>
                <w:sz w:val="17"/>
              </w:rPr>
              <w:t xml:space="preserve">67.1 / 63.1</w:t>
            </w:r>
          </w:p>
        </w:tc>
        <w:tc>
          <w:tcPr>
            <w:tcW w:type="dxa" w:w="5112"/>
          </w:tcPr>
          <w:p>
            <w:pPr>
              <w:pStyle w:val="Compact"/>
            </w:pPr>
            <w:r>
              <w:rPr>
                <w:rFonts w:ascii="Arial" w:hAnsi="Arial"/>
                <w:sz w:val="17"/>
              </w:rPr>
              <w:t xml:space="preserve">Plausible onset and doubling time.</w:t>
            </w:r>
          </w:p>
        </w:tc>
      </w:tr>
      <w:tr>
        <w:tc>
          <w:tcPr>
            <w:tcW w:type="dxa" w:w="2232"/>
          </w:tcPr>
          <w:p>
            <w:pPr>
              <w:pStyle w:val="Compact"/>
            </w:pPr>
            <w:r>
              <w:rPr>
                <w:rFonts w:ascii="Arial" w:hAnsi="Arial"/>
                <w:sz w:val="17"/>
              </w:rPr>
              <w:t xml:space="preserve">C. HYPNO control, 66 Gy/33 fx, 6 fx/week</w:t>
            </w:r>
          </w:p>
        </w:tc>
        <w:tc>
          <w:tcPr>
            <w:tcW w:type="dxa" w:w="720"/>
          </w:tcPr>
          <w:p>
            <w:pPr>
              <w:pStyle w:val="Compact"/>
            </w:pPr>
            <w:r>
              <w:rPr>
                <w:rFonts w:ascii="Arial" w:hAnsi="Arial"/>
                <w:sz w:val="17"/>
              </w:rPr>
              <w:t xml:space="preserve">2.0</w:t>
            </w:r>
          </w:p>
        </w:tc>
        <w:tc>
          <w:tcPr>
            <w:tcW w:type="dxa" w:w="648"/>
          </w:tcPr>
          <w:p>
            <w:pPr>
              <w:pStyle w:val="Compact"/>
            </w:pPr>
            <w:r>
              <w:rPr>
                <w:rFonts w:ascii="Arial" w:hAnsi="Arial"/>
                <w:sz w:val="17"/>
              </w:rPr>
              <w:t xml:space="preserve">33</w:t>
            </w:r>
          </w:p>
        </w:tc>
        <w:tc>
          <w:tcPr>
            <w:tcW w:type="dxa" w:w="648"/>
          </w:tcPr>
          <w:p>
            <w:pPr>
              <w:pStyle w:val="Compact"/>
            </w:pPr>
            <w:r>
              <w:rPr>
                <w:rFonts w:ascii="Arial" w:hAnsi="Arial"/>
                <w:sz w:val="17"/>
              </w:rPr>
              <w:t xml:space="preserve">38</w:t>
            </w:r>
          </w:p>
        </w:tc>
        <w:tc>
          <w:tcPr>
            <w:tcW w:type="dxa" w:w="1008"/>
          </w:tcPr>
          <w:p>
            <w:pPr>
              <w:pStyle w:val="Compact"/>
            </w:pPr>
            <w:r>
              <w:rPr>
                <w:rFonts w:ascii="Arial" w:hAnsi="Arial"/>
                <w:sz w:val="17"/>
              </w:rPr>
              <w:t xml:space="preserve">24.0</w:t>
            </w:r>
          </w:p>
        </w:tc>
        <w:tc>
          <w:tcPr>
            <w:tcW w:type="dxa" w:w="1152"/>
          </w:tcPr>
          <w:p>
            <w:pPr>
              <w:pStyle w:val="Compact"/>
            </w:pPr>
            <w:r>
              <w:rPr>
                <w:rFonts w:ascii="Arial" w:hAnsi="Arial"/>
                <w:sz w:val="17"/>
              </w:rPr>
              <w:t xml:space="preserve">3.1</w:t>
            </w:r>
          </w:p>
        </w:tc>
        <w:tc>
          <w:tcPr>
            <w:tcW w:type="dxa" w:w="1152"/>
          </w:tcPr>
          <w:p>
            <w:pPr>
              <w:pStyle w:val="Compact"/>
            </w:pPr>
            <w:r>
              <w:rPr>
                <w:rFonts w:ascii="Arial" w:hAnsi="Arial"/>
                <w:sz w:val="17"/>
              </w:rPr>
              <w:t xml:space="preserve">1.13</w:t>
            </w:r>
          </w:p>
        </w:tc>
        <w:tc>
          <w:tcPr>
            <w:tcW w:type="dxa" w:w="1440"/>
          </w:tcPr>
          <w:p>
            <w:pPr>
              <w:pStyle w:val="Compact"/>
            </w:pPr>
            <w:r>
              <w:rPr>
                <w:rFonts w:ascii="Arial" w:hAnsi="Arial"/>
                <w:sz w:val="17"/>
              </w:rPr>
              <w:t xml:space="preserve">69.2 / 63.3</w:t>
            </w:r>
          </w:p>
        </w:tc>
        <w:tc>
          <w:tcPr>
            <w:tcW w:type="dxa" w:w="5112"/>
          </w:tcPr>
          <w:p>
            <w:pPr>
              <w:pStyle w:val="Compact"/>
            </w:pPr>
            <w:r>
              <w:rPr>
                <w:rFonts w:ascii="Arial" w:hAnsi="Arial"/>
                <w:sz w:val="17"/>
              </w:rPr>
              <w:t xml:space="preserve">Plausible onset and doubling time.</w:t>
            </w:r>
          </w:p>
        </w:tc>
      </w:tr>
      <w:tr>
        <w:tc>
          <w:tcPr>
            <w:tcW w:type="dxa" w:w="2232"/>
          </w:tcPr>
          <w:p>
            <w:pPr>
              <w:pStyle w:val="Compact"/>
            </w:pPr>
            <w:r>
              <w:rPr>
                <w:rFonts w:ascii="Arial" w:hAnsi="Arial"/>
                <w:sz w:val="17"/>
              </w:rPr>
              <w:t xml:space="preserve">D. HYPNO test, 55 Gy/20 fx [4]</w:t>
            </w:r>
          </w:p>
        </w:tc>
        <w:tc>
          <w:tcPr>
            <w:tcW w:type="dxa" w:w="720"/>
          </w:tcPr>
          <w:p>
            <w:pPr>
              <w:pStyle w:val="Compact"/>
            </w:pPr>
            <w:r>
              <w:rPr>
                <w:rFonts w:ascii="Arial" w:hAnsi="Arial"/>
                <w:sz w:val="17"/>
              </w:rPr>
              <w:t xml:space="preserve">2.75</w:t>
            </w:r>
          </w:p>
        </w:tc>
        <w:tc>
          <w:tcPr>
            <w:tcW w:type="dxa" w:w="648"/>
          </w:tcPr>
          <w:p>
            <w:pPr>
              <w:pStyle w:val="Compact"/>
            </w:pPr>
            <w:r>
              <w:rPr>
                <w:rFonts w:ascii="Arial" w:hAnsi="Arial"/>
                <w:sz w:val="17"/>
              </w:rPr>
              <w:t xml:space="preserve">20</w:t>
            </w:r>
          </w:p>
        </w:tc>
        <w:tc>
          <w:tcPr>
            <w:tcW w:type="dxa" w:w="648"/>
          </w:tcPr>
          <w:p>
            <w:pPr>
              <w:pStyle w:val="Compact"/>
            </w:pPr>
            <w:r>
              <w:rPr>
                <w:rFonts w:ascii="Arial" w:hAnsi="Arial"/>
                <w:sz w:val="17"/>
              </w:rPr>
              <w:t xml:space="preserve">26</w:t>
            </w:r>
          </w:p>
        </w:tc>
        <w:tc>
          <w:tcPr>
            <w:tcW w:type="dxa" w:w="1008"/>
          </w:tcPr>
          <w:p>
            <w:pPr>
              <w:pStyle w:val="Compact"/>
            </w:pPr>
            <w:r>
              <w:rPr>
                <w:rFonts w:ascii="Arial" w:hAnsi="Arial"/>
                <w:sz w:val="17"/>
              </w:rPr>
              <w:t xml:space="preserve">18.6</w:t>
            </w:r>
          </w:p>
        </w:tc>
        <w:tc>
          <w:tcPr>
            <w:tcW w:type="dxa" w:w="1152"/>
          </w:tcPr>
          <w:p>
            <w:pPr>
              <w:pStyle w:val="Compact"/>
            </w:pPr>
            <w:r>
              <w:rPr>
                <w:rFonts w:ascii="Arial" w:hAnsi="Arial"/>
                <w:sz w:val="17"/>
              </w:rPr>
              <w:t xml:space="preserve">2.5</w:t>
            </w:r>
          </w:p>
        </w:tc>
        <w:tc>
          <w:tcPr>
            <w:tcW w:type="dxa" w:w="1152"/>
          </w:tcPr>
          <w:p>
            <w:pPr>
              <w:pStyle w:val="Compact"/>
            </w:pPr>
            <w:r>
              <w:rPr>
                <w:rFonts w:ascii="Arial" w:hAnsi="Arial"/>
                <w:sz w:val="17"/>
              </w:rPr>
              <w:t xml:space="preserve">1.39</w:t>
            </w:r>
          </w:p>
        </w:tc>
        <w:tc>
          <w:tcPr>
            <w:tcW w:type="dxa" w:w="1440"/>
          </w:tcPr>
          <w:p>
            <w:pPr>
              <w:pStyle w:val="Compact"/>
            </w:pPr>
            <w:r>
              <w:rPr>
                <w:rFonts w:ascii="Arial" w:hAnsi="Arial"/>
                <w:sz w:val="17"/>
              </w:rPr>
              <w:t xml:space="preserve">70.1 / 59.8</w:t>
            </w:r>
          </w:p>
        </w:tc>
        <w:tc>
          <w:tcPr>
            <w:tcW w:type="dxa" w:w="5112"/>
          </w:tcPr>
          <w:p>
            <w:pPr>
              <w:pStyle w:val="Compact"/>
            </w:pPr>
            <w:r>
              <w:rPr>
                <w:rFonts w:ascii="Arial" w:hAnsi="Arial"/>
                <w:sz w:val="17"/>
              </w:rPr>
              <w:t xml:space="preserve">Onset at the early edge of clinical estimates. Doubling time shorter and daily loss about twice the clinical estimates.</w:t>
            </w:r>
          </w:p>
        </w:tc>
      </w:tr>
      <w:tr>
        <w:tc>
          <w:tcPr>
            <w:tcW w:type="dxa" w:w="2232"/>
          </w:tcPr>
          <w:p>
            <w:pPr>
              <w:pStyle w:val="Compact"/>
            </w:pPr>
            <w:r>
              <w:rPr>
                <w:rFonts w:ascii="Arial" w:hAnsi="Arial"/>
                <w:sz w:val="17"/>
              </w:rPr>
              <w:t xml:space="preserve">E. HYHOPE, 46.5 Gy/15 fx [5]</w:t>
            </w:r>
          </w:p>
        </w:tc>
        <w:tc>
          <w:tcPr>
            <w:tcW w:type="dxa" w:w="720"/>
          </w:tcPr>
          <w:p>
            <w:pPr>
              <w:pStyle w:val="Compact"/>
            </w:pPr>
            <w:r>
              <w:rPr>
                <w:rFonts w:ascii="Arial" w:hAnsi="Arial"/>
                <w:sz w:val="17"/>
              </w:rPr>
              <w:t xml:space="preserve">3.1</w:t>
            </w:r>
          </w:p>
        </w:tc>
        <w:tc>
          <w:tcPr>
            <w:tcW w:type="dxa" w:w="648"/>
          </w:tcPr>
          <w:p>
            <w:pPr>
              <w:pStyle w:val="Compact"/>
            </w:pPr>
            <w:r>
              <w:rPr>
                <w:rFonts w:ascii="Arial" w:hAnsi="Arial"/>
                <w:sz w:val="17"/>
              </w:rPr>
              <w:t xml:space="preserve">15</w:t>
            </w:r>
          </w:p>
        </w:tc>
        <w:tc>
          <w:tcPr>
            <w:tcW w:type="dxa" w:w="648"/>
          </w:tcPr>
          <w:p>
            <w:pPr>
              <w:pStyle w:val="Compact"/>
            </w:pPr>
            <w:r>
              <w:rPr>
                <w:rFonts w:ascii="Arial" w:hAnsi="Arial"/>
                <w:sz w:val="17"/>
              </w:rPr>
              <w:t xml:space="preserve">19</w:t>
            </w:r>
          </w:p>
        </w:tc>
        <w:tc>
          <w:tcPr>
            <w:tcW w:type="dxa" w:w="1008"/>
          </w:tcPr>
          <w:p>
            <w:pPr>
              <w:pStyle w:val="Compact"/>
            </w:pPr>
            <w:r>
              <w:rPr>
                <w:rFonts w:ascii="Arial" w:hAnsi="Arial"/>
                <w:sz w:val="17"/>
              </w:rPr>
              <w:t xml:space="preserve">15.6</w:t>
            </w:r>
          </w:p>
        </w:tc>
        <w:tc>
          <w:tcPr>
            <w:tcW w:type="dxa" w:w="1152"/>
          </w:tcPr>
          <w:p>
            <w:pPr>
              <w:pStyle w:val="Compact"/>
            </w:pPr>
            <w:r>
              <w:rPr>
                <w:rFonts w:ascii="Arial" w:hAnsi="Arial"/>
                <w:sz w:val="17"/>
              </w:rPr>
              <w:t xml:space="preserve">2.2</w:t>
            </w:r>
          </w:p>
        </w:tc>
        <w:tc>
          <w:tcPr>
            <w:tcW w:type="dxa" w:w="1152"/>
          </w:tcPr>
          <w:p>
            <w:pPr>
              <w:pStyle w:val="Compact"/>
            </w:pPr>
            <w:r>
              <w:rPr>
                <w:rFonts w:ascii="Arial" w:hAnsi="Arial"/>
                <w:sz w:val="17"/>
              </w:rPr>
              <w:t xml:space="preserve">1.57</w:t>
            </w:r>
          </w:p>
        </w:tc>
        <w:tc>
          <w:tcPr>
            <w:tcW w:type="dxa" w:w="1440"/>
          </w:tcPr>
          <w:p>
            <w:pPr>
              <w:pStyle w:val="Compact"/>
            </w:pPr>
            <w:r>
              <w:rPr>
                <w:rFonts w:ascii="Arial" w:hAnsi="Arial"/>
                <w:sz w:val="17"/>
              </w:rPr>
              <w:t xml:space="preserve">60.9 / 55.6</w:t>
            </w:r>
          </w:p>
        </w:tc>
        <w:tc>
          <w:tcPr>
            <w:tcW w:type="dxa" w:w="5112"/>
          </w:tcPr>
          <w:p>
            <w:pPr>
              <w:pStyle w:val="Compact"/>
            </w:pPr>
            <w:r>
              <w:rPr>
                <w:rFonts w:ascii="Arial" w:hAnsi="Arial"/>
                <w:sz w:val="17"/>
              </w:rPr>
              <w:t xml:space="preserve">Onset earlier than any clinical estimate. Fast doubling. Not testable here (de-escalation trial in favorable human papillomavirus (HPV)-positive disease).</w:t>
            </w:r>
          </w:p>
        </w:tc>
      </w:tr>
      <w:tr>
        <w:tc>
          <w:tcPr>
            <w:tcW w:type="dxa" w:w="2232"/>
          </w:tcPr>
          <w:p>
            <w:pPr>
              <w:pStyle w:val="Compact"/>
            </w:pPr>
            <w:r>
              <w:rPr>
                <w:rFonts w:ascii="Arial" w:hAnsi="Arial"/>
                <w:sz w:val="17"/>
              </w:rPr>
              <w:t xml:space="preserve">F. DAHANCA 6&amp;7, 6 fx/week</w:t>
            </w:r>
          </w:p>
        </w:tc>
        <w:tc>
          <w:tcPr>
            <w:tcW w:type="dxa" w:w="720"/>
          </w:tcPr>
          <w:p>
            <w:pPr>
              <w:pStyle w:val="Compact"/>
            </w:pPr>
            <w:r>
              <w:rPr>
                <w:rFonts w:ascii="Arial" w:hAnsi="Arial"/>
                <w:sz w:val="17"/>
              </w:rPr>
              <w:t xml:space="preserve">2.0</w:t>
            </w:r>
          </w:p>
        </w:tc>
        <w:tc>
          <w:tcPr>
            <w:tcW w:type="dxa" w:w="648"/>
          </w:tcPr>
          <w:p>
            <w:pPr>
              <w:pStyle w:val="Compact"/>
            </w:pPr>
            <w:r>
              <w:rPr>
                <w:rFonts w:ascii="Arial" w:hAnsi="Arial"/>
                <w:sz w:val="17"/>
              </w:rPr>
              <w:t xml:space="preserve">33.5</w:t>
            </w:r>
          </w:p>
        </w:tc>
        <w:tc>
          <w:tcPr>
            <w:tcW w:type="dxa" w:w="648"/>
          </w:tcPr>
          <w:p>
            <w:pPr>
              <w:pStyle w:val="Compact"/>
            </w:pPr>
            <w:r>
              <w:rPr>
                <w:rFonts w:ascii="Arial" w:hAnsi="Arial"/>
                <w:sz w:val="17"/>
              </w:rPr>
              <w:t xml:space="preserve">39</w:t>
            </w:r>
          </w:p>
        </w:tc>
        <w:tc>
          <w:tcPr>
            <w:tcW w:type="dxa" w:w="1008"/>
          </w:tcPr>
          <w:p>
            <w:pPr>
              <w:pStyle w:val="Compact"/>
            </w:pPr>
            <w:r>
              <w:rPr>
                <w:rFonts w:ascii="Arial" w:hAnsi="Arial"/>
                <w:sz w:val="17"/>
              </w:rPr>
              <w:t xml:space="preserve">24.3</w:t>
            </w:r>
          </w:p>
        </w:tc>
        <w:tc>
          <w:tcPr>
            <w:tcW w:type="dxa" w:w="1152"/>
          </w:tcPr>
          <w:p>
            <w:pPr>
              <w:pStyle w:val="Compact"/>
            </w:pPr>
            <w:r>
              <w:rPr>
                <w:rFonts w:ascii="Arial" w:hAnsi="Arial"/>
                <w:sz w:val="17"/>
              </w:rPr>
              <w:t xml:space="preserve">3.1</w:t>
            </w:r>
          </w:p>
        </w:tc>
        <w:tc>
          <w:tcPr>
            <w:tcW w:type="dxa" w:w="1152"/>
          </w:tcPr>
          <w:p>
            <w:pPr>
              <w:pStyle w:val="Compact"/>
            </w:pPr>
            <w:r>
              <w:rPr>
                <w:rFonts w:ascii="Arial" w:hAnsi="Arial"/>
                <w:sz w:val="17"/>
              </w:rPr>
              <w:t xml:space="preserve">1.12</w:t>
            </w:r>
          </w:p>
        </w:tc>
        <w:tc>
          <w:tcPr>
            <w:tcW w:type="dxa" w:w="1440"/>
          </w:tcPr>
          <w:p>
            <w:pPr>
              <w:pStyle w:val="Compact"/>
            </w:pPr>
            <w:r>
              <w:rPr>
                <w:rFonts w:ascii="Arial" w:hAnsi="Arial"/>
                <w:sz w:val="17"/>
              </w:rPr>
              <w:t xml:space="preserve">69.4 / 63.8</w:t>
            </w:r>
          </w:p>
        </w:tc>
        <w:tc>
          <w:tcPr>
            <w:tcW w:type="dxa" w:w="5112"/>
          </w:tcPr>
          <w:p>
            <w:pPr>
              <w:pStyle w:val="Compact"/>
            </w:pPr>
            <w:r>
              <w:rPr>
                <w:rFonts w:ascii="Arial" w:hAnsi="Arial"/>
                <w:sz w:val="17"/>
              </w:rPr>
              <w:t xml:space="preserve">Plausible onset and doubling time.</w:t>
            </w:r>
          </w:p>
        </w:tc>
      </w:tr>
      <w:tr>
        <w:tc>
          <w:tcPr>
            <w:tcW w:type="dxa" w:w="2232"/>
          </w:tcPr>
          <w:p>
            <w:pPr>
              <w:pStyle w:val="Compact"/>
            </w:pPr>
            <w:r>
              <w:rPr>
                <w:rFonts w:ascii="Arial" w:hAnsi="Arial"/>
                <w:sz w:val="17"/>
              </w:rPr>
              <w:t xml:space="preserve">G. CAIR, 7 fx/week</w:t>
            </w:r>
          </w:p>
        </w:tc>
        <w:tc>
          <w:tcPr>
            <w:tcW w:type="dxa" w:w="720"/>
          </w:tcPr>
          <w:p>
            <w:pPr>
              <w:pStyle w:val="Compact"/>
            </w:pPr>
            <w:r>
              <w:rPr>
                <w:rFonts w:ascii="Arial" w:hAnsi="Arial"/>
                <w:sz w:val="17"/>
              </w:rPr>
              <w:t xml:space="preserve">1.9</w:t>
            </w:r>
          </w:p>
        </w:tc>
        <w:tc>
          <w:tcPr>
            <w:tcW w:type="dxa" w:w="648"/>
          </w:tcPr>
          <w:p>
            <w:pPr>
              <w:pStyle w:val="Compact"/>
            </w:pPr>
            <w:r>
              <w:rPr>
                <w:rFonts w:ascii="Arial" w:hAnsi="Arial"/>
                <w:sz w:val="17"/>
              </w:rPr>
              <w:t xml:space="preserve">40</w:t>
            </w:r>
          </w:p>
        </w:tc>
        <w:tc>
          <w:tcPr>
            <w:tcW w:type="dxa" w:w="648"/>
          </w:tcPr>
          <w:p>
            <w:pPr>
              <w:pStyle w:val="Compact"/>
            </w:pPr>
            <w:r>
              <w:rPr>
                <w:rFonts w:ascii="Arial" w:hAnsi="Arial"/>
                <w:sz w:val="17"/>
              </w:rPr>
              <w:t xml:space="preserve">40</w:t>
            </w:r>
          </w:p>
        </w:tc>
        <w:tc>
          <w:tcPr>
            <w:tcW w:type="dxa" w:w="1008"/>
          </w:tcPr>
          <w:p>
            <w:pPr>
              <w:pStyle w:val="Compact"/>
            </w:pPr>
            <w:r>
              <w:rPr>
                <w:rFonts w:ascii="Arial" w:hAnsi="Arial"/>
                <w:sz w:val="17"/>
              </w:rPr>
              <w:t xml:space="preserve">22.1</w:t>
            </w:r>
          </w:p>
        </w:tc>
        <w:tc>
          <w:tcPr>
            <w:tcW w:type="dxa" w:w="1152"/>
          </w:tcPr>
          <w:p>
            <w:pPr>
              <w:pStyle w:val="Compact"/>
            </w:pPr>
            <w:r>
              <w:rPr>
                <w:rFonts w:ascii="Arial" w:hAnsi="Arial"/>
                <w:sz w:val="17"/>
              </w:rPr>
              <w:t xml:space="preserve">2.9</w:t>
            </w:r>
          </w:p>
        </w:tc>
        <w:tc>
          <w:tcPr>
            <w:tcW w:type="dxa" w:w="1152"/>
          </w:tcPr>
          <w:p>
            <w:pPr>
              <w:pStyle w:val="Compact"/>
            </w:pPr>
            <w:r>
              <w:rPr>
                <w:rFonts w:ascii="Arial" w:hAnsi="Arial"/>
                <w:sz w:val="17"/>
              </w:rPr>
              <w:t xml:space="preserve">1.21</w:t>
            </w:r>
          </w:p>
        </w:tc>
        <w:tc>
          <w:tcPr>
            <w:tcW w:type="dxa" w:w="1440"/>
          </w:tcPr>
          <w:p>
            <w:pPr>
              <w:pStyle w:val="Compact"/>
            </w:pPr>
            <w:r>
              <w:rPr>
                <w:rFonts w:ascii="Arial" w:hAnsi="Arial"/>
                <w:sz w:val="17"/>
              </w:rPr>
              <w:t xml:space="preserve">78.4 / 68.8</w:t>
            </w:r>
          </w:p>
        </w:tc>
        <w:tc>
          <w:tcPr>
            <w:tcW w:type="dxa" w:w="5112"/>
          </w:tcPr>
          <w:p>
            <w:pPr>
              <w:pStyle w:val="Compact"/>
            </w:pPr>
            <w:r>
              <w:rPr>
                <w:rFonts w:ascii="Arial" w:hAnsi="Arial"/>
                <w:sz w:val="17"/>
              </w:rPr>
              <w:t xml:space="preserve">Plausible onset and doubling time.</w:t>
            </w:r>
          </w:p>
        </w:tc>
      </w:tr>
      <w:tr>
        <w:tc>
          <w:tcPr>
            <w:tcW w:type="dxa" w:w="2232"/>
          </w:tcPr>
          <w:p>
            <w:pPr>
              <w:pStyle w:val="Compact"/>
            </w:pPr>
            <w:r>
              <w:rPr>
                <w:rFonts w:ascii="Arial" w:hAnsi="Arial"/>
                <w:sz w:val="17"/>
              </w:rPr>
              <w:t xml:space="preserve">H. GORTEC very accelerated, 2 fx/day</w:t>
            </w:r>
          </w:p>
        </w:tc>
        <w:tc>
          <w:tcPr>
            <w:tcW w:type="dxa" w:w="720"/>
          </w:tcPr>
          <w:p>
            <w:pPr>
              <w:pStyle w:val="Compact"/>
            </w:pPr>
            <w:r>
              <w:rPr>
                <w:rFonts w:ascii="Arial" w:hAnsi="Arial"/>
                <w:sz w:val="17"/>
              </w:rPr>
              <w:t xml:space="preserve">2.0</w:t>
            </w:r>
          </w:p>
        </w:tc>
        <w:tc>
          <w:tcPr>
            <w:tcW w:type="dxa" w:w="648"/>
          </w:tcPr>
          <w:p>
            <w:pPr>
              <w:pStyle w:val="Compact"/>
            </w:pPr>
            <w:r>
              <w:rPr>
                <w:rFonts w:ascii="Arial" w:hAnsi="Arial"/>
                <w:sz w:val="17"/>
              </w:rPr>
              <w:t xml:space="preserve">31.5</w:t>
            </w:r>
          </w:p>
        </w:tc>
        <w:tc>
          <w:tcPr>
            <w:tcW w:type="dxa" w:w="648"/>
          </w:tcPr>
          <w:p>
            <w:pPr>
              <w:pStyle w:val="Compact"/>
            </w:pPr>
            <w:r>
              <w:rPr>
                <w:rFonts w:ascii="Arial" w:hAnsi="Arial"/>
                <w:sz w:val="17"/>
              </w:rPr>
              <w:t xml:space="preserve">22</w:t>
            </w:r>
          </w:p>
        </w:tc>
        <w:tc>
          <w:tcPr>
            <w:tcW w:type="dxa" w:w="1008"/>
          </w:tcPr>
          <w:p>
            <w:pPr>
              <w:pStyle w:val="Compact"/>
            </w:pPr>
            <w:r>
              <w:rPr>
                <w:rFonts w:ascii="Arial" w:hAnsi="Arial"/>
                <w:sz w:val="17"/>
              </w:rPr>
              <w:t xml:space="preserve">14.6</w:t>
            </w:r>
          </w:p>
        </w:tc>
        <w:tc>
          <w:tcPr>
            <w:tcW w:type="dxa" w:w="1152"/>
          </w:tcPr>
          <w:p>
            <w:pPr>
              <w:pStyle w:val="Compact"/>
            </w:pPr>
            <w:r>
              <w:rPr>
                <w:rFonts w:ascii="Arial" w:hAnsi="Arial"/>
                <w:sz w:val="17"/>
              </w:rPr>
              <w:t xml:space="preserve">2.1</w:t>
            </w:r>
          </w:p>
        </w:tc>
        <w:tc>
          <w:tcPr>
            <w:tcW w:type="dxa" w:w="1152"/>
          </w:tcPr>
          <w:p>
            <w:pPr>
              <w:pStyle w:val="Compact"/>
            </w:pPr>
            <w:r>
              <w:rPr>
                <w:rFonts w:ascii="Arial" w:hAnsi="Arial"/>
                <w:sz w:val="17"/>
              </w:rPr>
              <w:t xml:space="preserve">1.65</w:t>
            </w:r>
          </w:p>
        </w:tc>
        <w:tc>
          <w:tcPr>
            <w:tcW w:type="dxa" w:w="1440"/>
          </w:tcPr>
          <w:p>
            <w:pPr>
              <w:pStyle w:val="Compact"/>
            </w:pPr>
            <w:r>
              <w:rPr>
                <w:rFonts w:ascii="Arial" w:hAnsi="Arial"/>
                <w:sz w:val="17"/>
              </w:rPr>
              <w:t xml:space="preserve">75.6 / 63.3</w:t>
            </w:r>
          </w:p>
        </w:tc>
        <w:tc>
          <w:tcPr>
            <w:tcW w:type="dxa" w:w="5112"/>
          </w:tcPr>
          <w:p>
            <w:pPr>
              <w:pStyle w:val="Compact"/>
            </w:pPr>
            <w:r>
              <w:rPr>
                <w:rFonts w:ascii="Arial" w:hAnsi="Arial"/>
                <w:sz w:val="17"/>
              </w:rPr>
              <w:t xml:space="preserve">Onset in week 3 and doubling time near 2 days, both outside clinical estimates.</w:t>
            </w:r>
          </w:p>
        </w:tc>
      </w:tr>
      <w:tr>
        <w:tc>
          <w:tcPr>
            <w:tcW w:type="dxa" w:w="2232"/>
          </w:tcPr>
          <w:p>
            <w:pPr>
              <w:pStyle w:val="Compact"/>
            </w:pPr>
            <w:r>
              <w:rPr>
                <w:rFonts w:ascii="Arial" w:hAnsi="Arial"/>
                <w:sz w:val="17"/>
              </w:rPr>
              <w:t xml:space="preserve">I. TROG accelerated, 2 fx/day</w:t>
            </w:r>
          </w:p>
        </w:tc>
        <w:tc>
          <w:tcPr>
            <w:tcW w:type="dxa" w:w="720"/>
          </w:tcPr>
          <w:p>
            <w:pPr>
              <w:pStyle w:val="Compact"/>
            </w:pPr>
            <w:r>
              <w:rPr>
                <w:rFonts w:ascii="Arial" w:hAnsi="Arial"/>
                <w:sz w:val="17"/>
              </w:rPr>
              <w:t xml:space="preserve">1.8</w:t>
            </w:r>
          </w:p>
        </w:tc>
        <w:tc>
          <w:tcPr>
            <w:tcW w:type="dxa" w:w="648"/>
          </w:tcPr>
          <w:p>
            <w:pPr>
              <w:pStyle w:val="Compact"/>
            </w:pPr>
            <w:r>
              <w:rPr>
                <w:rFonts w:ascii="Arial" w:hAnsi="Arial"/>
                <w:sz w:val="17"/>
              </w:rPr>
              <w:t xml:space="preserve">33</w:t>
            </w:r>
          </w:p>
        </w:tc>
        <w:tc>
          <w:tcPr>
            <w:tcW w:type="dxa" w:w="648"/>
          </w:tcPr>
          <w:p>
            <w:pPr>
              <w:pStyle w:val="Compact"/>
            </w:pPr>
            <w:r>
              <w:rPr>
                <w:rFonts w:ascii="Arial" w:hAnsi="Arial"/>
                <w:sz w:val="17"/>
              </w:rPr>
              <w:t xml:space="preserve">24</w:t>
            </w:r>
          </w:p>
        </w:tc>
        <w:tc>
          <w:tcPr>
            <w:tcW w:type="dxa" w:w="1008"/>
          </w:tcPr>
          <w:p>
            <w:pPr>
              <w:pStyle w:val="Compact"/>
            </w:pPr>
            <w:r>
              <w:rPr>
                <w:rFonts w:ascii="Arial" w:hAnsi="Arial"/>
                <w:sz w:val="17"/>
              </w:rPr>
              <w:t xml:space="preserve">17.1</w:t>
            </w:r>
          </w:p>
        </w:tc>
        <w:tc>
          <w:tcPr>
            <w:tcW w:type="dxa" w:w="1152"/>
          </w:tcPr>
          <w:p>
            <w:pPr>
              <w:pStyle w:val="Compact"/>
            </w:pPr>
            <w:r>
              <w:rPr>
                <w:rFonts w:ascii="Arial" w:hAnsi="Arial"/>
                <w:sz w:val="17"/>
              </w:rPr>
              <w:t xml:space="preserve">2.4</w:t>
            </w:r>
          </w:p>
        </w:tc>
        <w:tc>
          <w:tcPr>
            <w:tcW w:type="dxa" w:w="1152"/>
          </w:tcPr>
          <w:p>
            <w:pPr>
              <w:pStyle w:val="Compact"/>
            </w:pPr>
            <w:r>
              <w:rPr>
                <w:rFonts w:ascii="Arial" w:hAnsi="Arial"/>
                <w:sz w:val="17"/>
              </w:rPr>
              <w:t xml:space="preserve">1.47</w:t>
            </w:r>
          </w:p>
        </w:tc>
        <w:tc>
          <w:tcPr>
            <w:tcW w:type="dxa" w:w="1440"/>
          </w:tcPr>
          <w:p>
            <w:pPr>
              <w:pStyle w:val="Compact"/>
            </w:pPr>
            <w:r>
              <w:rPr>
                <w:rFonts w:ascii="Arial" w:hAnsi="Arial"/>
                <w:sz w:val="17"/>
              </w:rPr>
              <w:t xml:space="preserve">70.1 / 60.0</w:t>
            </w:r>
          </w:p>
        </w:tc>
        <w:tc>
          <w:tcPr>
            <w:tcW w:type="dxa" w:w="5112"/>
          </w:tcPr>
          <w:p>
            <w:pPr>
              <w:pStyle w:val="Compact"/>
            </w:pPr>
            <w:r>
              <w:rPr>
                <w:rFonts w:ascii="Arial" w:hAnsi="Arial"/>
                <w:sz w:val="17"/>
              </w:rPr>
              <w:t xml:space="preserve">Onset slightly early, fast doubling.</w:t>
            </w:r>
          </w:p>
        </w:tc>
      </w:tr>
      <w:tr>
        <w:tc>
          <w:tcPr>
            <w:tcW w:type="dxa" w:w="2232"/>
          </w:tcPr>
          <w:p>
            <w:pPr>
              <w:pStyle w:val="Compact"/>
            </w:pPr>
            <w:r>
              <w:rPr>
                <w:rFonts w:ascii="Arial" w:hAnsi="Arial"/>
                <w:sz w:val="17"/>
              </w:rPr>
              <w:t xml:space="preserve">J. CHART, 3 fx/day</w:t>
            </w:r>
          </w:p>
        </w:tc>
        <w:tc>
          <w:tcPr>
            <w:tcW w:type="dxa" w:w="720"/>
          </w:tcPr>
          <w:p>
            <w:pPr>
              <w:pStyle w:val="Compact"/>
            </w:pPr>
            <w:r>
              <w:rPr>
                <w:rFonts w:ascii="Arial" w:hAnsi="Arial"/>
                <w:sz w:val="17"/>
              </w:rPr>
              <w:t xml:space="preserve">1.5</w:t>
            </w:r>
          </w:p>
        </w:tc>
        <w:tc>
          <w:tcPr>
            <w:tcW w:type="dxa" w:w="648"/>
          </w:tcPr>
          <w:p>
            <w:pPr>
              <w:pStyle w:val="Compact"/>
            </w:pPr>
            <w:r>
              <w:rPr>
                <w:rFonts w:ascii="Arial" w:hAnsi="Arial"/>
                <w:sz w:val="17"/>
              </w:rPr>
              <w:t xml:space="preserve">36</w:t>
            </w:r>
          </w:p>
        </w:tc>
        <w:tc>
          <w:tcPr>
            <w:tcW w:type="dxa" w:w="648"/>
          </w:tcPr>
          <w:p>
            <w:pPr>
              <w:pStyle w:val="Compact"/>
            </w:pPr>
            <w:r>
              <w:rPr>
                <w:rFonts w:ascii="Arial" w:hAnsi="Arial"/>
                <w:sz w:val="17"/>
              </w:rPr>
              <w:t xml:space="preserve">12</w:t>
            </w:r>
          </w:p>
        </w:tc>
        <w:tc>
          <w:tcPr>
            <w:tcW w:type="dxa" w:w="1008"/>
          </w:tcPr>
          <w:p>
            <w:pPr>
              <w:pStyle w:val="Compact"/>
            </w:pPr>
            <w:r>
              <w:rPr>
                <w:rFonts w:ascii="Arial" w:hAnsi="Arial"/>
                <w:sz w:val="17"/>
              </w:rPr>
              <w:t xml:space="preserve">9.7</w:t>
            </w:r>
          </w:p>
        </w:tc>
        <w:tc>
          <w:tcPr>
            <w:tcW w:type="dxa" w:w="1152"/>
          </w:tcPr>
          <w:p>
            <w:pPr>
              <w:pStyle w:val="Compact"/>
            </w:pPr>
            <w:r>
              <w:rPr>
                <w:rFonts w:ascii="Arial" w:hAnsi="Arial"/>
                <w:sz w:val="17"/>
              </w:rPr>
              <w:t xml:space="preserve">1.6</w:t>
            </w:r>
          </w:p>
        </w:tc>
        <w:tc>
          <w:tcPr>
            <w:tcW w:type="dxa" w:w="1152"/>
          </w:tcPr>
          <w:p>
            <w:pPr>
              <w:pStyle w:val="Compact"/>
            </w:pPr>
            <w:r>
              <w:rPr>
                <w:rFonts w:ascii="Arial" w:hAnsi="Arial"/>
                <w:sz w:val="17"/>
              </w:rPr>
              <w:t xml:space="preserve">2.15</w:t>
            </w:r>
          </w:p>
        </w:tc>
        <w:tc>
          <w:tcPr>
            <w:tcW w:type="dxa" w:w="1440"/>
          </w:tcPr>
          <w:p>
            <w:pPr>
              <w:pStyle w:val="Compact"/>
            </w:pPr>
            <w:r>
              <w:rPr>
                <w:rFonts w:ascii="Arial" w:hAnsi="Arial"/>
                <w:sz w:val="17"/>
              </w:rPr>
              <w:t xml:space="preserve">62.1 / 57.1</w:t>
            </w:r>
          </w:p>
        </w:tc>
        <w:tc>
          <w:tcPr>
            <w:tcW w:type="dxa" w:w="5112"/>
          </w:tcPr>
          <w:p>
            <w:pPr>
              <w:pStyle w:val="Compact"/>
            </w:pPr>
            <w:r>
              <w:rPr>
                <w:rFonts w:ascii="Arial" w:hAnsi="Arial"/>
                <w:sz w:val="17"/>
              </w:rPr>
              <w:t xml:space="preserve">Implausible: onset in the second week, doubling every 1.6 days, more than 2 Gy</w:t>
            </w:r>
            <w:r>
              <w:rPr>
                <w:rFonts w:ascii="Arial" w:hAnsi="Arial"/>
                <w:sz w:val="17"/>
                <w:vertAlign w:val="subscript"/>
              </w:rPr>
              <w:t xml:space="preserve">10</w:t>
            </w:r>
            <w:r>
              <w:rPr>
                <w:rFonts w:ascii="Arial" w:hAnsi="Arial"/>
                <w:sz w:val="17"/>
              </w:rPr>
              <w:t xml:space="preserve"> </w:t>
            </w:r>
            <w:r>
              <w:rPr>
                <w:rFonts w:ascii="Arial" w:hAnsi="Arial"/>
                <w:sz w:val="17"/>
              </w:rPr>
              <w:t xml:space="preserve">lost per day.</w:t>
            </w:r>
          </w:p>
        </w:tc>
      </w:tr>
      <w:tr>
        <w:tc>
          <w:tcPr>
            <w:tcW w:type="dxa" w:w="2232"/>
          </w:tcPr>
          <w:p>
            <w:pPr>
              <w:pStyle w:val="Compact"/>
            </w:pPr>
            <w:r>
              <w:rPr>
                <w:rFonts w:ascii="Arial" w:hAnsi="Arial"/>
                <w:sz w:val="17"/>
              </w:rPr>
              <w:t xml:space="preserve">K. RTOG 9003 concomitant boost</w:t>
            </w:r>
          </w:p>
        </w:tc>
        <w:tc>
          <w:tcPr>
            <w:tcW w:type="dxa" w:w="720"/>
          </w:tcPr>
          <w:p>
            <w:pPr>
              <w:pStyle w:val="Compact"/>
            </w:pPr>
            <w:r>
              <w:rPr>
                <w:rFonts w:ascii="Arial" w:hAnsi="Arial"/>
                <w:sz w:val="17"/>
              </w:rPr>
              <w:t xml:space="preserve">1.7</w:t>
            </w:r>
          </w:p>
        </w:tc>
        <w:tc>
          <w:tcPr>
            <w:tcW w:type="dxa" w:w="648"/>
          </w:tcPr>
          <w:p>
            <w:pPr>
              <w:pStyle w:val="Compact"/>
            </w:pPr>
            <w:r>
              <w:rPr>
                <w:rFonts w:ascii="Arial" w:hAnsi="Arial"/>
                <w:sz w:val="17"/>
              </w:rPr>
              <w:t xml:space="preserve">42</w:t>
            </w:r>
          </w:p>
        </w:tc>
        <w:tc>
          <w:tcPr>
            <w:tcW w:type="dxa" w:w="648"/>
          </w:tcPr>
          <w:p>
            <w:pPr>
              <w:pStyle w:val="Compact"/>
            </w:pPr>
            <w:r>
              <w:rPr>
                <w:rFonts w:ascii="Arial" w:hAnsi="Arial"/>
                <w:sz w:val="17"/>
              </w:rPr>
              <w:t xml:space="preserve">43</w:t>
            </w:r>
          </w:p>
        </w:tc>
        <w:tc>
          <w:tcPr>
            <w:tcW w:type="dxa" w:w="1008"/>
          </w:tcPr>
          <w:p>
            <w:pPr>
              <w:pStyle w:val="Compact"/>
            </w:pPr>
            <w:r>
              <w:rPr>
                <w:rFonts w:ascii="Arial" w:hAnsi="Arial"/>
                <w:sz w:val="17"/>
              </w:rPr>
              <w:t xml:space="preserve">25.8</w:t>
            </w:r>
          </w:p>
        </w:tc>
        <w:tc>
          <w:tcPr>
            <w:tcW w:type="dxa" w:w="1152"/>
          </w:tcPr>
          <w:p>
            <w:pPr>
              <w:pStyle w:val="Compact"/>
            </w:pPr>
            <w:r>
              <w:rPr>
                <w:rFonts w:ascii="Arial" w:hAnsi="Arial"/>
                <w:sz w:val="17"/>
              </w:rPr>
              <w:t xml:space="preserve">3.2</w:t>
            </w:r>
          </w:p>
        </w:tc>
        <w:tc>
          <w:tcPr>
            <w:tcW w:type="dxa" w:w="1152"/>
          </w:tcPr>
          <w:p>
            <w:pPr>
              <w:pStyle w:val="Compact"/>
            </w:pPr>
            <w:r>
              <w:rPr>
                <w:rFonts w:ascii="Arial" w:hAnsi="Arial"/>
                <w:sz w:val="17"/>
              </w:rPr>
              <w:t xml:space="preserve">1.07</w:t>
            </w:r>
          </w:p>
        </w:tc>
        <w:tc>
          <w:tcPr>
            <w:tcW w:type="dxa" w:w="1440"/>
          </w:tcPr>
          <w:p>
            <w:pPr>
              <w:pStyle w:val="Compact"/>
            </w:pPr>
            <w:r>
              <w:rPr>
                <w:rFonts w:ascii="Arial" w:hAnsi="Arial"/>
                <w:sz w:val="17"/>
              </w:rPr>
              <w:t xml:space="preserve">68.5 / 65.1</w:t>
            </w:r>
          </w:p>
        </w:tc>
        <w:tc>
          <w:tcPr>
            <w:tcW w:type="dxa" w:w="5112"/>
          </w:tcPr>
          <w:p>
            <w:pPr>
              <w:pStyle w:val="Compact"/>
            </w:pPr>
            <w:r>
              <w:rPr>
                <w:rFonts w:ascii="Arial" w:hAnsi="Arial"/>
                <w:sz w:val="17"/>
              </w:rPr>
              <w:t xml:space="preserve">Plausible.</w:t>
            </w:r>
          </w:p>
        </w:tc>
      </w:tr>
      <w:tr>
        <w:tc>
          <w:tcPr>
            <w:tcW w:type="dxa" w:w="2232"/>
          </w:tcPr>
          <w:p>
            <w:pPr>
              <w:pStyle w:val="Compact"/>
            </w:pPr>
            <w:r>
              <w:rPr>
                <w:rFonts w:ascii="Arial" w:hAnsi="Arial"/>
                <w:sz w:val="17"/>
              </w:rPr>
              <w:t xml:space="preserve">L. RTOG 9003 hyperfractionation, 2 fx/day</w:t>
            </w:r>
          </w:p>
        </w:tc>
        <w:tc>
          <w:tcPr>
            <w:tcW w:type="dxa" w:w="720"/>
          </w:tcPr>
          <w:p>
            <w:pPr>
              <w:pStyle w:val="Compact"/>
            </w:pPr>
            <w:r>
              <w:rPr>
                <w:rFonts w:ascii="Arial" w:hAnsi="Arial"/>
                <w:sz w:val="17"/>
              </w:rPr>
              <w:t xml:space="preserve">1.2</w:t>
            </w:r>
          </w:p>
        </w:tc>
        <w:tc>
          <w:tcPr>
            <w:tcW w:type="dxa" w:w="648"/>
          </w:tcPr>
          <w:p>
            <w:pPr>
              <w:pStyle w:val="Compact"/>
            </w:pPr>
            <w:r>
              <w:rPr>
                <w:rFonts w:ascii="Arial" w:hAnsi="Arial"/>
                <w:sz w:val="17"/>
              </w:rPr>
              <w:t xml:space="preserve">68</w:t>
            </w:r>
          </w:p>
        </w:tc>
        <w:tc>
          <w:tcPr>
            <w:tcW w:type="dxa" w:w="648"/>
          </w:tcPr>
          <w:p>
            <w:pPr>
              <w:pStyle w:val="Compact"/>
            </w:pPr>
            <w:r>
              <w:rPr>
                <w:rFonts w:ascii="Arial" w:hAnsi="Arial"/>
                <w:sz w:val="17"/>
              </w:rPr>
              <w:t xml:space="preserve">50</w:t>
            </w:r>
          </w:p>
        </w:tc>
        <w:tc>
          <w:tcPr>
            <w:tcW w:type="dxa" w:w="1008"/>
          </w:tcPr>
          <w:p>
            <w:pPr>
              <w:pStyle w:val="Compact"/>
            </w:pPr>
            <w:r>
              <w:rPr>
                <w:rFonts w:ascii="Arial" w:hAnsi="Arial"/>
                <w:sz w:val="17"/>
              </w:rPr>
              <w:t xml:space="preserve">27.4</w:t>
            </w:r>
          </w:p>
        </w:tc>
        <w:tc>
          <w:tcPr>
            <w:tcW w:type="dxa" w:w="1152"/>
          </w:tcPr>
          <w:p>
            <w:pPr>
              <w:pStyle w:val="Compact"/>
            </w:pPr>
            <w:r>
              <w:rPr>
                <w:rFonts w:ascii="Arial" w:hAnsi="Arial"/>
                <w:sz w:val="17"/>
              </w:rPr>
              <w:t xml:space="preserve">3.4</w:t>
            </w:r>
          </w:p>
        </w:tc>
        <w:tc>
          <w:tcPr>
            <w:tcW w:type="dxa" w:w="1152"/>
          </w:tcPr>
          <w:p>
            <w:pPr>
              <w:pStyle w:val="Compact"/>
            </w:pPr>
            <w:r>
              <w:rPr>
                <w:rFonts w:ascii="Arial" w:hAnsi="Arial"/>
                <w:sz w:val="17"/>
              </w:rPr>
              <w:t xml:space="preserve">1.02</w:t>
            </w:r>
          </w:p>
        </w:tc>
        <w:tc>
          <w:tcPr>
            <w:tcW w:type="dxa" w:w="1440"/>
          </w:tcPr>
          <w:p>
            <w:pPr>
              <w:pStyle w:val="Compact"/>
            </w:pPr>
            <w:r>
              <w:rPr>
                <w:rFonts w:ascii="Arial" w:hAnsi="Arial"/>
                <w:sz w:val="17"/>
              </w:rPr>
              <w:t xml:space="preserve">69.4 / 68.3</w:t>
            </w:r>
          </w:p>
        </w:tc>
        <w:tc>
          <w:tcPr>
            <w:tcW w:type="dxa" w:w="5112"/>
          </w:tcPr>
          <w:p>
            <w:pPr>
              <w:pStyle w:val="Compact"/>
            </w:pPr>
            <w:r>
              <w:rPr>
                <w:rFonts w:ascii="Arial" w:hAnsi="Arial"/>
                <w:sz w:val="17"/>
              </w:rPr>
              <w:t xml:space="preserve">Plausible.</w:t>
            </w:r>
          </w:p>
        </w:tc>
      </w:tr>
      <w:tr>
        <w:tc>
          <w:tcPr>
            <w:tcW w:type="dxa" w:w="2232"/>
          </w:tcPr>
          <w:p>
            <w:pPr>
              <w:pStyle w:val="Compact"/>
            </w:pPr>
            <w:r>
              <w:rPr>
                <w:rFonts w:ascii="Arial" w:hAnsi="Arial"/>
                <w:sz w:val="17"/>
              </w:rPr>
              <w:t xml:space="preserve">M. EORTC 22791 hyperfractionation, 2 fx/day</w:t>
            </w:r>
          </w:p>
        </w:tc>
        <w:tc>
          <w:tcPr>
            <w:tcW w:type="dxa" w:w="720"/>
          </w:tcPr>
          <w:p>
            <w:pPr>
              <w:pStyle w:val="Compact"/>
            </w:pPr>
            <w:r>
              <w:rPr>
                <w:rFonts w:ascii="Arial" w:hAnsi="Arial"/>
                <w:sz w:val="17"/>
              </w:rPr>
              <w:t xml:space="preserve">1.2</w:t>
            </w:r>
          </w:p>
        </w:tc>
        <w:tc>
          <w:tcPr>
            <w:tcW w:type="dxa" w:w="648"/>
          </w:tcPr>
          <w:p>
            <w:pPr>
              <w:pStyle w:val="Compact"/>
            </w:pPr>
            <w:r>
              <w:rPr>
                <w:rFonts w:ascii="Arial" w:hAnsi="Arial"/>
                <w:sz w:val="17"/>
              </w:rPr>
              <w:t xml:space="preserve">70</w:t>
            </w:r>
          </w:p>
        </w:tc>
        <w:tc>
          <w:tcPr>
            <w:tcW w:type="dxa" w:w="648"/>
          </w:tcPr>
          <w:p>
            <w:pPr>
              <w:pStyle w:val="Compact"/>
            </w:pPr>
            <w:r>
              <w:rPr>
                <w:rFonts w:ascii="Arial" w:hAnsi="Arial"/>
                <w:sz w:val="17"/>
              </w:rPr>
              <w:t xml:space="preserve">51</w:t>
            </w:r>
          </w:p>
        </w:tc>
        <w:tc>
          <w:tcPr>
            <w:tcW w:type="dxa" w:w="1008"/>
          </w:tcPr>
          <w:p>
            <w:pPr>
              <w:pStyle w:val="Compact"/>
            </w:pPr>
            <w:r>
              <w:rPr>
                <w:rFonts w:ascii="Arial" w:hAnsi="Arial"/>
                <w:sz w:val="17"/>
              </w:rPr>
              <w:t xml:space="preserve">27.1</w:t>
            </w:r>
          </w:p>
        </w:tc>
        <w:tc>
          <w:tcPr>
            <w:tcW w:type="dxa" w:w="1152"/>
          </w:tcPr>
          <w:p>
            <w:pPr>
              <w:pStyle w:val="Compact"/>
            </w:pPr>
            <w:r>
              <w:rPr>
                <w:rFonts w:ascii="Arial" w:hAnsi="Arial"/>
                <w:sz w:val="17"/>
              </w:rPr>
              <w:t xml:space="preserve">3.4</w:t>
            </w:r>
          </w:p>
        </w:tc>
        <w:tc>
          <w:tcPr>
            <w:tcW w:type="dxa" w:w="1152"/>
          </w:tcPr>
          <w:p>
            <w:pPr>
              <w:pStyle w:val="Compact"/>
            </w:pPr>
            <w:r>
              <w:rPr>
                <w:rFonts w:ascii="Arial" w:hAnsi="Arial"/>
                <w:sz w:val="17"/>
              </w:rPr>
              <w:t xml:space="preserve">1.03</w:t>
            </w:r>
          </w:p>
        </w:tc>
        <w:tc>
          <w:tcPr>
            <w:tcW w:type="dxa" w:w="1440"/>
          </w:tcPr>
          <w:p>
            <w:pPr>
              <w:pStyle w:val="Compact"/>
            </w:pPr>
            <w:r>
              <w:rPr>
                <w:rFonts w:ascii="Arial" w:hAnsi="Arial"/>
                <w:sz w:val="17"/>
              </w:rPr>
              <w:t xml:space="preserve">71.1 / 69.6</w:t>
            </w:r>
          </w:p>
        </w:tc>
        <w:tc>
          <w:tcPr>
            <w:tcW w:type="dxa" w:w="5112"/>
          </w:tcPr>
          <w:p>
            <w:pPr>
              <w:pStyle w:val="Compact"/>
            </w:pPr>
            <w:r>
              <w:rPr>
                <w:rFonts w:ascii="Arial" w:hAnsi="Arial"/>
                <w:sz w:val="17"/>
              </w:rPr>
              <w:t xml:space="preserve">Plausible.</w:t>
            </w:r>
          </w:p>
        </w:tc>
      </w:tr>
    </w:tbl>
    <w:bookmarkEnd w:id="11"/>
    <w:bookmarkStart w:id="12" w:name="X2632fb7d14dc57a3c3cffac219ce39e8b650a28"/>
    <w:p>
      <w:pPr>
        <w:pStyle w:val="Heading1"/>
      </w:pPr>
      <w:r>
        <w:t xml:space="preserve">Table 2. Predicted and observed differences from each trial’s own control arm, DD rate 0.666 per day</w:t>
      </w:r>
    </w:p>
    <w:p>
      <w:pPr>
        <w:pStyle w:val="FirstParagraph"/>
      </w:pPr>
      <w:r>
        <w:t xml:space="preserve">Each experimental arm is compared with the conventional arm of the same trial, using that arm’s average schedule from Shuryak et al. 2018, Table 1 [1]. Observed tumor control is the value tabulated there (2–5 years, as reported by each trial). For HYPNO, the published 3-year locoregional control differed by at most 1.4 percentage points between arms [4].</w:t>
      </w:r>
    </w:p>
    <w:tbl>
      <w:tblPr>
        <w:tblStyle w:val="Table"/>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W w:w="14112" w:type="dxa"/>
        <w:tblLayout w:type="fixed"/>
      </w:tblPr>
      <w:tblGrid>
        <w:gridCol w:w="3600"/>
        <w:gridCol w:w="2448"/>
        <w:gridCol w:w="1440"/>
        <w:gridCol w:w="1440"/>
        <w:gridCol w:w="2015"/>
        <w:gridCol w:w="3168"/>
      </w:tblGrid>
      <w:tr>
        <w:trPr>
          <w:tblHeader w:val="on"/>
          <w:tblHeader w:val="true"/>
        </w:trPr>
        <w:tc>
          <w:tcPr>
            <w:tcW w:type="dxa" w:w="3600"/>
            <w:vAlign w:val="top"/>
          </w:tcPr>
          <w:p>
            <w:pPr>
              <w:pStyle w:val="Compact"/>
            </w:pPr>
            <w:r>
              <w:rPr>
                <w:rFonts w:ascii="Arial" w:hAnsi="Arial"/>
                <w:b/>
                <w:sz w:val="17"/>
              </w:rPr>
              <w:t xml:space="preserve">Trial arm (patients, experimental/control)</w:t>
            </w:r>
          </w:p>
        </w:tc>
        <w:tc>
          <w:tcPr>
            <w:tcW w:type="dxa" w:w="2448"/>
            <w:vAlign w:val="top"/>
          </w:tcPr>
          <w:p>
            <w:pPr>
              <w:pStyle w:val="Compact"/>
            </w:pPr>
            <w:r>
              <w:rPr>
                <w:rFonts w:ascii="Arial" w:hAnsi="Arial"/>
                <w:b/>
                <w:sz w:val="17"/>
              </w:rPr>
              <w:t xml:space="preserve">Control arm schedule</w:t>
            </w:r>
          </w:p>
        </w:tc>
        <w:tc>
          <w:tcPr>
            <w:tcW w:type="dxa" w:w="1440"/>
            <w:vAlign w:val="top"/>
          </w:tcPr>
          <w:p>
            <w:pPr>
              <w:pStyle w:val="Compact"/>
            </w:pPr>
            <w:r>
              <w:rPr>
                <w:rFonts w:ascii="Arial" w:hAnsi="Arial"/>
                <w:b/>
                <w:sz w:val="17"/>
              </w:rPr>
              <w:t xml:space="preserve">ΔBED</w:t>
            </w:r>
            <w:r>
              <w:rPr>
                <w:rFonts w:ascii="Arial" w:hAnsi="Arial"/>
                <w:b/>
                <w:sz w:val="17"/>
                <w:vertAlign w:val="subscript"/>
              </w:rPr>
              <w:t xml:space="preserve">DI</w:t>
            </w:r>
            <w:r>
              <w:rPr>
                <w:rFonts w:ascii="Arial" w:hAnsi="Arial"/>
                <w:b/>
                <w:sz w:val="17"/>
              </w:rPr>
              <w:t xml:space="preserve"> </w:t>
            </w:r>
            <w:r>
              <w:rPr>
                <w:rFonts w:ascii="Arial" w:hAnsi="Arial"/>
                <w:b/>
                <w:sz w:val="17"/>
              </w:rPr>
              <w:t xml:space="preserve">(Gy</w:t>
            </w:r>
            <w:r>
              <w:rPr>
                <w:rFonts w:ascii="Arial" w:hAnsi="Arial"/>
                <w:b/>
                <w:sz w:val="17"/>
                <w:vertAlign w:val="subscript"/>
              </w:rPr>
              <w:t xml:space="preserve">10</w:t>
            </w:r>
            <w:r>
              <w:rPr>
                <w:rFonts w:ascii="Arial" w:hAnsi="Arial"/>
                <w:b/>
                <w:sz w:val="17"/>
              </w:rPr>
              <w:t xml:space="preserve">)</w:t>
            </w:r>
          </w:p>
        </w:tc>
        <w:tc>
          <w:tcPr>
            <w:tcW w:type="dxa" w:w="1440"/>
            <w:vAlign w:val="top"/>
          </w:tcPr>
          <w:p>
            <w:pPr>
              <w:pStyle w:val="Compact"/>
            </w:pPr>
            <w:r>
              <w:rPr>
                <w:rFonts w:ascii="Arial" w:hAnsi="Arial"/>
                <w:b/>
                <w:sz w:val="17"/>
              </w:rPr>
              <w:t xml:space="preserve">ΔBED</w:t>
            </w:r>
            <w:r>
              <w:rPr>
                <w:rFonts w:ascii="Arial" w:hAnsi="Arial"/>
                <w:b/>
                <w:sz w:val="17"/>
                <w:vertAlign w:val="subscript"/>
              </w:rPr>
              <w:t xml:space="preserve">DD</w:t>
            </w:r>
            <w:r>
              <w:rPr>
                <w:rFonts w:ascii="Arial" w:hAnsi="Arial"/>
                <w:b/>
                <w:sz w:val="17"/>
              </w:rPr>
              <w:t xml:space="preserve"> </w:t>
            </w:r>
            <w:r>
              <w:rPr>
                <w:rFonts w:ascii="Arial" w:hAnsi="Arial"/>
                <w:b/>
                <w:sz w:val="17"/>
              </w:rPr>
              <w:t xml:space="preserve">(Gy</w:t>
            </w:r>
            <w:r>
              <w:rPr>
                <w:rFonts w:ascii="Arial" w:hAnsi="Arial"/>
                <w:b/>
                <w:sz w:val="17"/>
                <w:vertAlign w:val="subscript"/>
              </w:rPr>
              <w:t xml:space="preserve">10</w:t>
            </w:r>
            <w:r>
              <w:rPr>
                <w:rFonts w:ascii="Arial" w:hAnsi="Arial"/>
                <w:b/>
                <w:sz w:val="17"/>
              </w:rPr>
              <w:t xml:space="preserve">)</w:t>
            </w:r>
          </w:p>
        </w:tc>
        <w:tc>
          <w:tcPr>
            <w:tcW w:type="dxa" w:w="2016"/>
            <w:vAlign w:val="top"/>
          </w:tcPr>
          <w:p>
            <w:pPr>
              <w:pStyle w:val="Compact"/>
            </w:pPr>
            <w:r>
              <w:rPr>
                <w:rFonts w:ascii="Arial" w:hAnsi="Arial"/>
                <w:b/>
                <w:sz w:val="17"/>
              </w:rPr>
              <w:t xml:space="preserve">Observed Δ tumor control (points)</w:t>
            </w:r>
          </w:p>
        </w:tc>
        <w:tc>
          <w:tcPr>
            <w:tcW w:type="dxa" w:w="3168"/>
            <w:vAlign w:val="top"/>
          </w:tcPr>
          <w:p>
            <w:pPr>
              <w:pStyle w:val="Compact"/>
            </w:pPr>
            <w:r>
              <w:rPr>
                <w:rFonts w:ascii="Arial" w:hAnsi="Arial"/>
                <w:b/>
                <w:sz w:val="17"/>
              </w:rPr>
              <w:t xml:space="preserve">Which model matches the direction</w:t>
            </w:r>
          </w:p>
        </w:tc>
      </w:tr>
      <w:tr>
        <w:tc>
          <w:tcPr>
            <w:tcW w:type="dxa" w:w="3600"/>
          </w:tcPr>
          <w:p>
            <w:pPr>
              <w:pStyle w:val="Compact"/>
            </w:pPr>
            <w:r>
              <w:rPr>
                <w:rFonts w:ascii="Arial" w:hAnsi="Arial"/>
                <w:sz w:val="17"/>
              </w:rPr>
              <w:t xml:space="preserve">D. HYPNO test (395/397)</w:t>
            </w:r>
          </w:p>
        </w:tc>
        <w:tc>
          <w:tcPr>
            <w:tcW w:type="dxa" w:w="2448"/>
          </w:tcPr>
          <w:p>
            <w:pPr>
              <w:pStyle w:val="Compact"/>
            </w:pPr>
            <w:r>
              <w:rPr>
                <w:rFonts w:ascii="Arial" w:hAnsi="Arial"/>
                <w:sz w:val="17"/>
              </w:rPr>
              <w:t xml:space="preserve">66 Gy/33 fx, 38 d</w:t>
            </w:r>
          </w:p>
        </w:tc>
        <w:tc>
          <w:tcPr>
            <w:tcW w:type="dxa" w:w="1440"/>
          </w:tcPr>
          <w:p>
            <w:pPr>
              <w:pStyle w:val="Compact"/>
            </w:pPr>
            <w:r>
              <w:rPr>
                <w:rFonts w:ascii="Arial" w:hAnsi="Arial"/>
                <w:sz w:val="17"/>
              </w:rPr>
              <w:t xml:space="preserve">+0.9</w:t>
            </w:r>
          </w:p>
        </w:tc>
        <w:tc>
          <w:tcPr>
            <w:tcW w:type="dxa" w:w="1440"/>
          </w:tcPr>
          <w:p>
            <w:pPr>
              <w:pStyle w:val="Compact"/>
            </w:pPr>
            <w:r>
              <w:rPr>
                <w:rFonts w:ascii="Arial" w:hAnsi="Arial"/>
                <w:sz w:val="17"/>
              </w:rPr>
              <w:t xml:space="preserve">−3.5</w:t>
            </w:r>
          </w:p>
        </w:tc>
        <w:tc>
          <w:tcPr>
            <w:tcW w:type="dxa" w:w="2016"/>
          </w:tcPr>
          <w:p>
            <w:pPr>
              <w:pStyle w:val="Compact"/>
            </w:pPr>
            <w:r>
              <w:rPr>
                <w:rFonts w:ascii="Arial" w:hAnsi="Arial"/>
                <w:sz w:val="17"/>
              </w:rPr>
              <w:t xml:space="preserve">within ±1.4</w:t>
            </w:r>
          </w:p>
        </w:tc>
        <w:tc>
          <w:tcPr>
            <w:tcW w:type="dxa" w:w="3168"/>
          </w:tcPr>
          <w:p>
            <w:pPr>
              <w:pStyle w:val="Compact"/>
            </w:pPr>
            <w:r>
              <w:rPr>
                <w:rFonts w:ascii="Arial" w:hAnsi="Arial"/>
                <w:sz w:val="17"/>
              </w:rPr>
              <w:t xml:space="preserve">DI closer</w:t>
            </w:r>
          </w:p>
        </w:tc>
      </w:tr>
      <w:tr>
        <w:tc>
          <w:tcPr>
            <w:tcW w:type="dxa" w:w="3600"/>
          </w:tcPr>
          <w:p>
            <w:pPr>
              <w:pStyle w:val="Compact"/>
            </w:pPr>
            <w:r>
              <w:rPr>
                <w:rFonts w:ascii="Arial" w:hAnsi="Arial"/>
                <w:sz w:val="17"/>
              </w:rPr>
              <w:t xml:space="preserve">F. DAHANCA 6&amp;7 (750/726)</w:t>
            </w:r>
          </w:p>
        </w:tc>
        <w:tc>
          <w:tcPr>
            <w:tcW w:type="dxa" w:w="2448"/>
          </w:tcPr>
          <w:p>
            <w:pPr>
              <w:pStyle w:val="Compact"/>
            </w:pPr>
            <w:r>
              <w:rPr>
                <w:rFonts w:ascii="Arial" w:hAnsi="Arial"/>
                <w:sz w:val="17"/>
              </w:rPr>
              <w:t xml:space="preserve">2.0 Gy × 33.5, 46 d</w:t>
            </w:r>
          </w:p>
        </w:tc>
        <w:tc>
          <w:tcPr>
            <w:tcW w:type="dxa" w:w="1440"/>
          </w:tcPr>
          <w:p>
            <w:pPr>
              <w:pStyle w:val="Compact"/>
            </w:pPr>
            <w:r>
              <w:rPr>
                <w:rFonts w:ascii="Arial" w:hAnsi="Arial"/>
                <w:sz w:val="17"/>
              </w:rPr>
              <w:t xml:space="preserve">+7.0</w:t>
            </w:r>
          </w:p>
        </w:tc>
        <w:tc>
          <w:tcPr>
            <w:tcW w:type="dxa" w:w="1440"/>
          </w:tcPr>
          <w:p>
            <w:pPr>
              <w:pStyle w:val="Compact"/>
            </w:pPr>
            <w:r>
              <w:rPr>
                <w:rFonts w:ascii="Arial" w:hAnsi="Arial"/>
                <w:sz w:val="17"/>
              </w:rPr>
              <w:t xml:space="preserve">+0.5</w:t>
            </w:r>
          </w:p>
        </w:tc>
        <w:tc>
          <w:tcPr>
            <w:tcW w:type="dxa" w:w="2016"/>
          </w:tcPr>
          <w:p>
            <w:pPr>
              <w:pStyle w:val="Compact"/>
            </w:pPr>
            <w:r>
              <w:rPr>
                <w:rFonts w:ascii="Arial" w:hAnsi="Arial"/>
                <w:sz w:val="17"/>
              </w:rPr>
              <w:t xml:space="preserve">+7.0</w:t>
            </w:r>
          </w:p>
        </w:tc>
        <w:tc>
          <w:tcPr>
            <w:tcW w:type="dxa" w:w="3168"/>
          </w:tcPr>
          <w:p>
            <w:pPr>
              <w:pStyle w:val="Compact"/>
            </w:pPr>
            <w:r>
              <w:rPr>
                <w:rFonts w:ascii="Arial" w:hAnsi="Arial"/>
                <w:sz w:val="17"/>
              </w:rPr>
              <w:t xml:space="preserve">DI</w:t>
            </w:r>
          </w:p>
        </w:tc>
      </w:tr>
      <w:tr>
        <w:tc>
          <w:tcPr>
            <w:tcW w:type="dxa" w:w="3600"/>
          </w:tcPr>
          <w:p>
            <w:pPr>
              <w:pStyle w:val="Compact"/>
            </w:pPr>
            <w:r>
              <w:rPr>
                <w:rFonts w:ascii="Arial" w:hAnsi="Arial"/>
                <w:sz w:val="17"/>
              </w:rPr>
              <w:t xml:space="preserve">G. CAIR (51/49)</w:t>
            </w:r>
          </w:p>
        </w:tc>
        <w:tc>
          <w:tcPr>
            <w:tcW w:type="dxa" w:w="2448"/>
          </w:tcPr>
          <w:p>
            <w:pPr>
              <w:pStyle w:val="Compact"/>
            </w:pPr>
            <w:r>
              <w:rPr>
                <w:rFonts w:ascii="Arial" w:hAnsi="Arial"/>
                <w:sz w:val="17"/>
              </w:rPr>
              <w:t xml:space="preserve">1.9 Gy × 40, 54 d</w:t>
            </w:r>
          </w:p>
        </w:tc>
        <w:tc>
          <w:tcPr>
            <w:tcW w:type="dxa" w:w="1440"/>
          </w:tcPr>
          <w:p>
            <w:pPr>
              <w:pStyle w:val="Compact"/>
            </w:pPr>
            <w:r>
              <w:rPr>
                <w:rFonts w:ascii="Arial" w:hAnsi="Arial"/>
                <w:sz w:val="17"/>
              </w:rPr>
              <w:t xml:space="preserve">+14.0</w:t>
            </w:r>
          </w:p>
        </w:tc>
        <w:tc>
          <w:tcPr>
            <w:tcW w:type="dxa" w:w="1440"/>
          </w:tcPr>
          <w:p>
            <w:pPr>
              <w:pStyle w:val="Compact"/>
            </w:pPr>
            <w:r>
              <w:rPr>
                <w:rFonts w:ascii="Arial" w:hAnsi="Arial"/>
                <w:sz w:val="17"/>
              </w:rPr>
              <w:t xml:space="preserve">+1.2</w:t>
            </w:r>
          </w:p>
        </w:tc>
        <w:tc>
          <w:tcPr>
            <w:tcW w:type="dxa" w:w="2016"/>
          </w:tcPr>
          <w:p>
            <w:pPr>
              <w:pStyle w:val="Compact"/>
            </w:pPr>
            <w:r>
              <w:rPr>
                <w:rFonts w:ascii="Arial" w:hAnsi="Arial"/>
                <w:sz w:val="17"/>
              </w:rPr>
              <w:t xml:space="preserve">+45.7</w:t>
            </w:r>
          </w:p>
        </w:tc>
        <w:tc>
          <w:tcPr>
            <w:tcW w:type="dxa" w:w="3168"/>
          </w:tcPr>
          <w:p>
            <w:pPr>
              <w:pStyle w:val="Compact"/>
            </w:pPr>
            <w:r>
              <w:rPr>
                <w:rFonts w:ascii="Arial" w:hAnsi="Arial"/>
                <w:sz w:val="17"/>
              </w:rPr>
              <w:t xml:space="preserve">Both positive, DI closer</w:t>
            </w:r>
          </w:p>
        </w:tc>
      </w:tr>
      <w:tr>
        <w:tc>
          <w:tcPr>
            <w:tcW w:type="dxa" w:w="3600"/>
          </w:tcPr>
          <w:p>
            <w:pPr>
              <w:pStyle w:val="Compact"/>
            </w:pPr>
            <w:r>
              <w:rPr>
                <w:rFonts w:ascii="Arial" w:hAnsi="Arial"/>
                <w:sz w:val="17"/>
              </w:rPr>
              <w:t xml:space="preserve">H. GORTEC very accelerated (137/129)</w:t>
            </w:r>
          </w:p>
        </w:tc>
        <w:tc>
          <w:tcPr>
            <w:tcW w:type="dxa" w:w="2448"/>
          </w:tcPr>
          <w:p>
            <w:pPr>
              <w:pStyle w:val="Compact"/>
            </w:pPr>
            <w:r>
              <w:rPr>
                <w:rFonts w:ascii="Arial" w:hAnsi="Arial"/>
                <w:sz w:val="17"/>
              </w:rPr>
              <w:t xml:space="preserve">2.0 Gy × 35, 48 d</w:t>
            </w:r>
          </w:p>
        </w:tc>
        <w:tc>
          <w:tcPr>
            <w:tcW w:type="dxa" w:w="1440"/>
          </w:tcPr>
          <w:p>
            <w:pPr>
              <w:pStyle w:val="Compact"/>
            </w:pPr>
            <w:r>
              <w:rPr>
                <w:rFonts w:ascii="Arial" w:hAnsi="Arial"/>
                <w:sz w:val="17"/>
              </w:rPr>
              <w:t xml:space="preserve">+11.6</w:t>
            </w:r>
          </w:p>
        </w:tc>
        <w:tc>
          <w:tcPr>
            <w:tcW w:type="dxa" w:w="1440"/>
          </w:tcPr>
          <w:p>
            <w:pPr>
              <w:pStyle w:val="Compact"/>
            </w:pPr>
            <w:r>
              <w:rPr>
                <w:rFonts w:ascii="Arial" w:hAnsi="Arial"/>
                <w:sz w:val="17"/>
              </w:rPr>
              <w:t xml:space="preserve">−1.6</w:t>
            </w:r>
          </w:p>
        </w:tc>
        <w:tc>
          <w:tcPr>
            <w:tcW w:type="dxa" w:w="2016"/>
          </w:tcPr>
          <w:p>
            <w:pPr>
              <w:pStyle w:val="Compact"/>
            </w:pPr>
            <w:r>
              <w:rPr>
                <w:rFonts w:ascii="Arial" w:hAnsi="Arial"/>
                <w:sz w:val="17"/>
              </w:rPr>
              <w:t xml:space="preserve">+18.2</w:t>
            </w:r>
          </w:p>
        </w:tc>
        <w:tc>
          <w:tcPr>
            <w:tcW w:type="dxa" w:w="3168"/>
          </w:tcPr>
          <w:p>
            <w:pPr>
              <w:pStyle w:val="Compact"/>
            </w:pPr>
            <w:r>
              <w:rPr>
                <w:rFonts w:ascii="Arial" w:hAnsi="Arial"/>
                <w:sz w:val="17"/>
              </w:rPr>
              <w:t xml:space="preserve">DI (DD has the wrong sign)</w:t>
            </w:r>
          </w:p>
        </w:tc>
      </w:tr>
      <w:tr>
        <w:tc>
          <w:tcPr>
            <w:tcW w:type="dxa" w:w="3600"/>
          </w:tcPr>
          <w:p>
            <w:pPr>
              <w:pStyle w:val="Compact"/>
            </w:pPr>
            <w:r>
              <w:rPr>
                <w:rFonts w:ascii="Arial" w:hAnsi="Arial"/>
                <w:sz w:val="17"/>
              </w:rPr>
              <w:t xml:space="preserve">I. TROG accelerated (172/171)</w:t>
            </w:r>
          </w:p>
        </w:tc>
        <w:tc>
          <w:tcPr>
            <w:tcW w:type="dxa" w:w="2448"/>
          </w:tcPr>
          <w:p>
            <w:pPr>
              <w:pStyle w:val="Compact"/>
            </w:pPr>
            <w:r>
              <w:rPr>
                <w:rFonts w:ascii="Arial" w:hAnsi="Arial"/>
                <w:sz w:val="17"/>
              </w:rPr>
              <w:t xml:space="preserve">2.0 Gy × 35, 50 d</w:t>
            </w:r>
          </w:p>
        </w:tc>
        <w:tc>
          <w:tcPr>
            <w:tcW w:type="dxa" w:w="1440"/>
          </w:tcPr>
          <w:p>
            <w:pPr>
              <w:pStyle w:val="Compact"/>
            </w:pPr>
            <w:r>
              <w:rPr>
                <w:rFonts w:ascii="Arial" w:hAnsi="Arial"/>
                <w:sz w:val="17"/>
              </w:rPr>
              <w:t xml:space="preserve">+8.1</w:t>
            </w:r>
          </w:p>
        </w:tc>
        <w:tc>
          <w:tcPr>
            <w:tcW w:type="dxa" w:w="1440"/>
          </w:tcPr>
          <w:p>
            <w:pPr>
              <w:pStyle w:val="Compact"/>
            </w:pPr>
            <w:r>
              <w:rPr>
                <w:rFonts w:ascii="Arial" w:hAnsi="Arial"/>
                <w:sz w:val="17"/>
              </w:rPr>
              <w:t xml:space="preserve">−4.8</w:t>
            </w:r>
          </w:p>
        </w:tc>
        <w:tc>
          <w:tcPr>
            <w:tcW w:type="dxa" w:w="2016"/>
          </w:tcPr>
          <w:p>
            <w:pPr>
              <w:pStyle w:val="Compact"/>
            </w:pPr>
            <w:r>
              <w:rPr>
                <w:rFonts w:ascii="Arial" w:hAnsi="Arial"/>
                <w:sz w:val="17"/>
              </w:rPr>
              <w:t xml:space="preserve">+8.5</w:t>
            </w:r>
          </w:p>
        </w:tc>
        <w:tc>
          <w:tcPr>
            <w:tcW w:type="dxa" w:w="3168"/>
          </w:tcPr>
          <w:p>
            <w:pPr>
              <w:pStyle w:val="Compact"/>
            </w:pPr>
            <w:r>
              <w:rPr>
                <w:rFonts w:ascii="Arial" w:hAnsi="Arial"/>
                <w:sz w:val="17"/>
              </w:rPr>
              <w:t xml:space="preserve">DI (DD has the wrong sign)</w:t>
            </w:r>
          </w:p>
        </w:tc>
      </w:tr>
      <w:tr>
        <w:tc>
          <w:tcPr>
            <w:tcW w:type="dxa" w:w="3600"/>
          </w:tcPr>
          <w:p>
            <w:pPr>
              <w:pStyle w:val="Compact"/>
            </w:pPr>
            <w:r>
              <w:rPr>
                <w:rFonts w:ascii="Arial" w:hAnsi="Arial"/>
                <w:sz w:val="17"/>
              </w:rPr>
              <w:t xml:space="preserve">J. CHART (552/366)</w:t>
            </w:r>
          </w:p>
        </w:tc>
        <w:tc>
          <w:tcPr>
            <w:tcW w:type="dxa" w:w="2448"/>
          </w:tcPr>
          <w:p>
            <w:pPr>
              <w:pStyle w:val="Compact"/>
            </w:pPr>
            <w:r>
              <w:rPr>
                <w:rFonts w:ascii="Arial" w:hAnsi="Arial"/>
                <w:sz w:val="17"/>
              </w:rPr>
              <w:t xml:space="preserve">2.0 Gy × 33, 45 d</w:t>
            </w:r>
          </w:p>
        </w:tc>
        <w:tc>
          <w:tcPr>
            <w:tcW w:type="dxa" w:w="1440"/>
          </w:tcPr>
          <w:p>
            <w:pPr>
              <w:pStyle w:val="Compact"/>
            </w:pPr>
            <w:r>
              <w:rPr>
                <w:rFonts w:ascii="Arial" w:hAnsi="Arial"/>
                <w:sz w:val="17"/>
              </w:rPr>
              <w:t xml:space="preserve">−0.1</w:t>
            </w:r>
          </w:p>
        </w:tc>
        <w:tc>
          <w:tcPr>
            <w:tcW w:type="dxa" w:w="1440"/>
          </w:tcPr>
          <w:p>
            <w:pPr>
              <w:pStyle w:val="Compact"/>
            </w:pPr>
            <w:r>
              <w:rPr>
                <w:rFonts w:ascii="Arial" w:hAnsi="Arial"/>
                <w:sz w:val="17"/>
              </w:rPr>
              <w:t xml:space="preserve">−5.7</w:t>
            </w:r>
          </w:p>
        </w:tc>
        <w:tc>
          <w:tcPr>
            <w:tcW w:type="dxa" w:w="2016"/>
          </w:tcPr>
          <w:p>
            <w:pPr>
              <w:pStyle w:val="Compact"/>
            </w:pPr>
            <w:r>
              <w:rPr>
                <w:rFonts w:ascii="Arial" w:hAnsi="Arial"/>
                <w:sz w:val="17"/>
              </w:rPr>
              <w:t xml:space="preserve">−1.2</w:t>
            </w:r>
          </w:p>
        </w:tc>
        <w:tc>
          <w:tcPr>
            <w:tcW w:type="dxa" w:w="3168"/>
          </w:tcPr>
          <w:p>
            <w:pPr>
              <w:pStyle w:val="Compact"/>
            </w:pPr>
            <w:r>
              <w:rPr>
                <w:rFonts w:ascii="Arial" w:hAnsi="Arial"/>
                <w:sz w:val="17"/>
              </w:rPr>
              <w:t xml:space="preserve">DI closer</w:t>
            </w:r>
          </w:p>
        </w:tc>
      </w:tr>
      <w:tr>
        <w:tc>
          <w:tcPr>
            <w:tcW w:type="dxa" w:w="3600"/>
          </w:tcPr>
          <w:p>
            <w:pPr>
              <w:pStyle w:val="Compact"/>
            </w:pPr>
            <w:r>
              <w:rPr>
                <w:rFonts w:ascii="Arial" w:hAnsi="Arial"/>
                <w:sz w:val="17"/>
              </w:rPr>
              <w:t xml:space="preserve">K. RTOG 9003 concomitant boost (268/268)</w:t>
            </w:r>
          </w:p>
        </w:tc>
        <w:tc>
          <w:tcPr>
            <w:tcW w:type="dxa" w:w="2448"/>
          </w:tcPr>
          <w:p>
            <w:pPr>
              <w:pStyle w:val="Compact"/>
            </w:pPr>
            <w:r>
              <w:rPr>
                <w:rFonts w:ascii="Arial" w:hAnsi="Arial"/>
                <w:sz w:val="17"/>
              </w:rPr>
              <w:t xml:space="preserve">2.0 Gy × 35, 50 d</w:t>
            </w:r>
          </w:p>
        </w:tc>
        <w:tc>
          <w:tcPr>
            <w:tcW w:type="dxa" w:w="1440"/>
          </w:tcPr>
          <w:p>
            <w:pPr>
              <w:pStyle w:val="Compact"/>
            </w:pPr>
            <w:r>
              <w:rPr>
                <w:rFonts w:ascii="Arial" w:hAnsi="Arial"/>
                <w:sz w:val="17"/>
              </w:rPr>
              <w:t xml:space="preserve">+6.5</w:t>
            </w:r>
          </w:p>
        </w:tc>
        <w:tc>
          <w:tcPr>
            <w:tcW w:type="dxa" w:w="1440"/>
          </w:tcPr>
          <w:p>
            <w:pPr>
              <w:pStyle w:val="Compact"/>
            </w:pPr>
            <w:r>
              <w:rPr>
                <w:rFonts w:ascii="Arial" w:hAnsi="Arial"/>
                <w:sz w:val="17"/>
              </w:rPr>
              <w:t xml:space="preserve">+0.3</w:t>
            </w:r>
          </w:p>
        </w:tc>
        <w:tc>
          <w:tcPr>
            <w:tcW w:type="dxa" w:w="2016"/>
          </w:tcPr>
          <w:p>
            <w:pPr>
              <w:pStyle w:val="Compact"/>
            </w:pPr>
            <w:r>
              <w:rPr>
                <w:rFonts w:ascii="Arial" w:hAnsi="Arial"/>
                <w:sz w:val="17"/>
              </w:rPr>
              <w:t xml:space="preserve">+9.7</w:t>
            </w:r>
          </w:p>
        </w:tc>
        <w:tc>
          <w:tcPr>
            <w:tcW w:type="dxa" w:w="3168"/>
          </w:tcPr>
          <w:p>
            <w:pPr>
              <w:pStyle w:val="Compact"/>
            </w:pPr>
            <w:r>
              <w:rPr>
                <w:rFonts w:ascii="Arial" w:hAnsi="Arial"/>
                <w:sz w:val="17"/>
              </w:rPr>
              <w:t xml:space="preserve">DI</w:t>
            </w:r>
          </w:p>
        </w:tc>
      </w:tr>
      <w:tr>
        <w:tc>
          <w:tcPr>
            <w:tcW w:type="dxa" w:w="3600"/>
          </w:tcPr>
          <w:p>
            <w:pPr>
              <w:pStyle w:val="Compact"/>
            </w:pPr>
            <w:r>
              <w:rPr>
                <w:rFonts w:ascii="Arial" w:hAnsi="Arial"/>
                <w:sz w:val="17"/>
              </w:rPr>
              <w:t xml:space="preserve">L. RTOG 9003 hyperfractionation (263/268)</w:t>
            </w:r>
          </w:p>
        </w:tc>
        <w:tc>
          <w:tcPr>
            <w:tcW w:type="dxa" w:w="2448"/>
          </w:tcPr>
          <w:p>
            <w:pPr>
              <w:pStyle w:val="Compact"/>
            </w:pPr>
            <w:r>
              <w:rPr>
                <w:rFonts w:ascii="Arial" w:hAnsi="Arial"/>
                <w:sz w:val="17"/>
              </w:rPr>
              <w:t xml:space="preserve">2.0 Gy × 35, 50 d</w:t>
            </w:r>
          </w:p>
        </w:tc>
        <w:tc>
          <w:tcPr>
            <w:tcW w:type="dxa" w:w="1440"/>
          </w:tcPr>
          <w:p>
            <w:pPr>
              <w:pStyle w:val="Compact"/>
            </w:pPr>
            <w:r>
              <w:rPr>
                <w:rFonts w:ascii="Arial" w:hAnsi="Arial"/>
                <w:sz w:val="17"/>
              </w:rPr>
              <w:t xml:space="preserve">+7.4</w:t>
            </w:r>
          </w:p>
        </w:tc>
        <w:tc>
          <w:tcPr>
            <w:tcW w:type="dxa" w:w="1440"/>
          </w:tcPr>
          <w:p>
            <w:pPr>
              <w:pStyle w:val="Compact"/>
            </w:pPr>
            <w:r>
              <w:rPr>
                <w:rFonts w:ascii="Arial" w:hAnsi="Arial"/>
                <w:sz w:val="17"/>
              </w:rPr>
              <w:t xml:space="preserve">+3.5</w:t>
            </w:r>
          </w:p>
        </w:tc>
        <w:tc>
          <w:tcPr>
            <w:tcW w:type="dxa" w:w="2016"/>
          </w:tcPr>
          <w:p>
            <w:pPr>
              <w:pStyle w:val="Compact"/>
            </w:pPr>
            <w:r>
              <w:rPr>
                <w:rFonts w:ascii="Arial" w:hAnsi="Arial"/>
                <w:sz w:val="17"/>
              </w:rPr>
              <w:t xml:space="preserve">+10.0</w:t>
            </w:r>
          </w:p>
        </w:tc>
        <w:tc>
          <w:tcPr>
            <w:tcW w:type="dxa" w:w="3168"/>
          </w:tcPr>
          <w:p>
            <w:pPr>
              <w:pStyle w:val="Compact"/>
            </w:pPr>
            <w:r>
              <w:rPr>
                <w:rFonts w:ascii="Arial" w:hAnsi="Arial"/>
                <w:sz w:val="17"/>
              </w:rPr>
              <w:t xml:space="preserve">Both positive, DI closer</w:t>
            </w:r>
          </w:p>
        </w:tc>
      </w:tr>
      <w:tr>
        <w:tc>
          <w:tcPr>
            <w:tcW w:type="dxa" w:w="3600"/>
          </w:tcPr>
          <w:p>
            <w:pPr>
              <w:pStyle w:val="Compact"/>
            </w:pPr>
            <w:r>
              <w:rPr>
                <w:rFonts w:ascii="Arial" w:hAnsi="Arial"/>
                <w:sz w:val="17"/>
              </w:rPr>
              <w:t xml:space="preserve">M. EORTC 22791 hyperfractionation (166/159)</w:t>
            </w:r>
          </w:p>
        </w:tc>
        <w:tc>
          <w:tcPr>
            <w:tcW w:type="dxa" w:w="2448"/>
          </w:tcPr>
          <w:p>
            <w:pPr>
              <w:pStyle w:val="Compact"/>
            </w:pPr>
            <w:r>
              <w:rPr>
                <w:rFonts w:ascii="Arial" w:hAnsi="Arial"/>
                <w:sz w:val="17"/>
              </w:rPr>
              <w:t xml:space="preserve">2.0 Gy × 35, 51 d</w:t>
            </w:r>
          </w:p>
        </w:tc>
        <w:tc>
          <w:tcPr>
            <w:tcW w:type="dxa" w:w="1440"/>
          </w:tcPr>
          <w:p>
            <w:pPr>
              <w:pStyle w:val="Compact"/>
            </w:pPr>
            <w:r>
              <w:rPr>
                <w:rFonts w:ascii="Arial" w:hAnsi="Arial"/>
                <w:sz w:val="17"/>
              </w:rPr>
              <w:t xml:space="preserve">+10.1</w:t>
            </w:r>
          </w:p>
        </w:tc>
        <w:tc>
          <w:tcPr>
            <w:tcW w:type="dxa" w:w="1440"/>
          </w:tcPr>
          <w:p>
            <w:pPr>
              <w:pStyle w:val="Compact"/>
            </w:pPr>
            <w:r>
              <w:rPr>
                <w:rFonts w:ascii="Arial" w:hAnsi="Arial"/>
                <w:sz w:val="17"/>
              </w:rPr>
              <w:t xml:space="preserve">+4.8</w:t>
            </w:r>
          </w:p>
        </w:tc>
        <w:tc>
          <w:tcPr>
            <w:tcW w:type="dxa" w:w="2016"/>
          </w:tcPr>
          <w:p>
            <w:pPr>
              <w:pStyle w:val="Compact"/>
            </w:pPr>
            <w:r>
              <w:rPr>
                <w:rFonts w:ascii="Arial" w:hAnsi="Arial"/>
                <w:sz w:val="17"/>
              </w:rPr>
              <w:t xml:space="preserve">+1.0</w:t>
            </w:r>
          </w:p>
        </w:tc>
        <w:tc>
          <w:tcPr>
            <w:tcW w:type="dxa" w:w="3168"/>
          </w:tcPr>
          <w:p>
            <w:pPr>
              <w:pStyle w:val="Compact"/>
            </w:pPr>
            <w:r>
              <w:rPr>
                <w:rFonts w:ascii="Arial" w:hAnsi="Arial"/>
                <w:sz w:val="17"/>
              </w:rPr>
              <w:t xml:space="preserve">DD closer</w:t>
            </w:r>
          </w:p>
        </w:tc>
      </w:tr>
    </w:tbl>
    <w:bookmarkEnd w:id="12"/>
    <w:bookmarkStart w:id="13" w:name="assessment-of-the-matched-setting"/>
    <w:p>
      <w:pPr>
        <w:pStyle w:val="Heading1"/>
      </w:pPr>
      <w:r>
        <w:t xml:space="preserve">Assessment of the matched setting</w:t>
      </w:r>
    </w:p>
    <w:p>
      <w:pPr>
        <w:pStyle w:val="Compact"/>
        <w:numPr>
          <w:ilvl w:val="0"/>
          <w:numId w:val="1002"/>
        </w:numPr>
      </w:pPr>
      <w:r>
        <w:rPr>
          <w:b/>
          <w:bCs/>
        </w:rPr>
        <w:t xml:space="preserve">Schedules of 5–7 weeks.</w:t>
      </w:r>
      <w:r>
        <w:t xml:space="preserve"> </w:t>
      </w:r>
      <w:r>
        <w:t xml:space="preserve">With the matched rate, the DD model’s onsets (22–28 days) and doubling times (2.9–3.5 days) fall within the clinical estimates (rows A–C, F, G, K–M). The DD and DI models differ by up to about 10 Gy</w:t>
      </w:r>
      <w:r>
        <w:rPr>
          <w:vertAlign w:val="subscript"/>
        </w:rPr>
        <w:t xml:space="preserve">10</w:t>
      </w:r>
      <w:r>
        <w:t xml:space="preserve"> </w:t>
      </w:r>
      <w:r>
        <w:t xml:space="preserve">even here, mainly because DD starts repopulation earlier when the daily cell kill is higher.</w:t>
      </w:r>
    </w:p>
    <w:p>
      <w:pPr>
        <w:pStyle w:val="Compact"/>
        <w:numPr>
          <w:ilvl w:val="0"/>
          <w:numId w:val="1002"/>
        </w:numPr>
      </w:pPr>
      <w:r>
        <w:rPr>
          <w:b/>
          <w:bCs/>
        </w:rPr>
        <w:t xml:space="preserve">Schedules shorter than about 4 weeks.</w:t>
      </w:r>
      <w:r>
        <w:t xml:space="preserve"> </w:t>
      </w:r>
      <w:r>
        <w:t xml:space="preserve">The DD model predicts earlier onset (days 10–19) and faster repopulation (doubling every 1.6–2.5 days and 1.4–2.2 Gy</w:t>
      </w:r>
      <w:r>
        <w:rPr>
          <w:vertAlign w:val="subscript"/>
        </w:rPr>
        <w:t xml:space="preserve">10</w:t>
      </w:r>
      <w:r>
        <w:t xml:space="preserve"> </w:t>
      </w:r>
      <w:r>
        <w:t xml:space="preserve">lost per day, rows D, E and H–J). This is the model’s central hypothesis rather than an error. However, no clinical estimate supports repopulation this early or this fast. The published estimates come mainly from longer schedules, so they neither confirm nor exclude it.</w:t>
      </w:r>
    </w:p>
    <w:p>
      <w:pPr>
        <w:pStyle w:val="Compact"/>
        <w:numPr>
          <w:ilvl w:val="0"/>
          <w:numId w:val="1002"/>
        </w:numPr>
      </w:pPr>
      <w:r>
        <w:rPr>
          <w:b/>
          <w:bCs/>
        </w:rPr>
        <w:t xml:space="preserve">Direction of the trial results.</w:t>
      </w:r>
      <w:r>
        <w:t xml:space="preserve"> </w:t>
      </w:r>
      <w:r>
        <w:t xml:space="preserve">With these parameter values, the DD model predicts a tumor BED loss for two accelerated arms that improved tumor control (GORTEC +18.2 points, TROG +8.5 points), and a 3.5 Gy</w:t>
      </w:r>
      <w:r>
        <w:rPr>
          <w:vertAlign w:val="subscript"/>
        </w:rPr>
        <w:t xml:space="preserve">10</w:t>
      </w:r>
      <w:r>
        <w:t xml:space="preserve"> </w:t>
      </w:r>
      <w:r>
        <w:t xml:space="preserve">deficit for HYPNO, which showed no difference. The DI model matches the direction of eight of the nine comparisons. The exception is EORTC 22791, where it overpredicts the gain.</w:t>
      </w:r>
    </w:p>
    <w:p>
      <w:pPr>
        <w:pStyle w:val="Compact"/>
        <w:numPr>
          <w:ilvl w:val="0"/>
          <w:numId w:val="1002"/>
        </w:numPr>
      </w:pPr>
      <w:r>
        <w:rPr>
          <w:b/>
          <w:bCs/>
        </w:rPr>
        <w:t xml:space="preserve">What this does and does not show.</w:t>
      </w:r>
      <w:r>
        <w:t xml:space="preserve"> </w:t>
      </w:r>
      <w:r>
        <w:t xml:space="preserve">This is a check of direction, not a fit. Tumor control was measured at different times and stages across trials, several trials are small (CAIR has 100 patients), and the average schedules are approximate. The 2018 analysis [1] found that the DD model described the same trials better than the DI model, but it fitted α, the rates, the onset parameter and stage-specific clonogen numbers to the data. The comparison here uses the calculator’s default parameters, which were not fitted. It therefore tests these parameter values, not the DD model in general.</w:t>
      </w:r>
    </w:p>
    <w:p>
      <w:pPr>
        <w:pStyle w:val="Compact"/>
        <w:numPr>
          <w:ilvl w:val="0"/>
          <w:numId w:val="1002"/>
        </w:numPr>
      </w:pPr>
      <w:r>
        <w:rPr>
          <w:b/>
          <w:bCs/>
        </w:rPr>
        <w:t xml:space="preserve">Implication for the calculator.</w:t>
      </w:r>
      <w:r>
        <w:t xml:space="preserve"> </w:t>
      </w:r>
      <w:r>
        <w:t xml:space="preserve">The matched rate gives clinically plausible DD behavior for conventional and moderately accelerated schedules. For short courses, the DD values should be presented as the hypothesis of a dose-dependent onset, not as an estimate supported by clinical data. The DI daily loss of 1.00 Gy</w:t>
      </w:r>
      <w:r>
        <w:rPr>
          <w:vertAlign w:val="subscript"/>
        </w:rPr>
        <w:t xml:space="preserve">10</w:t>
      </w:r>
      <w:r>
        <w:t xml:space="preserve"> </w:t>
      </w:r>
      <w:r>
        <w:t xml:space="preserve">remains above the published estimates, and both models inherit it at the reference.</w:t>
      </w:r>
    </w:p>
    <w:bookmarkEnd w:id="13"/>
    <w:bookmarkStart w:id="14" w:name="X2cb38614dfe1054796dd9be871e97b90022ced8"/>
    <w:p>
      <w:pPr>
        <w:pStyle w:val="Heading1"/>
      </w:pPr>
      <w:r>
        <w:t xml:space="preserve">Table 3. Repopulation behavior of each regimen, current default DD rate (0.5 per day)</w:t>
      </w:r>
    </w:p>
    <w:p>
      <w:pPr>
        <w:pStyle w:val="FirstParagraph"/>
      </w:pPr>
      <w:r>
        <w:t xml:space="preserve">Same regimens, conventions and DI values as Table 1. With λ</w:t>
      </w:r>
      <w:r>
        <w:rPr>
          <w:vertAlign w:val="subscript"/>
        </w:rPr>
        <w:t xml:space="preserve">DD</w:t>
      </w:r>
      <w:r>
        <w:t xml:space="preserve"> </w:t>
      </w:r>
      <w:r>
        <w:t xml:space="preserve">= 0.5 per day, the calibration places DD repopulation in the reference regimen at day 21.7 rather than day 28, at a slower rate (0.150 rather than 0.200 per day), so that the total BED lost over the course still equals the DI value.</w:t>
      </w:r>
    </w:p>
    <w:tbl>
      <w:tblPr>
        <w:tblStyle w:val="Table"/>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W w:w="14112" w:type="dxa"/>
        <w:tblLayout w:type="fixed"/>
      </w:tblPr>
      <w:tblGrid>
        <w:gridCol w:w="2232"/>
        <w:gridCol w:w="720"/>
        <w:gridCol w:w="648"/>
        <w:gridCol w:w="648"/>
        <w:gridCol w:w="1007"/>
        <w:gridCol w:w="1152"/>
        <w:gridCol w:w="1152"/>
        <w:gridCol w:w="1440"/>
        <w:gridCol w:w="5112"/>
      </w:tblGrid>
      <w:tr>
        <w:trPr>
          <w:tblHeader w:val="on"/>
          <w:tblHeader w:val="true"/>
        </w:trPr>
        <w:tc>
          <w:tcPr>
            <w:tcW w:type="dxa" w:w="2232"/>
            <w:vAlign w:val="top"/>
          </w:tcPr>
          <w:p>
            <w:pPr>
              <w:pStyle w:val="Compact"/>
            </w:pPr>
            <w:r>
              <w:rPr>
                <w:rFonts w:ascii="Arial" w:hAnsi="Arial"/>
                <w:b/>
                <w:sz w:val="17"/>
              </w:rPr>
              <w:t xml:space="preserve">Regimen</w:t>
            </w:r>
          </w:p>
        </w:tc>
        <w:tc>
          <w:tcPr>
            <w:tcW w:type="dxa" w:w="720"/>
            <w:vAlign w:val="top"/>
          </w:tcPr>
          <w:p>
            <w:pPr>
              <w:pStyle w:val="Compact"/>
            </w:pPr>
            <w:r>
              <w:rPr>
                <w:rFonts w:ascii="Arial" w:hAnsi="Arial"/>
                <w:b/>
                <w:sz w:val="17"/>
              </w:rPr>
              <w:t xml:space="preserve">d (Gy)</w:t>
            </w:r>
          </w:p>
        </w:tc>
        <w:tc>
          <w:tcPr>
            <w:tcW w:type="dxa" w:w="648"/>
            <w:vAlign w:val="top"/>
          </w:tcPr>
          <w:p>
            <w:pPr>
              <w:pStyle w:val="Compact"/>
            </w:pPr>
            <w:r>
              <w:rPr>
                <w:rFonts w:ascii="Arial" w:hAnsi="Arial"/>
                <w:b/>
                <w:sz w:val="17"/>
              </w:rPr>
              <w:t xml:space="preserve">n</w:t>
            </w:r>
          </w:p>
        </w:tc>
        <w:tc>
          <w:tcPr>
            <w:tcW w:type="dxa" w:w="648"/>
            <w:vAlign w:val="top"/>
          </w:tcPr>
          <w:p>
            <w:pPr>
              <w:pStyle w:val="Compact"/>
            </w:pPr>
            <w:r>
              <w:rPr>
                <w:rFonts w:ascii="Arial" w:hAnsi="Arial"/>
                <w:b/>
                <w:sz w:val="17"/>
              </w:rPr>
              <w:t xml:space="preserve">T (d)</w:t>
            </w:r>
          </w:p>
        </w:tc>
        <w:tc>
          <w:tcPr>
            <w:tcW w:type="dxa" w:w="1008"/>
            <w:vAlign w:val="top"/>
          </w:tcPr>
          <w:p>
            <w:pPr>
              <w:pStyle w:val="Compact"/>
            </w:pPr>
            <w:r>
              <w:rPr>
                <w:rFonts w:ascii="Arial" w:hAnsi="Arial"/>
                <w:b/>
                <w:sz w:val="17"/>
              </w:rPr>
              <w:t xml:space="preserve">DD onset (day)</w:t>
            </w:r>
          </w:p>
        </w:tc>
        <w:tc>
          <w:tcPr>
            <w:tcW w:type="dxa" w:w="1152"/>
            <w:vAlign w:val="top"/>
          </w:tcPr>
          <w:p>
            <w:pPr>
              <w:pStyle w:val="Compact"/>
            </w:pPr>
            <w:r>
              <w:rPr>
                <w:rFonts w:ascii="Arial" w:hAnsi="Arial"/>
                <w:b/>
                <w:sz w:val="17"/>
              </w:rPr>
              <w:t xml:space="preserve">DD doubling time (d)</w:t>
            </w:r>
          </w:p>
        </w:tc>
        <w:tc>
          <w:tcPr>
            <w:tcW w:type="dxa" w:w="1152"/>
            <w:vAlign w:val="top"/>
          </w:tcPr>
          <w:p>
            <w:pPr>
              <w:pStyle w:val="Compact"/>
            </w:pPr>
            <w:r>
              <w:rPr>
                <w:rFonts w:ascii="Arial" w:hAnsi="Arial"/>
                <w:b/>
                <w:sz w:val="17"/>
              </w:rPr>
              <w:t xml:space="preserve">DD loss (Gy</w:t>
            </w:r>
            <w:r>
              <w:rPr>
                <w:rFonts w:ascii="Arial" w:hAnsi="Arial"/>
                <w:b/>
                <w:sz w:val="17"/>
                <w:vertAlign w:val="subscript"/>
              </w:rPr>
              <w:t xml:space="preserve">10</w:t>
            </w:r>
            <w:r>
              <w:rPr>
                <w:rFonts w:ascii="Arial" w:hAnsi="Arial"/>
                <w:b/>
                <w:sz w:val="17"/>
              </w:rPr>
              <w:t xml:space="preserve">/day)</w:t>
            </w:r>
          </w:p>
        </w:tc>
        <w:tc>
          <w:tcPr>
            <w:tcW w:type="dxa" w:w="1440"/>
            <w:vAlign w:val="top"/>
          </w:tcPr>
          <w:p>
            <w:pPr>
              <w:pStyle w:val="Compact"/>
            </w:pPr>
            <w:r>
              <w:rPr>
                <w:rFonts w:ascii="Arial" w:hAnsi="Arial"/>
                <w:b/>
                <w:sz w:val="17"/>
              </w:rPr>
              <w:t xml:space="preserve">BED</w:t>
            </w:r>
            <w:r>
              <w:rPr>
                <w:rFonts w:ascii="Arial" w:hAnsi="Arial"/>
                <w:b/>
                <w:sz w:val="17"/>
                <w:vertAlign w:val="subscript"/>
              </w:rPr>
              <w:t xml:space="preserve">DI</w:t>
            </w:r>
            <w:r>
              <w:rPr>
                <w:rFonts w:ascii="Arial" w:hAnsi="Arial"/>
                <w:b/>
                <w:sz w:val="17"/>
              </w:rPr>
              <w:t xml:space="preserve"> </w:t>
            </w:r>
            <w:r>
              <w:rPr>
                <w:rFonts w:ascii="Arial" w:hAnsi="Arial"/>
                <w:b/>
                <w:sz w:val="17"/>
              </w:rPr>
              <w:t xml:space="preserve">/ BED</w:t>
            </w:r>
            <w:r>
              <w:rPr>
                <w:rFonts w:ascii="Arial" w:hAnsi="Arial"/>
                <w:b/>
                <w:sz w:val="17"/>
                <w:vertAlign w:val="subscript"/>
              </w:rPr>
              <w:t xml:space="preserve">DD</w:t>
            </w:r>
            <w:r>
              <w:rPr>
                <w:rFonts w:ascii="Arial" w:hAnsi="Arial"/>
                <w:b/>
                <w:sz w:val="17"/>
              </w:rPr>
              <w:t xml:space="preserve"> </w:t>
            </w:r>
            <w:r>
              <w:rPr>
                <w:rFonts w:ascii="Arial" w:hAnsi="Arial"/>
                <w:b/>
                <w:sz w:val="17"/>
              </w:rPr>
              <w:t xml:space="preserve">(Gy</w:t>
            </w:r>
            <w:r>
              <w:rPr>
                <w:rFonts w:ascii="Arial" w:hAnsi="Arial"/>
                <w:b/>
                <w:sz w:val="17"/>
                <w:vertAlign w:val="subscript"/>
              </w:rPr>
              <w:t xml:space="preserve">10</w:t>
            </w:r>
            <w:r>
              <w:rPr>
                <w:rFonts w:ascii="Arial" w:hAnsi="Arial"/>
                <w:b/>
                <w:sz w:val="17"/>
              </w:rPr>
              <w:t xml:space="preserve">)</w:t>
            </w:r>
          </w:p>
        </w:tc>
        <w:tc>
          <w:tcPr>
            <w:tcW w:type="dxa" w:w="5112"/>
            <w:vAlign w:val="top"/>
          </w:tcPr>
          <w:p>
            <w:pPr>
              <w:pStyle w:val="Compact"/>
            </w:pPr>
            <w:r>
              <w:rPr>
                <w:rFonts w:ascii="Arial" w:hAnsi="Arial"/>
                <w:b/>
                <w:sz w:val="17"/>
              </w:rPr>
              <w:t xml:space="preserve">Plausibility of the DD values</w:t>
            </w:r>
          </w:p>
        </w:tc>
      </w:tr>
      <w:tr>
        <w:tc>
          <w:tcPr>
            <w:tcW w:type="dxa" w:w="2232"/>
          </w:tcPr>
          <w:p>
            <w:pPr>
              <w:pStyle w:val="Compact"/>
            </w:pPr>
            <w:r>
              <w:rPr>
                <w:rFonts w:ascii="Arial" w:hAnsi="Arial"/>
                <w:sz w:val="17"/>
              </w:rPr>
              <w:t xml:space="preserve">A. Standard, 70 Gy/35 fx (reference)</w:t>
            </w:r>
          </w:p>
        </w:tc>
        <w:tc>
          <w:tcPr>
            <w:tcW w:type="dxa" w:w="720"/>
          </w:tcPr>
          <w:p>
            <w:pPr>
              <w:pStyle w:val="Compact"/>
            </w:pPr>
            <w:r>
              <w:rPr>
                <w:rFonts w:ascii="Arial" w:hAnsi="Arial"/>
                <w:sz w:val="17"/>
              </w:rPr>
              <w:t xml:space="preserve">2.0</w:t>
            </w:r>
          </w:p>
        </w:tc>
        <w:tc>
          <w:tcPr>
            <w:tcW w:type="dxa" w:w="648"/>
          </w:tcPr>
          <w:p>
            <w:pPr>
              <w:pStyle w:val="Compact"/>
            </w:pPr>
            <w:r>
              <w:rPr>
                <w:rFonts w:ascii="Arial" w:hAnsi="Arial"/>
                <w:sz w:val="17"/>
              </w:rPr>
              <w:t xml:space="preserve">35</w:t>
            </w:r>
          </w:p>
        </w:tc>
        <w:tc>
          <w:tcPr>
            <w:tcW w:type="dxa" w:w="648"/>
          </w:tcPr>
          <w:p>
            <w:pPr>
              <w:pStyle w:val="Compact"/>
            </w:pPr>
            <w:r>
              <w:rPr>
                <w:rFonts w:ascii="Arial" w:hAnsi="Arial"/>
                <w:sz w:val="17"/>
              </w:rPr>
              <w:t xml:space="preserve">47</w:t>
            </w:r>
          </w:p>
        </w:tc>
        <w:tc>
          <w:tcPr>
            <w:tcW w:type="dxa" w:w="1008"/>
          </w:tcPr>
          <w:p>
            <w:pPr>
              <w:pStyle w:val="Compact"/>
            </w:pPr>
            <w:r>
              <w:rPr>
                <w:rFonts w:ascii="Arial" w:hAnsi="Arial"/>
                <w:sz w:val="17"/>
              </w:rPr>
              <w:t xml:space="preserve">21.7</w:t>
            </w:r>
          </w:p>
        </w:tc>
        <w:tc>
          <w:tcPr>
            <w:tcW w:type="dxa" w:w="1152"/>
          </w:tcPr>
          <w:p>
            <w:pPr>
              <w:pStyle w:val="Compact"/>
            </w:pPr>
            <w:r>
              <w:rPr>
                <w:rFonts w:ascii="Arial" w:hAnsi="Arial"/>
                <w:sz w:val="17"/>
              </w:rPr>
              <w:t xml:space="preserve">4.6</w:t>
            </w:r>
          </w:p>
        </w:tc>
        <w:tc>
          <w:tcPr>
            <w:tcW w:type="dxa" w:w="1152"/>
          </w:tcPr>
          <w:p>
            <w:pPr>
              <w:pStyle w:val="Compact"/>
            </w:pPr>
            <w:r>
              <w:rPr>
                <w:rFonts w:ascii="Arial" w:hAnsi="Arial"/>
                <w:sz w:val="17"/>
              </w:rPr>
              <w:t xml:space="preserve">0.75</w:t>
            </w:r>
          </w:p>
        </w:tc>
        <w:tc>
          <w:tcPr>
            <w:tcW w:type="dxa" w:w="1440"/>
          </w:tcPr>
          <w:p>
            <w:pPr>
              <w:pStyle w:val="Compact"/>
            </w:pPr>
            <w:r>
              <w:rPr>
                <w:rFonts w:ascii="Arial" w:hAnsi="Arial"/>
                <w:sz w:val="17"/>
              </w:rPr>
              <w:t xml:space="preserve">65.0 / 65.0</w:t>
            </w:r>
          </w:p>
        </w:tc>
        <w:tc>
          <w:tcPr>
            <w:tcW w:type="dxa" w:w="5112"/>
          </w:tcPr>
          <w:p>
            <w:pPr>
              <w:pStyle w:val="Compact"/>
            </w:pPr>
            <w:r>
              <w:rPr>
                <w:rFonts w:ascii="Arial" w:hAnsi="Arial"/>
                <w:sz w:val="17"/>
              </w:rPr>
              <w:t xml:space="preserve">Onset, doubling time and daily loss all within clinical estimates. DD starts 6 days earlier than DI at a slower rate, with the same total loss.</w:t>
            </w:r>
          </w:p>
        </w:tc>
      </w:tr>
      <w:tr>
        <w:tc>
          <w:tcPr>
            <w:tcW w:type="dxa" w:w="2232"/>
          </w:tcPr>
          <w:p>
            <w:pPr>
              <w:pStyle w:val="Compact"/>
            </w:pPr>
            <w:r>
              <w:rPr>
                <w:rFonts w:ascii="Arial" w:hAnsi="Arial"/>
                <w:sz w:val="17"/>
              </w:rPr>
              <w:t xml:space="preserve">B. UK, 65 Gy/30 fx</w:t>
            </w:r>
          </w:p>
        </w:tc>
        <w:tc>
          <w:tcPr>
            <w:tcW w:type="dxa" w:w="720"/>
          </w:tcPr>
          <w:p>
            <w:pPr>
              <w:pStyle w:val="Compact"/>
            </w:pPr>
            <w:r>
              <w:rPr>
                <w:rFonts w:ascii="Arial" w:hAnsi="Arial"/>
                <w:sz w:val="17"/>
              </w:rPr>
              <w:t xml:space="preserve">2.17</w:t>
            </w:r>
          </w:p>
        </w:tc>
        <w:tc>
          <w:tcPr>
            <w:tcW w:type="dxa" w:w="648"/>
          </w:tcPr>
          <w:p>
            <w:pPr>
              <w:pStyle w:val="Compact"/>
            </w:pPr>
            <w:r>
              <w:rPr>
                <w:rFonts w:ascii="Arial" w:hAnsi="Arial"/>
                <w:sz w:val="17"/>
              </w:rPr>
              <w:t xml:space="preserve">30</w:t>
            </w:r>
          </w:p>
        </w:tc>
        <w:tc>
          <w:tcPr>
            <w:tcW w:type="dxa" w:w="648"/>
          </w:tcPr>
          <w:p>
            <w:pPr>
              <w:pStyle w:val="Compact"/>
            </w:pPr>
            <w:r>
              <w:rPr>
                <w:rFonts w:ascii="Arial" w:hAnsi="Arial"/>
                <w:sz w:val="17"/>
              </w:rPr>
              <w:t xml:space="preserve">40</w:t>
            </w:r>
          </w:p>
        </w:tc>
        <w:tc>
          <w:tcPr>
            <w:tcW w:type="dxa" w:w="1008"/>
          </w:tcPr>
          <w:p>
            <w:pPr>
              <w:pStyle w:val="Compact"/>
            </w:pPr>
            <w:r>
              <w:rPr>
                <w:rFonts w:ascii="Arial" w:hAnsi="Arial"/>
                <w:sz w:val="17"/>
              </w:rPr>
              <w:t xml:space="preserve">19.6</w:t>
            </w:r>
          </w:p>
        </w:tc>
        <w:tc>
          <w:tcPr>
            <w:tcW w:type="dxa" w:w="1152"/>
          </w:tcPr>
          <w:p>
            <w:pPr>
              <w:pStyle w:val="Compact"/>
            </w:pPr>
            <w:r>
              <w:rPr>
                <w:rFonts w:ascii="Arial" w:hAnsi="Arial"/>
                <w:sz w:val="17"/>
              </w:rPr>
              <w:t xml:space="preserve">4.2</w:t>
            </w:r>
          </w:p>
        </w:tc>
        <w:tc>
          <w:tcPr>
            <w:tcW w:type="dxa" w:w="1152"/>
          </w:tcPr>
          <w:p>
            <w:pPr>
              <w:pStyle w:val="Compact"/>
            </w:pPr>
            <w:r>
              <w:rPr>
                <w:rFonts w:ascii="Arial" w:hAnsi="Arial"/>
                <w:sz w:val="17"/>
              </w:rPr>
              <w:t xml:space="preserve">0.82</w:t>
            </w:r>
          </w:p>
        </w:tc>
        <w:tc>
          <w:tcPr>
            <w:tcW w:type="dxa" w:w="1440"/>
          </w:tcPr>
          <w:p>
            <w:pPr>
              <w:pStyle w:val="Compact"/>
            </w:pPr>
            <w:r>
              <w:rPr>
                <w:rFonts w:ascii="Arial" w:hAnsi="Arial"/>
                <w:sz w:val="17"/>
              </w:rPr>
              <w:t xml:space="preserve">67.1 / 62.5</w:t>
            </w:r>
          </w:p>
        </w:tc>
        <w:tc>
          <w:tcPr>
            <w:tcW w:type="dxa" w:w="5112"/>
          </w:tcPr>
          <w:p>
            <w:pPr>
              <w:pStyle w:val="Compact"/>
            </w:pPr>
            <w:r>
              <w:rPr>
                <w:rFonts w:ascii="Arial" w:hAnsi="Arial"/>
                <w:sz w:val="17"/>
              </w:rPr>
              <w:t xml:space="preserve">Onset slightly before day 21, otherwise plausible.</w:t>
            </w:r>
          </w:p>
        </w:tc>
      </w:tr>
      <w:tr>
        <w:tc>
          <w:tcPr>
            <w:tcW w:type="dxa" w:w="2232"/>
          </w:tcPr>
          <w:p>
            <w:pPr>
              <w:pStyle w:val="Compact"/>
            </w:pPr>
            <w:r>
              <w:rPr>
                <w:rFonts w:ascii="Arial" w:hAnsi="Arial"/>
                <w:sz w:val="17"/>
              </w:rPr>
              <w:t xml:space="preserve">C. HYPNO control, 66 Gy/33 fx, 6 fx/week</w:t>
            </w:r>
          </w:p>
        </w:tc>
        <w:tc>
          <w:tcPr>
            <w:tcW w:type="dxa" w:w="720"/>
          </w:tcPr>
          <w:p>
            <w:pPr>
              <w:pStyle w:val="Compact"/>
            </w:pPr>
            <w:r>
              <w:rPr>
                <w:rFonts w:ascii="Arial" w:hAnsi="Arial"/>
                <w:sz w:val="17"/>
              </w:rPr>
              <w:t xml:space="preserve">2.0</w:t>
            </w:r>
          </w:p>
        </w:tc>
        <w:tc>
          <w:tcPr>
            <w:tcW w:type="dxa" w:w="648"/>
          </w:tcPr>
          <w:p>
            <w:pPr>
              <w:pStyle w:val="Compact"/>
            </w:pPr>
            <w:r>
              <w:rPr>
                <w:rFonts w:ascii="Arial" w:hAnsi="Arial"/>
                <w:sz w:val="17"/>
              </w:rPr>
              <w:t xml:space="preserve">33</w:t>
            </w:r>
          </w:p>
        </w:tc>
        <w:tc>
          <w:tcPr>
            <w:tcW w:type="dxa" w:w="648"/>
          </w:tcPr>
          <w:p>
            <w:pPr>
              <w:pStyle w:val="Compact"/>
            </w:pPr>
            <w:r>
              <w:rPr>
                <w:rFonts w:ascii="Arial" w:hAnsi="Arial"/>
                <w:sz w:val="17"/>
              </w:rPr>
              <w:t xml:space="preserve">38</w:t>
            </w:r>
          </w:p>
        </w:tc>
        <w:tc>
          <w:tcPr>
            <w:tcW w:type="dxa" w:w="1008"/>
          </w:tcPr>
          <w:p>
            <w:pPr>
              <w:pStyle w:val="Compact"/>
            </w:pPr>
            <w:r>
              <w:rPr>
                <w:rFonts w:ascii="Arial" w:hAnsi="Arial"/>
                <w:sz w:val="17"/>
              </w:rPr>
              <w:t xml:space="preserve">18.6</w:t>
            </w:r>
          </w:p>
        </w:tc>
        <w:tc>
          <w:tcPr>
            <w:tcW w:type="dxa" w:w="1152"/>
          </w:tcPr>
          <w:p>
            <w:pPr>
              <w:pStyle w:val="Compact"/>
            </w:pPr>
            <w:r>
              <w:rPr>
                <w:rFonts w:ascii="Arial" w:hAnsi="Arial"/>
                <w:sz w:val="17"/>
              </w:rPr>
              <w:t xml:space="preserve">4.1</w:t>
            </w:r>
          </w:p>
        </w:tc>
        <w:tc>
          <w:tcPr>
            <w:tcW w:type="dxa" w:w="1152"/>
          </w:tcPr>
          <w:p>
            <w:pPr>
              <w:pStyle w:val="Compact"/>
            </w:pPr>
            <w:r>
              <w:rPr>
                <w:rFonts w:ascii="Arial" w:hAnsi="Arial"/>
                <w:sz w:val="17"/>
              </w:rPr>
              <w:t xml:space="preserve">0.85</w:t>
            </w:r>
          </w:p>
        </w:tc>
        <w:tc>
          <w:tcPr>
            <w:tcW w:type="dxa" w:w="1440"/>
          </w:tcPr>
          <w:p>
            <w:pPr>
              <w:pStyle w:val="Compact"/>
            </w:pPr>
            <w:r>
              <w:rPr>
                <w:rFonts w:ascii="Arial" w:hAnsi="Arial"/>
                <w:sz w:val="17"/>
              </w:rPr>
              <w:t xml:space="preserve">69.2 / 62.7</w:t>
            </w:r>
          </w:p>
        </w:tc>
        <w:tc>
          <w:tcPr>
            <w:tcW w:type="dxa" w:w="5112"/>
          </w:tcPr>
          <w:p>
            <w:pPr>
              <w:pStyle w:val="Compact"/>
            </w:pPr>
            <w:r>
              <w:rPr>
                <w:rFonts w:ascii="Arial" w:hAnsi="Arial"/>
                <w:sz w:val="17"/>
              </w:rPr>
              <w:t xml:space="preserve">Onset at the early edge of clinical estimates, otherwise plausible.</w:t>
            </w:r>
          </w:p>
        </w:tc>
      </w:tr>
      <w:tr>
        <w:tc>
          <w:tcPr>
            <w:tcW w:type="dxa" w:w="2232"/>
          </w:tcPr>
          <w:p>
            <w:pPr>
              <w:pStyle w:val="Compact"/>
            </w:pPr>
            <w:r>
              <w:rPr>
                <w:rFonts w:ascii="Arial" w:hAnsi="Arial"/>
                <w:sz w:val="17"/>
              </w:rPr>
              <w:t xml:space="preserve">D. HYPNO test, 55 Gy/20 fx [4]</w:t>
            </w:r>
          </w:p>
        </w:tc>
        <w:tc>
          <w:tcPr>
            <w:tcW w:type="dxa" w:w="720"/>
          </w:tcPr>
          <w:p>
            <w:pPr>
              <w:pStyle w:val="Compact"/>
            </w:pPr>
            <w:r>
              <w:rPr>
                <w:rFonts w:ascii="Arial" w:hAnsi="Arial"/>
                <w:sz w:val="17"/>
              </w:rPr>
              <w:t xml:space="preserve">2.75</w:t>
            </w:r>
          </w:p>
        </w:tc>
        <w:tc>
          <w:tcPr>
            <w:tcW w:type="dxa" w:w="648"/>
          </w:tcPr>
          <w:p>
            <w:pPr>
              <w:pStyle w:val="Compact"/>
            </w:pPr>
            <w:r>
              <w:rPr>
                <w:rFonts w:ascii="Arial" w:hAnsi="Arial"/>
                <w:sz w:val="17"/>
              </w:rPr>
              <w:t xml:space="preserve">20</w:t>
            </w:r>
          </w:p>
        </w:tc>
        <w:tc>
          <w:tcPr>
            <w:tcW w:type="dxa" w:w="648"/>
          </w:tcPr>
          <w:p>
            <w:pPr>
              <w:pStyle w:val="Compact"/>
            </w:pPr>
            <w:r>
              <w:rPr>
                <w:rFonts w:ascii="Arial" w:hAnsi="Arial"/>
                <w:sz w:val="17"/>
              </w:rPr>
              <w:t xml:space="preserve">26</w:t>
            </w:r>
          </w:p>
        </w:tc>
        <w:tc>
          <w:tcPr>
            <w:tcW w:type="dxa" w:w="1008"/>
          </w:tcPr>
          <w:p>
            <w:pPr>
              <w:pStyle w:val="Compact"/>
            </w:pPr>
            <w:r>
              <w:rPr>
                <w:rFonts w:ascii="Arial" w:hAnsi="Arial"/>
                <w:sz w:val="17"/>
              </w:rPr>
              <w:t xml:space="preserve">14.4</w:t>
            </w:r>
          </w:p>
        </w:tc>
        <w:tc>
          <w:tcPr>
            <w:tcW w:type="dxa" w:w="1152"/>
          </w:tcPr>
          <w:p>
            <w:pPr>
              <w:pStyle w:val="Compact"/>
            </w:pPr>
            <w:r>
              <w:rPr>
                <w:rFonts w:ascii="Arial" w:hAnsi="Arial"/>
                <w:sz w:val="17"/>
              </w:rPr>
              <w:t xml:space="preserve">3.3</w:t>
            </w:r>
          </w:p>
        </w:tc>
        <w:tc>
          <w:tcPr>
            <w:tcW w:type="dxa" w:w="1152"/>
          </w:tcPr>
          <w:p>
            <w:pPr>
              <w:pStyle w:val="Compact"/>
            </w:pPr>
            <w:r>
              <w:rPr>
                <w:rFonts w:ascii="Arial" w:hAnsi="Arial"/>
                <w:sz w:val="17"/>
              </w:rPr>
              <w:t xml:space="preserve">1.04</w:t>
            </w:r>
          </w:p>
        </w:tc>
        <w:tc>
          <w:tcPr>
            <w:tcW w:type="dxa" w:w="1440"/>
          </w:tcPr>
          <w:p>
            <w:pPr>
              <w:pStyle w:val="Compact"/>
            </w:pPr>
            <w:r>
              <w:rPr>
                <w:rFonts w:ascii="Arial" w:hAnsi="Arial"/>
                <w:sz w:val="17"/>
              </w:rPr>
              <w:t xml:space="preserve">70.1 / 58.0</w:t>
            </w:r>
          </w:p>
        </w:tc>
        <w:tc>
          <w:tcPr>
            <w:tcW w:type="dxa" w:w="5112"/>
          </w:tcPr>
          <w:p>
            <w:pPr>
              <w:pStyle w:val="Compact"/>
            </w:pPr>
            <w:r>
              <w:rPr>
                <w:rFonts w:ascii="Arial" w:hAnsi="Arial"/>
                <w:sz w:val="17"/>
              </w:rPr>
              <w:t xml:space="preserve">Onset in week 3, earlier than clinical estimates. Doubling time plausible, daily loss above estimates.</w:t>
            </w:r>
          </w:p>
        </w:tc>
      </w:tr>
      <w:tr>
        <w:tc>
          <w:tcPr>
            <w:tcW w:type="dxa" w:w="2232"/>
          </w:tcPr>
          <w:p>
            <w:pPr>
              <w:pStyle w:val="Compact"/>
            </w:pPr>
            <w:r>
              <w:rPr>
                <w:rFonts w:ascii="Arial" w:hAnsi="Arial"/>
                <w:sz w:val="17"/>
              </w:rPr>
              <w:t xml:space="preserve">E. HYHOPE, 46.5 Gy/15 fx [5]</w:t>
            </w:r>
          </w:p>
        </w:tc>
        <w:tc>
          <w:tcPr>
            <w:tcW w:type="dxa" w:w="720"/>
          </w:tcPr>
          <w:p>
            <w:pPr>
              <w:pStyle w:val="Compact"/>
            </w:pPr>
            <w:r>
              <w:rPr>
                <w:rFonts w:ascii="Arial" w:hAnsi="Arial"/>
                <w:sz w:val="17"/>
              </w:rPr>
              <w:t xml:space="preserve">3.1</w:t>
            </w:r>
          </w:p>
        </w:tc>
        <w:tc>
          <w:tcPr>
            <w:tcW w:type="dxa" w:w="648"/>
          </w:tcPr>
          <w:p>
            <w:pPr>
              <w:pStyle w:val="Compact"/>
            </w:pPr>
            <w:r>
              <w:rPr>
                <w:rFonts w:ascii="Arial" w:hAnsi="Arial"/>
                <w:sz w:val="17"/>
              </w:rPr>
              <w:t xml:space="preserve">15</w:t>
            </w:r>
          </w:p>
        </w:tc>
        <w:tc>
          <w:tcPr>
            <w:tcW w:type="dxa" w:w="648"/>
          </w:tcPr>
          <w:p>
            <w:pPr>
              <w:pStyle w:val="Compact"/>
            </w:pPr>
            <w:r>
              <w:rPr>
                <w:rFonts w:ascii="Arial" w:hAnsi="Arial"/>
                <w:sz w:val="17"/>
              </w:rPr>
              <w:t xml:space="preserve">19</w:t>
            </w:r>
          </w:p>
        </w:tc>
        <w:tc>
          <w:tcPr>
            <w:tcW w:type="dxa" w:w="1008"/>
          </w:tcPr>
          <w:p>
            <w:pPr>
              <w:pStyle w:val="Compact"/>
            </w:pPr>
            <w:r>
              <w:rPr>
                <w:rFonts w:ascii="Arial" w:hAnsi="Arial"/>
                <w:sz w:val="17"/>
              </w:rPr>
              <w:t xml:space="preserve">12.1</w:t>
            </w:r>
          </w:p>
        </w:tc>
        <w:tc>
          <w:tcPr>
            <w:tcW w:type="dxa" w:w="1152"/>
          </w:tcPr>
          <w:p>
            <w:pPr>
              <w:pStyle w:val="Compact"/>
            </w:pPr>
            <w:r>
              <w:rPr>
                <w:rFonts w:ascii="Arial" w:hAnsi="Arial"/>
                <w:sz w:val="17"/>
              </w:rPr>
              <w:t xml:space="preserve">2.9</w:t>
            </w:r>
          </w:p>
        </w:tc>
        <w:tc>
          <w:tcPr>
            <w:tcW w:type="dxa" w:w="1152"/>
          </w:tcPr>
          <w:p>
            <w:pPr>
              <w:pStyle w:val="Compact"/>
            </w:pPr>
            <w:r>
              <w:rPr>
                <w:rFonts w:ascii="Arial" w:hAnsi="Arial"/>
                <w:sz w:val="17"/>
              </w:rPr>
              <w:t xml:space="preserve">1.18</w:t>
            </w:r>
          </w:p>
        </w:tc>
        <w:tc>
          <w:tcPr>
            <w:tcW w:type="dxa" w:w="1440"/>
          </w:tcPr>
          <w:p>
            <w:pPr>
              <w:pStyle w:val="Compact"/>
            </w:pPr>
            <w:r>
              <w:rPr>
                <w:rFonts w:ascii="Arial" w:hAnsi="Arial"/>
                <w:sz w:val="17"/>
              </w:rPr>
              <w:t xml:space="preserve">60.9 / 52.8</w:t>
            </w:r>
          </w:p>
        </w:tc>
        <w:tc>
          <w:tcPr>
            <w:tcW w:type="dxa" w:w="5112"/>
          </w:tcPr>
          <w:p>
            <w:pPr>
              <w:pStyle w:val="Compact"/>
            </w:pPr>
            <w:r>
              <w:rPr>
                <w:rFonts w:ascii="Arial" w:hAnsi="Arial"/>
                <w:sz w:val="17"/>
              </w:rPr>
              <w:t xml:space="preserve">Onset in week 2, earlier than any clinical estimate. Doubling time plausible.</w:t>
            </w:r>
          </w:p>
        </w:tc>
      </w:tr>
      <w:tr>
        <w:tc>
          <w:tcPr>
            <w:tcW w:type="dxa" w:w="2232"/>
          </w:tcPr>
          <w:p>
            <w:pPr>
              <w:pStyle w:val="Compact"/>
            </w:pPr>
            <w:r>
              <w:rPr>
                <w:rFonts w:ascii="Arial" w:hAnsi="Arial"/>
                <w:sz w:val="17"/>
              </w:rPr>
              <w:t xml:space="preserve">F. DAHANCA 6&amp;7, 6 fx/week</w:t>
            </w:r>
          </w:p>
        </w:tc>
        <w:tc>
          <w:tcPr>
            <w:tcW w:type="dxa" w:w="720"/>
          </w:tcPr>
          <w:p>
            <w:pPr>
              <w:pStyle w:val="Compact"/>
            </w:pPr>
            <w:r>
              <w:rPr>
                <w:rFonts w:ascii="Arial" w:hAnsi="Arial"/>
                <w:sz w:val="17"/>
              </w:rPr>
              <w:t xml:space="preserve">2.0</w:t>
            </w:r>
          </w:p>
        </w:tc>
        <w:tc>
          <w:tcPr>
            <w:tcW w:type="dxa" w:w="648"/>
          </w:tcPr>
          <w:p>
            <w:pPr>
              <w:pStyle w:val="Compact"/>
            </w:pPr>
            <w:r>
              <w:rPr>
                <w:rFonts w:ascii="Arial" w:hAnsi="Arial"/>
                <w:sz w:val="17"/>
              </w:rPr>
              <w:t xml:space="preserve">33.5</w:t>
            </w:r>
          </w:p>
        </w:tc>
        <w:tc>
          <w:tcPr>
            <w:tcW w:type="dxa" w:w="648"/>
          </w:tcPr>
          <w:p>
            <w:pPr>
              <w:pStyle w:val="Compact"/>
            </w:pPr>
            <w:r>
              <w:rPr>
                <w:rFonts w:ascii="Arial" w:hAnsi="Arial"/>
                <w:sz w:val="17"/>
              </w:rPr>
              <w:t xml:space="preserve">39</w:t>
            </w:r>
          </w:p>
        </w:tc>
        <w:tc>
          <w:tcPr>
            <w:tcW w:type="dxa" w:w="1008"/>
          </w:tcPr>
          <w:p>
            <w:pPr>
              <w:pStyle w:val="Compact"/>
            </w:pPr>
            <w:r>
              <w:rPr>
                <w:rFonts w:ascii="Arial" w:hAnsi="Arial"/>
                <w:sz w:val="17"/>
              </w:rPr>
              <w:t xml:space="preserve">18.8</w:t>
            </w:r>
          </w:p>
        </w:tc>
        <w:tc>
          <w:tcPr>
            <w:tcW w:type="dxa" w:w="1152"/>
          </w:tcPr>
          <w:p>
            <w:pPr>
              <w:pStyle w:val="Compact"/>
            </w:pPr>
            <w:r>
              <w:rPr>
                <w:rFonts w:ascii="Arial" w:hAnsi="Arial"/>
                <w:sz w:val="17"/>
              </w:rPr>
              <w:t xml:space="preserve">4.1</w:t>
            </w:r>
          </w:p>
        </w:tc>
        <w:tc>
          <w:tcPr>
            <w:tcW w:type="dxa" w:w="1152"/>
          </w:tcPr>
          <w:p>
            <w:pPr>
              <w:pStyle w:val="Compact"/>
            </w:pPr>
            <w:r>
              <w:rPr>
                <w:rFonts w:ascii="Arial" w:hAnsi="Arial"/>
                <w:sz w:val="17"/>
              </w:rPr>
              <w:t xml:space="preserve">0.84</w:t>
            </w:r>
          </w:p>
        </w:tc>
        <w:tc>
          <w:tcPr>
            <w:tcW w:type="dxa" w:w="1440"/>
          </w:tcPr>
          <w:p>
            <w:pPr>
              <w:pStyle w:val="Compact"/>
            </w:pPr>
            <w:r>
              <w:rPr>
                <w:rFonts w:ascii="Arial" w:hAnsi="Arial"/>
                <w:sz w:val="17"/>
              </w:rPr>
              <w:t xml:space="preserve">69.4 / 63.4</w:t>
            </w:r>
          </w:p>
        </w:tc>
        <w:tc>
          <w:tcPr>
            <w:tcW w:type="dxa" w:w="5112"/>
          </w:tcPr>
          <w:p>
            <w:pPr>
              <w:pStyle w:val="Compact"/>
            </w:pPr>
            <w:r>
              <w:rPr>
                <w:rFonts w:ascii="Arial" w:hAnsi="Arial"/>
                <w:sz w:val="17"/>
              </w:rPr>
              <w:t xml:space="preserve">Onset at the early edge, otherwise plausible.</w:t>
            </w:r>
          </w:p>
        </w:tc>
      </w:tr>
      <w:tr>
        <w:tc>
          <w:tcPr>
            <w:tcW w:type="dxa" w:w="2232"/>
          </w:tcPr>
          <w:p>
            <w:pPr>
              <w:pStyle w:val="Compact"/>
            </w:pPr>
            <w:r>
              <w:rPr>
                <w:rFonts w:ascii="Arial" w:hAnsi="Arial"/>
                <w:sz w:val="17"/>
              </w:rPr>
              <w:t xml:space="preserve">G. CAIR, 7 fx/week</w:t>
            </w:r>
          </w:p>
        </w:tc>
        <w:tc>
          <w:tcPr>
            <w:tcW w:type="dxa" w:w="720"/>
          </w:tcPr>
          <w:p>
            <w:pPr>
              <w:pStyle w:val="Compact"/>
            </w:pPr>
            <w:r>
              <w:rPr>
                <w:rFonts w:ascii="Arial" w:hAnsi="Arial"/>
                <w:sz w:val="17"/>
              </w:rPr>
              <w:t xml:space="preserve">1.9</w:t>
            </w:r>
          </w:p>
        </w:tc>
        <w:tc>
          <w:tcPr>
            <w:tcW w:type="dxa" w:w="648"/>
          </w:tcPr>
          <w:p>
            <w:pPr>
              <w:pStyle w:val="Compact"/>
            </w:pPr>
            <w:r>
              <w:rPr>
                <w:rFonts w:ascii="Arial" w:hAnsi="Arial"/>
                <w:sz w:val="17"/>
              </w:rPr>
              <w:t xml:space="preserve">40</w:t>
            </w:r>
          </w:p>
        </w:tc>
        <w:tc>
          <w:tcPr>
            <w:tcW w:type="dxa" w:w="648"/>
          </w:tcPr>
          <w:p>
            <w:pPr>
              <w:pStyle w:val="Compact"/>
            </w:pPr>
            <w:r>
              <w:rPr>
                <w:rFonts w:ascii="Arial" w:hAnsi="Arial"/>
                <w:sz w:val="17"/>
              </w:rPr>
              <w:t xml:space="preserve">40</w:t>
            </w:r>
          </w:p>
        </w:tc>
        <w:tc>
          <w:tcPr>
            <w:tcW w:type="dxa" w:w="1008"/>
          </w:tcPr>
          <w:p>
            <w:pPr>
              <w:pStyle w:val="Compact"/>
            </w:pPr>
            <w:r>
              <w:rPr>
                <w:rFonts w:ascii="Arial" w:hAnsi="Arial"/>
                <w:sz w:val="17"/>
              </w:rPr>
              <w:t xml:space="preserve">17.2</w:t>
            </w:r>
          </w:p>
        </w:tc>
        <w:tc>
          <w:tcPr>
            <w:tcW w:type="dxa" w:w="1152"/>
          </w:tcPr>
          <w:p>
            <w:pPr>
              <w:pStyle w:val="Compact"/>
            </w:pPr>
            <w:r>
              <w:rPr>
                <w:rFonts w:ascii="Arial" w:hAnsi="Arial"/>
                <w:sz w:val="17"/>
              </w:rPr>
              <w:t xml:space="preserve">3.8</w:t>
            </w:r>
          </w:p>
        </w:tc>
        <w:tc>
          <w:tcPr>
            <w:tcW w:type="dxa" w:w="1152"/>
          </w:tcPr>
          <w:p>
            <w:pPr>
              <w:pStyle w:val="Compact"/>
            </w:pPr>
            <w:r>
              <w:rPr>
                <w:rFonts w:ascii="Arial" w:hAnsi="Arial"/>
                <w:sz w:val="17"/>
              </w:rPr>
              <w:t xml:space="preserve">0.91</w:t>
            </w:r>
          </w:p>
        </w:tc>
        <w:tc>
          <w:tcPr>
            <w:tcW w:type="dxa" w:w="1440"/>
          </w:tcPr>
          <w:p>
            <w:pPr>
              <w:pStyle w:val="Compact"/>
            </w:pPr>
            <w:r>
              <w:rPr>
                <w:rFonts w:ascii="Arial" w:hAnsi="Arial"/>
                <w:sz w:val="17"/>
              </w:rPr>
              <w:t xml:space="preserve">78.4 / 69.7</w:t>
            </w:r>
          </w:p>
        </w:tc>
        <w:tc>
          <w:tcPr>
            <w:tcW w:type="dxa" w:w="5112"/>
          </w:tcPr>
          <w:p>
            <w:pPr>
              <w:pStyle w:val="Compact"/>
            </w:pPr>
            <w:r>
              <w:rPr>
                <w:rFonts w:ascii="Arial" w:hAnsi="Arial"/>
                <w:sz w:val="17"/>
              </w:rPr>
              <w:t xml:space="preserve">Onset slightly early, otherwise plausible.</w:t>
            </w:r>
          </w:p>
        </w:tc>
      </w:tr>
      <w:tr>
        <w:tc>
          <w:tcPr>
            <w:tcW w:type="dxa" w:w="2232"/>
          </w:tcPr>
          <w:p>
            <w:pPr>
              <w:pStyle w:val="Compact"/>
            </w:pPr>
            <w:r>
              <w:rPr>
                <w:rFonts w:ascii="Arial" w:hAnsi="Arial"/>
                <w:sz w:val="17"/>
              </w:rPr>
              <w:t xml:space="preserve">H. GORTEC very accelerated, 2 fx/day</w:t>
            </w:r>
          </w:p>
        </w:tc>
        <w:tc>
          <w:tcPr>
            <w:tcW w:type="dxa" w:w="720"/>
          </w:tcPr>
          <w:p>
            <w:pPr>
              <w:pStyle w:val="Compact"/>
            </w:pPr>
            <w:r>
              <w:rPr>
                <w:rFonts w:ascii="Arial" w:hAnsi="Arial"/>
                <w:sz w:val="17"/>
              </w:rPr>
              <w:t xml:space="preserve">2.0</w:t>
            </w:r>
          </w:p>
        </w:tc>
        <w:tc>
          <w:tcPr>
            <w:tcW w:type="dxa" w:w="648"/>
          </w:tcPr>
          <w:p>
            <w:pPr>
              <w:pStyle w:val="Compact"/>
            </w:pPr>
            <w:r>
              <w:rPr>
                <w:rFonts w:ascii="Arial" w:hAnsi="Arial"/>
                <w:sz w:val="17"/>
              </w:rPr>
              <w:t xml:space="preserve">31.5</w:t>
            </w:r>
          </w:p>
        </w:tc>
        <w:tc>
          <w:tcPr>
            <w:tcW w:type="dxa" w:w="648"/>
          </w:tcPr>
          <w:p>
            <w:pPr>
              <w:pStyle w:val="Compact"/>
            </w:pPr>
            <w:r>
              <w:rPr>
                <w:rFonts w:ascii="Arial" w:hAnsi="Arial"/>
                <w:sz w:val="17"/>
              </w:rPr>
              <w:t xml:space="preserve">22</w:t>
            </w:r>
          </w:p>
        </w:tc>
        <w:tc>
          <w:tcPr>
            <w:tcW w:type="dxa" w:w="1008"/>
          </w:tcPr>
          <w:p>
            <w:pPr>
              <w:pStyle w:val="Compact"/>
            </w:pPr>
            <w:r>
              <w:rPr>
                <w:rFonts w:ascii="Arial" w:hAnsi="Arial"/>
                <w:sz w:val="17"/>
              </w:rPr>
              <w:t xml:space="preserve">11.3</w:t>
            </w:r>
          </w:p>
        </w:tc>
        <w:tc>
          <w:tcPr>
            <w:tcW w:type="dxa" w:w="1152"/>
          </w:tcPr>
          <w:p>
            <w:pPr>
              <w:pStyle w:val="Compact"/>
            </w:pPr>
            <w:r>
              <w:rPr>
                <w:rFonts w:ascii="Arial" w:hAnsi="Arial"/>
                <w:sz w:val="17"/>
              </w:rPr>
              <w:t xml:space="preserve">2.8</w:t>
            </w:r>
          </w:p>
        </w:tc>
        <w:tc>
          <w:tcPr>
            <w:tcW w:type="dxa" w:w="1152"/>
          </w:tcPr>
          <w:p>
            <w:pPr>
              <w:pStyle w:val="Compact"/>
            </w:pPr>
            <w:r>
              <w:rPr>
                <w:rFonts w:ascii="Arial" w:hAnsi="Arial"/>
                <w:sz w:val="17"/>
              </w:rPr>
              <w:t xml:space="preserve">1.24</w:t>
            </w:r>
          </w:p>
        </w:tc>
        <w:tc>
          <w:tcPr>
            <w:tcW w:type="dxa" w:w="1440"/>
          </w:tcPr>
          <w:p>
            <w:pPr>
              <w:pStyle w:val="Compact"/>
            </w:pPr>
            <w:r>
              <w:rPr>
                <w:rFonts w:ascii="Arial" w:hAnsi="Arial"/>
                <w:sz w:val="17"/>
              </w:rPr>
              <w:t xml:space="preserve">75.6 / 62.3</w:t>
            </w:r>
          </w:p>
        </w:tc>
        <w:tc>
          <w:tcPr>
            <w:tcW w:type="dxa" w:w="5112"/>
          </w:tcPr>
          <w:p>
            <w:pPr>
              <w:pStyle w:val="Compact"/>
            </w:pPr>
            <w:r>
              <w:rPr>
                <w:rFonts w:ascii="Arial" w:hAnsi="Arial"/>
                <w:sz w:val="17"/>
              </w:rPr>
              <w:t xml:space="preserve">Onset in week 2, outside clinical estimates. Doubling time plausible.</w:t>
            </w:r>
          </w:p>
        </w:tc>
      </w:tr>
      <w:tr>
        <w:tc>
          <w:tcPr>
            <w:tcW w:type="dxa" w:w="2232"/>
          </w:tcPr>
          <w:p>
            <w:pPr>
              <w:pStyle w:val="Compact"/>
            </w:pPr>
            <w:r>
              <w:rPr>
                <w:rFonts w:ascii="Arial" w:hAnsi="Arial"/>
                <w:sz w:val="17"/>
              </w:rPr>
              <w:t xml:space="preserve">I. TROG accelerated, 2 fx/day</w:t>
            </w:r>
          </w:p>
        </w:tc>
        <w:tc>
          <w:tcPr>
            <w:tcW w:type="dxa" w:w="720"/>
          </w:tcPr>
          <w:p>
            <w:pPr>
              <w:pStyle w:val="Compact"/>
            </w:pPr>
            <w:r>
              <w:rPr>
                <w:rFonts w:ascii="Arial" w:hAnsi="Arial"/>
                <w:sz w:val="17"/>
              </w:rPr>
              <w:t xml:space="preserve">1.8</w:t>
            </w:r>
          </w:p>
        </w:tc>
        <w:tc>
          <w:tcPr>
            <w:tcW w:type="dxa" w:w="648"/>
          </w:tcPr>
          <w:p>
            <w:pPr>
              <w:pStyle w:val="Compact"/>
            </w:pPr>
            <w:r>
              <w:rPr>
                <w:rFonts w:ascii="Arial" w:hAnsi="Arial"/>
                <w:sz w:val="17"/>
              </w:rPr>
              <w:t xml:space="preserve">33</w:t>
            </w:r>
          </w:p>
        </w:tc>
        <w:tc>
          <w:tcPr>
            <w:tcW w:type="dxa" w:w="648"/>
          </w:tcPr>
          <w:p>
            <w:pPr>
              <w:pStyle w:val="Compact"/>
            </w:pPr>
            <w:r>
              <w:rPr>
                <w:rFonts w:ascii="Arial" w:hAnsi="Arial"/>
                <w:sz w:val="17"/>
              </w:rPr>
              <w:t xml:space="preserve">24</w:t>
            </w:r>
          </w:p>
        </w:tc>
        <w:tc>
          <w:tcPr>
            <w:tcW w:type="dxa" w:w="1008"/>
          </w:tcPr>
          <w:p>
            <w:pPr>
              <w:pStyle w:val="Compact"/>
            </w:pPr>
            <w:r>
              <w:rPr>
                <w:rFonts w:ascii="Arial" w:hAnsi="Arial"/>
                <w:sz w:val="17"/>
              </w:rPr>
              <w:t xml:space="preserve">13.3</w:t>
            </w:r>
          </w:p>
        </w:tc>
        <w:tc>
          <w:tcPr>
            <w:tcW w:type="dxa" w:w="1152"/>
          </w:tcPr>
          <w:p>
            <w:pPr>
              <w:pStyle w:val="Compact"/>
            </w:pPr>
            <w:r>
              <w:rPr>
                <w:rFonts w:ascii="Arial" w:hAnsi="Arial"/>
                <w:sz w:val="17"/>
              </w:rPr>
              <w:t xml:space="preserve">3.1</w:t>
            </w:r>
          </w:p>
        </w:tc>
        <w:tc>
          <w:tcPr>
            <w:tcW w:type="dxa" w:w="1152"/>
          </w:tcPr>
          <w:p>
            <w:pPr>
              <w:pStyle w:val="Compact"/>
            </w:pPr>
            <w:r>
              <w:rPr>
                <w:rFonts w:ascii="Arial" w:hAnsi="Arial"/>
                <w:sz w:val="17"/>
              </w:rPr>
              <w:t xml:space="preserve">1.11</w:t>
            </w:r>
          </w:p>
        </w:tc>
        <w:tc>
          <w:tcPr>
            <w:tcW w:type="dxa" w:w="1440"/>
          </w:tcPr>
          <w:p>
            <w:pPr>
              <w:pStyle w:val="Compact"/>
            </w:pPr>
            <w:r>
              <w:rPr>
                <w:rFonts w:ascii="Arial" w:hAnsi="Arial"/>
                <w:sz w:val="17"/>
              </w:rPr>
              <w:t xml:space="preserve">70.1 / 58.2</w:t>
            </w:r>
          </w:p>
        </w:tc>
        <w:tc>
          <w:tcPr>
            <w:tcW w:type="dxa" w:w="5112"/>
          </w:tcPr>
          <w:p>
            <w:pPr>
              <w:pStyle w:val="Compact"/>
            </w:pPr>
            <w:r>
              <w:rPr>
                <w:rFonts w:ascii="Arial" w:hAnsi="Arial"/>
                <w:sz w:val="17"/>
              </w:rPr>
              <w:t xml:space="preserve">Onset early, doubling time plausible.</w:t>
            </w:r>
          </w:p>
        </w:tc>
      </w:tr>
      <w:tr>
        <w:tc>
          <w:tcPr>
            <w:tcW w:type="dxa" w:w="2232"/>
          </w:tcPr>
          <w:p>
            <w:pPr>
              <w:pStyle w:val="Compact"/>
            </w:pPr>
            <w:r>
              <w:rPr>
                <w:rFonts w:ascii="Arial" w:hAnsi="Arial"/>
                <w:sz w:val="17"/>
              </w:rPr>
              <w:t xml:space="preserve">J. CHART, 3 fx/day</w:t>
            </w:r>
          </w:p>
        </w:tc>
        <w:tc>
          <w:tcPr>
            <w:tcW w:type="dxa" w:w="720"/>
          </w:tcPr>
          <w:p>
            <w:pPr>
              <w:pStyle w:val="Compact"/>
            </w:pPr>
            <w:r>
              <w:rPr>
                <w:rFonts w:ascii="Arial" w:hAnsi="Arial"/>
                <w:sz w:val="17"/>
              </w:rPr>
              <w:t xml:space="preserve">1.5</w:t>
            </w:r>
          </w:p>
        </w:tc>
        <w:tc>
          <w:tcPr>
            <w:tcW w:type="dxa" w:w="648"/>
          </w:tcPr>
          <w:p>
            <w:pPr>
              <w:pStyle w:val="Compact"/>
            </w:pPr>
            <w:r>
              <w:rPr>
                <w:rFonts w:ascii="Arial" w:hAnsi="Arial"/>
                <w:sz w:val="17"/>
              </w:rPr>
              <w:t xml:space="preserve">36</w:t>
            </w:r>
          </w:p>
        </w:tc>
        <w:tc>
          <w:tcPr>
            <w:tcW w:type="dxa" w:w="648"/>
          </w:tcPr>
          <w:p>
            <w:pPr>
              <w:pStyle w:val="Compact"/>
            </w:pPr>
            <w:r>
              <w:rPr>
                <w:rFonts w:ascii="Arial" w:hAnsi="Arial"/>
                <w:sz w:val="17"/>
              </w:rPr>
              <w:t xml:space="preserve">12</w:t>
            </w:r>
          </w:p>
        </w:tc>
        <w:tc>
          <w:tcPr>
            <w:tcW w:type="dxa" w:w="1008"/>
          </w:tcPr>
          <w:p>
            <w:pPr>
              <w:pStyle w:val="Compact"/>
            </w:pPr>
            <w:r>
              <w:rPr>
                <w:rFonts w:ascii="Arial" w:hAnsi="Arial"/>
                <w:sz w:val="17"/>
              </w:rPr>
              <w:t xml:space="preserve">7.5</w:t>
            </w:r>
          </w:p>
        </w:tc>
        <w:tc>
          <w:tcPr>
            <w:tcW w:type="dxa" w:w="1152"/>
          </w:tcPr>
          <w:p>
            <w:pPr>
              <w:pStyle w:val="Compact"/>
            </w:pPr>
            <w:r>
              <w:rPr>
                <w:rFonts w:ascii="Arial" w:hAnsi="Arial"/>
                <w:sz w:val="17"/>
              </w:rPr>
              <w:t xml:space="preserve">2.2</w:t>
            </w:r>
          </w:p>
        </w:tc>
        <w:tc>
          <w:tcPr>
            <w:tcW w:type="dxa" w:w="1152"/>
          </w:tcPr>
          <w:p>
            <w:pPr>
              <w:pStyle w:val="Compact"/>
            </w:pPr>
            <w:r>
              <w:rPr>
                <w:rFonts w:ascii="Arial" w:hAnsi="Arial"/>
                <w:sz w:val="17"/>
              </w:rPr>
              <w:t xml:space="preserve">1.61</w:t>
            </w:r>
          </w:p>
        </w:tc>
        <w:tc>
          <w:tcPr>
            <w:tcW w:type="dxa" w:w="1440"/>
          </w:tcPr>
          <w:p>
            <w:pPr>
              <w:pStyle w:val="Compact"/>
            </w:pPr>
            <w:r>
              <w:rPr>
                <w:rFonts w:ascii="Arial" w:hAnsi="Arial"/>
                <w:sz w:val="17"/>
              </w:rPr>
              <w:t xml:space="preserve">62.1 / 54.8</w:t>
            </w:r>
          </w:p>
        </w:tc>
        <w:tc>
          <w:tcPr>
            <w:tcW w:type="dxa" w:w="5112"/>
          </w:tcPr>
          <w:p>
            <w:pPr>
              <w:pStyle w:val="Compact"/>
            </w:pPr>
            <w:r>
              <w:rPr>
                <w:rFonts w:ascii="Arial" w:hAnsi="Arial"/>
                <w:sz w:val="17"/>
              </w:rPr>
              <w:t xml:space="preserve">Implausible onset (day 7.5) and a daily loss of 1.6 Gy</w:t>
            </w:r>
            <w:r>
              <w:rPr>
                <w:rFonts w:ascii="Arial" w:hAnsi="Arial"/>
                <w:sz w:val="17"/>
                <w:vertAlign w:val="subscript"/>
              </w:rPr>
              <w:t xml:space="preserve">10</w:t>
            </w:r>
            <w:r>
              <w:rPr>
                <w:rFonts w:ascii="Arial" w:hAnsi="Arial"/>
                <w:sz w:val="17"/>
              </w:rPr>
              <w:t xml:space="preserve">.</w:t>
            </w:r>
          </w:p>
        </w:tc>
      </w:tr>
      <w:tr>
        <w:tc>
          <w:tcPr>
            <w:tcW w:type="dxa" w:w="2232"/>
          </w:tcPr>
          <w:p>
            <w:pPr>
              <w:pStyle w:val="Compact"/>
            </w:pPr>
            <w:r>
              <w:rPr>
                <w:rFonts w:ascii="Arial" w:hAnsi="Arial"/>
                <w:sz w:val="17"/>
              </w:rPr>
              <w:t xml:space="preserve">K. RTOG 9003 concomitant boost</w:t>
            </w:r>
          </w:p>
        </w:tc>
        <w:tc>
          <w:tcPr>
            <w:tcW w:type="dxa" w:w="720"/>
          </w:tcPr>
          <w:p>
            <w:pPr>
              <w:pStyle w:val="Compact"/>
            </w:pPr>
            <w:r>
              <w:rPr>
                <w:rFonts w:ascii="Arial" w:hAnsi="Arial"/>
                <w:sz w:val="17"/>
              </w:rPr>
              <w:t xml:space="preserve">1.7</w:t>
            </w:r>
          </w:p>
        </w:tc>
        <w:tc>
          <w:tcPr>
            <w:tcW w:type="dxa" w:w="648"/>
          </w:tcPr>
          <w:p>
            <w:pPr>
              <w:pStyle w:val="Compact"/>
            </w:pPr>
            <w:r>
              <w:rPr>
                <w:rFonts w:ascii="Arial" w:hAnsi="Arial"/>
                <w:sz w:val="17"/>
              </w:rPr>
              <w:t xml:space="preserve">42</w:t>
            </w:r>
          </w:p>
        </w:tc>
        <w:tc>
          <w:tcPr>
            <w:tcW w:type="dxa" w:w="648"/>
          </w:tcPr>
          <w:p>
            <w:pPr>
              <w:pStyle w:val="Compact"/>
            </w:pPr>
            <w:r>
              <w:rPr>
                <w:rFonts w:ascii="Arial" w:hAnsi="Arial"/>
                <w:sz w:val="17"/>
              </w:rPr>
              <w:t xml:space="preserve">43</w:t>
            </w:r>
          </w:p>
        </w:tc>
        <w:tc>
          <w:tcPr>
            <w:tcW w:type="dxa" w:w="1008"/>
          </w:tcPr>
          <w:p>
            <w:pPr>
              <w:pStyle w:val="Compact"/>
            </w:pPr>
            <w:r>
              <w:rPr>
                <w:rFonts w:ascii="Arial" w:hAnsi="Arial"/>
                <w:sz w:val="17"/>
              </w:rPr>
              <w:t xml:space="preserve">20.0</w:t>
            </w:r>
          </w:p>
        </w:tc>
        <w:tc>
          <w:tcPr>
            <w:tcW w:type="dxa" w:w="1152"/>
          </w:tcPr>
          <w:p>
            <w:pPr>
              <w:pStyle w:val="Compact"/>
            </w:pPr>
            <w:r>
              <w:rPr>
                <w:rFonts w:ascii="Arial" w:hAnsi="Arial"/>
                <w:sz w:val="17"/>
              </w:rPr>
              <w:t xml:space="preserve">4.3</w:t>
            </w:r>
          </w:p>
        </w:tc>
        <w:tc>
          <w:tcPr>
            <w:tcW w:type="dxa" w:w="1152"/>
          </w:tcPr>
          <w:p>
            <w:pPr>
              <w:pStyle w:val="Compact"/>
            </w:pPr>
            <w:r>
              <w:rPr>
                <w:rFonts w:ascii="Arial" w:hAnsi="Arial"/>
                <w:sz w:val="17"/>
              </w:rPr>
              <w:t xml:space="preserve">0.80</w:t>
            </w:r>
          </w:p>
        </w:tc>
        <w:tc>
          <w:tcPr>
            <w:tcW w:type="dxa" w:w="1440"/>
          </w:tcPr>
          <w:p>
            <w:pPr>
              <w:pStyle w:val="Compact"/>
            </w:pPr>
            <w:r>
              <w:rPr>
                <w:rFonts w:ascii="Arial" w:hAnsi="Arial"/>
                <w:sz w:val="17"/>
              </w:rPr>
              <w:t xml:space="preserve">68.5 / 65.0</w:t>
            </w:r>
          </w:p>
        </w:tc>
        <w:tc>
          <w:tcPr>
            <w:tcW w:type="dxa" w:w="5112"/>
          </w:tcPr>
          <w:p>
            <w:pPr>
              <w:pStyle w:val="Compact"/>
            </w:pPr>
            <w:r>
              <w:rPr>
                <w:rFonts w:ascii="Arial" w:hAnsi="Arial"/>
                <w:sz w:val="17"/>
              </w:rPr>
              <w:t xml:space="preserve">Plausible, onset at the early edge.</w:t>
            </w:r>
          </w:p>
        </w:tc>
      </w:tr>
      <w:tr>
        <w:tc>
          <w:tcPr>
            <w:tcW w:type="dxa" w:w="2232"/>
          </w:tcPr>
          <w:p>
            <w:pPr>
              <w:pStyle w:val="Compact"/>
            </w:pPr>
            <w:r>
              <w:rPr>
                <w:rFonts w:ascii="Arial" w:hAnsi="Arial"/>
                <w:sz w:val="17"/>
              </w:rPr>
              <w:t xml:space="preserve">L. RTOG 9003 hyperfractionation, 2 fx/day</w:t>
            </w:r>
          </w:p>
        </w:tc>
        <w:tc>
          <w:tcPr>
            <w:tcW w:type="dxa" w:w="720"/>
          </w:tcPr>
          <w:p>
            <w:pPr>
              <w:pStyle w:val="Compact"/>
            </w:pPr>
            <w:r>
              <w:rPr>
                <w:rFonts w:ascii="Arial" w:hAnsi="Arial"/>
                <w:sz w:val="17"/>
              </w:rPr>
              <w:t xml:space="preserve">1.2</w:t>
            </w:r>
          </w:p>
        </w:tc>
        <w:tc>
          <w:tcPr>
            <w:tcW w:type="dxa" w:w="648"/>
          </w:tcPr>
          <w:p>
            <w:pPr>
              <w:pStyle w:val="Compact"/>
            </w:pPr>
            <w:r>
              <w:rPr>
                <w:rFonts w:ascii="Arial" w:hAnsi="Arial"/>
                <w:sz w:val="17"/>
              </w:rPr>
              <w:t xml:space="preserve">68</w:t>
            </w:r>
          </w:p>
        </w:tc>
        <w:tc>
          <w:tcPr>
            <w:tcW w:type="dxa" w:w="648"/>
          </w:tcPr>
          <w:p>
            <w:pPr>
              <w:pStyle w:val="Compact"/>
            </w:pPr>
            <w:r>
              <w:rPr>
                <w:rFonts w:ascii="Arial" w:hAnsi="Arial"/>
                <w:sz w:val="17"/>
              </w:rPr>
              <w:t xml:space="preserve">50</w:t>
            </w:r>
          </w:p>
        </w:tc>
        <w:tc>
          <w:tcPr>
            <w:tcW w:type="dxa" w:w="1008"/>
          </w:tcPr>
          <w:p>
            <w:pPr>
              <w:pStyle w:val="Compact"/>
            </w:pPr>
            <w:r>
              <w:rPr>
                <w:rFonts w:ascii="Arial" w:hAnsi="Arial"/>
                <w:sz w:val="17"/>
              </w:rPr>
              <w:t xml:space="preserve">21.2</w:t>
            </w:r>
          </w:p>
        </w:tc>
        <w:tc>
          <w:tcPr>
            <w:tcW w:type="dxa" w:w="1152"/>
          </w:tcPr>
          <w:p>
            <w:pPr>
              <w:pStyle w:val="Compact"/>
            </w:pPr>
            <w:r>
              <w:rPr>
                <w:rFonts w:ascii="Arial" w:hAnsi="Arial"/>
                <w:sz w:val="17"/>
              </w:rPr>
              <w:t xml:space="preserve">4.5</w:t>
            </w:r>
          </w:p>
        </w:tc>
        <w:tc>
          <w:tcPr>
            <w:tcW w:type="dxa" w:w="1152"/>
          </w:tcPr>
          <w:p>
            <w:pPr>
              <w:pStyle w:val="Compact"/>
            </w:pPr>
            <w:r>
              <w:rPr>
                <w:rFonts w:ascii="Arial" w:hAnsi="Arial"/>
                <w:sz w:val="17"/>
              </w:rPr>
              <w:t xml:space="preserve">0.77</w:t>
            </w:r>
          </w:p>
        </w:tc>
        <w:tc>
          <w:tcPr>
            <w:tcW w:type="dxa" w:w="1440"/>
          </w:tcPr>
          <w:p>
            <w:pPr>
              <w:pStyle w:val="Compact"/>
            </w:pPr>
            <w:r>
              <w:rPr>
                <w:rFonts w:ascii="Arial" w:hAnsi="Arial"/>
                <w:sz w:val="17"/>
              </w:rPr>
              <w:t xml:space="preserve">69.4 / 69.4</w:t>
            </w:r>
          </w:p>
        </w:tc>
        <w:tc>
          <w:tcPr>
            <w:tcW w:type="dxa" w:w="5112"/>
          </w:tcPr>
          <w:p>
            <w:pPr>
              <w:pStyle w:val="Compact"/>
            </w:pPr>
            <w:r>
              <w:rPr>
                <w:rFonts w:ascii="Arial" w:hAnsi="Arial"/>
                <w:sz w:val="17"/>
              </w:rPr>
              <w:t xml:space="preserve">Plausible.</w:t>
            </w:r>
          </w:p>
        </w:tc>
      </w:tr>
      <w:tr>
        <w:tc>
          <w:tcPr>
            <w:tcW w:type="dxa" w:w="2232"/>
          </w:tcPr>
          <w:p>
            <w:pPr>
              <w:pStyle w:val="Compact"/>
            </w:pPr>
            <w:r>
              <w:rPr>
                <w:rFonts w:ascii="Arial" w:hAnsi="Arial"/>
                <w:sz w:val="17"/>
              </w:rPr>
              <w:t xml:space="preserve">M. EORTC 22791 hyperfractionation, 2 fx/day</w:t>
            </w:r>
          </w:p>
        </w:tc>
        <w:tc>
          <w:tcPr>
            <w:tcW w:type="dxa" w:w="720"/>
          </w:tcPr>
          <w:p>
            <w:pPr>
              <w:pStyle w:val="Compact"/>
            </w:pPr>
            <w:r>
              <w:rPr>
                <w:rFonts w:ascii="Arial" w:hAnsi="Arial"/>
                <w:sz w:val="17"/>
              </w:rPr>
              <w:t xml:space="preserve">1.2</w:t>
            </w:r>
          </w:p>
        </w:tc>
        <w:tc>
          <w:tcPr>
            <w:tcW w:type="dxa" w:w="648"/>
          </w:tcPr>
          <w:p>
            <w:pPr>
              <w:pStyle w:val="Compact"/>
            </w:pPr>
            <w:r>
              <w:rPr>
                <w:rFonts w:ascii="Arial" w:hAnsi="Arial"/>
                <w:sz w:val="17"/>
              </w:rPr>
              <w:t xml:space="preserve">70</w:t>
            </w:r>
          </w:p>
        </w:tc>
        <w:tc>
          <w:tcPr>
            <w:tcW w:type="dxa" w:w="648"/>
          </w:tcPr>
          <w:p>
            <w:pPr>
              <w:pStyle w:val="Compact"/>
            </w:pPr>
            <w:r>
              <w:rPr>
                <w:rFonts w:ascii="Arial" w:hAnsi="Arial"/>
                <w:sz w:val="17"/>
              </w:rPr>
              <w:t xml:space="preserve">51</w:t>
            </w:r>
          </w:p>
        </w:tc>
        <w:tc>
          <w:tcPr>
            <w:tcW w:type="dxa" w:w="1008"/>
          </w:tcPr>
          <w:p>
            <w:pPr>
              <w:pStyle w:val="Compact"/>
            </w:pPr>
            <w:r>
              <w:rPr>
                <w:rFonts w:ascii="Arial" w:hAnsi="Arial"/>
                <w:sz w:val="17"/>
              </w:rPr>
              <w:t xml:space="preserve">21.0</w:t>
            </w:r>
          </w:p>
        </w:tc>
        <w:tc>
          <w:tcPr>
            <w:tcW w:type="dxa" w:w="1152"/>
          </w:tcPr>
          <w:p>
            <w:pPr>
              <w:pStyle w:val="Compact"/>
            </w:pPr>
            <w:r>
              <w:rPr>
                <w:rFonts w:ascii="Arial" w:hAnsi="Arial"/>
                <w:sz w:val="17"/>
              </w:rPr>
              <w:t xml:space="preserve">4.5</w:t>
            </w:r>
          </w:p>
        </w:tc>
        <w:tc>
          <w:tcPr>
            <w:tcW w:type="dxa" w:w="1152"/>
          </w:tcPr>
          <w:p>
            <w:pPr>
              <w:pStyle w:val="Compact"/>
            </w:pPr>
            <w:r>
              <w:rPr>
                <w:rFonts w:ascii="Arial" w:hAnsi="Arial"/>
                <w:sz w:val="17"/>
              </w:rPr>
              <w:t xml:space="preserve">0.77</w:t>
            </w:r>
          </w:p>
        </w:tc>
        <w:tc>
          <w:tcPr>
            <w:tcW w:type="dxa" w:w="1440"/>
          </w:tcPr>
          <w:p>
            <w:pPr>
              <w:pStyle w:val="Compact"/>
            </w:pPr>
            <w:r>
              <w:rPr>
                <w:rFonts w:ascii="Arial" w:hAnsi="Arial"/>
                <w:sz w:val="17"/>
              </w:rPr>
              <w:t xml:space="preserve">71.1 / 71.0</w:t>
            </w:r>
          </w:p>
        </w:tc>
        <w:tc>
          <w:tcPr>
            <w:tcW w:type="dxa" w:w="5112"/>
          </w:tcPr>
          <w:p>
            <w:pPr>
              <w:pStyle w:val="Compact"/>
            </w:pPr>
            <w:r>
              <w:rPr>
                <w:rFonts w:ascii="Arial" w:hAnsi="Arial"/>
                <w:sz w:val="17"/>
              </w:rPr>
              <w:t xml:space="preserve">Plausible.</w:t>
            </w:r>
          </w:p>
        </w:tc>
      </w:tr>
    </w:tbl>
    <w:bookmarkEnd w:id="14"/>
    <w:bookmarkStart w:id="15" w:name="X08212ce7f0bfe3f1014ed424e121673806d2d3b"/>
    <w:p>
      <w:pPr>
        <w:pStyle w:val="Heading1"/>
      </w:pPr>
      <w:r>
        <w:t xml:space="preserve">Table 4. Predicted and observed differences from each trial’s own control arm, DD rate 0.5 per day</w:t>
      </w:r>
    </w:p>
    <w:p>
      <w:pPr>
        <w:pStyle w:val="FirstParagraph"/>
      </w:pPr>
      <w:r>
        <w:t xml:space="preserve">Same comparisons as Table 2. The DI column does not depend on λ</w:t>
      </w:r>
      <w:r>
        <w:rPr>
          <w:vertAlign w:val="subscript"/>
        </w:rPr>
        <w:t xml:space="preserve">DD</w:t>
      </w:r>
      <w:r>
        <w:t xml:space="preserve"> </w:t>
      </w:r>
      <w:r>
        <w:t xml:space="preserve">and is repeated for convenience.</w:t>
      </w:r>
    </w:p>
    <w:tbl>
      <w:tblPr>
        <w:tblStyle w:val="Table"/>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W w:w="14112" w:type="dxa"/>
        <w:tblLayout w:type="fixed"/>
      </w:tblPr>
      <w:tblGrid>
        <w:gridCol w:w="4320"/>
        <w:gridCol w:w="1728"/>
        <w:gridCol w:w="1728"/>
        <w:gridCol w:w="2448"/>
        <w:gridCol w:w="3888"/>
      </w:tblGrid>
      <w:tr>
        <w:trPr>
          <w:tblHeader w:val="on"/>
          <w:tblHeader w:val="true"/>
        </w:trPr>
        <w:tc>
          <w:tcPr>
            <w:tcW w:type="dxa" w:w="4320"/>
            <w:vAlign w:val="top"/>
          </w:tcPr>
          <w:p>
            <w:pPr>
              <w:pStyle w:val="Compact"/>
            </w:pPr>
            <w:r>
              <w:rPr>
                <w:rFonts w:ascii="Arial" w:hAnsi="Arial"/>
                <w:b/>
                <w:sz w:val="17"/>
              </w:rPr>
              <w:t xml:space="preserve">Trial arm (patients, experimental/control)</w:t>
            </w:r>
          </w:p>
        </w:tc>
        <w:tc>
          <w:tcPr>
            <w:tcW w:type="dxa" w:w="1728"/>
            <w:vAlign w:val="top"/>
          </w:tcPr>
          <w:p>
            <w:pPr>
              <w:pStyle w:val="Compact"/>
            </w:pPr>
            <w:r>
              <w:rPr>
                <w:rFonts w:ascii="Arial" w:hAnsi="Arial"/>
                <w:b/>
                <w:sz w:val="17"/>
              </w:rPr>
              <w:t xml:space="preserve">ΔBED</w:t>
            </w:r>
            <w:r>
              <w:rPr>
                <w:rFonts w:ascii="Arial" w:hAnsi="Arial"/>
                <w:b/>
                <w:sz w:val="17"/>
                <w:vertAlign w:val="subscript"/>
              </w:rPr>
              <w:t xml:space="preserve">DI</w:t>
            </w:r>
            <w:r>
              <w:rPr>
                <w:rFonts w:ascii="Arial" w:hAnsi="Arial"/>
                <w:b/>
                <w:sz w:val="17"/>
              </w:rPr>
              <w:t xml:space="preserve"> </w:t>
            </w:r>
            <w:r>
              <w:rPr>
                <w:rFonts w:ascii="Arial" w:hAnsi="Arial"/>
                <w:b/>
                <w:sz w:val="17"/>
              </w:rPr>
              <w:t xml:space="preserve">(Gy</w:t>
            </w:r>
            <w:r>
              <w:rPr>
                <w:rFonts w:ascii="Arial" w:hAnsi="Arial"/>
                <w:b/>
                <w:sz w:val="17"/>
                <w:vertAlign w:val="subscript"/>
              </w:rPr>
              <w:t xml:space="preserve">10</w:t>
            </w:r>
            <w:r>
              <w:rPr>
                <w:rFonts w:ascii="Arial" w:hAnsi="Arial"/>
                <w:b/>
                <w:sz w:val="17"/>
              </w:rPr>
              <w:t xml:space="preserve">)</w:t>
            </w:r>
          </w:p>
        </w:tc>
        <w:tc>
          <w:tcPr>
            <w:tcW w:type="dxa" w:w="1728"/>
            <w:vAlign w:val="top"/>
          </w:tcPr>
          <w:p>
            <w:pPr>
              <w:pStyle w:val="Compact"/>
            </w:pPr>
            <w:r>
              <w:rPr>
                <w:rFonts w:ascii="Arial" w:hAnsi="Arial"/>
                <w:b/>
                <w:sz w:val="17"/>
              </w:rPr>
              <w:t xml:space="preserve">ΔBED</w:t>
            </w:r>
            <w:r>
              <w:rPr>
                <w:rFonts w:ascii="Arial" w:hAnsi="Arial"/>
                <w:b/>
                <w:sz w:val="17"/>
                <w:vertAlign w:val="subscript"/>
              </w:rPr>
              <w:t xml:space="preserve">DD</w:t>
            </w:r>
            <w:r>
              <w:rPr>
                <w:rFonts w:ascii="Arial" w:hAnsi="Arial"/>
                <w:b/>
                <w:sz w:val="17"/>
              </w:rPr>
              <w:t xml:space="preserve"> </w:t>
            </w:r>
            <w:r>
              <w:rPr>
                <w:rFonts w:ascii="Arial" w:hAnsi="Arial"/>
                <w:b/>
                <w:sz w:val="17"/>
              </w:rPr>
              <w:t xml:space="preserve">(Gy</w:t>
            </w:r>
            <w:r>
              <w:rPr>
                <w:rFonts w:ascii="Arial" w:hAnsi="Arial"/>
                <w:b/>
                <w:sz w:val="17"/>
                <w:vertAlign w:val="subscript"/>
              </w:rPr>
              <w:t xml:space="preserve">10</w:t>
            </w:r>
            <w:r>
              <w:rPr>
                <w:rFonts w:ascii="Arial" w:hAnsi="Arial"/>
                <w:b/>
                <w:sz w:val="17"/>
              </w:rPr>
              <w:t xml:space="preserve">)</w:t>
            </w:r>
          </w:p>
        </w:tc>
        <w:tc>
          <w:tcPr>
            <w:tcW w:type="dxa" w:w="2448"/>
            <w:vAlign w:val="top"/>
          </w:tcPr>
          <w:p>
            <w:pPr>
              <w:pStyle w:val="Compact"/>
            </w:pPr>
            <w:r>
              <w:rPr>
                <w:rFonts w:ascii="Arial" w:hAnsi="Arial"/>
                <w:b/>
                <w:sz w:val="17"/>
              </w:rPr>
              <w:t xml:space="preserve">Observed Δ tumor control (points)</w:t>
            </w:r>
          </w:p>
        </w:tc>
        <w:tc>
          <w:tcPr>
            <w:tcW w:type="dxa" w:w="3888"/>
            <w:vAlign w:val="top"/>
          </w:tcPr>
          <w:p>
            <w:pPr>
              <w:pStyle w:val="Compact"/>
            </w:pPr>
            <w:r>
              <w:rPr>
                <w:rFonts w:ascii="Arial" w:hAnsi="Arial"/>
                <w:b/>
                <w:sz w:val="17"/>
              </w:rPr>
              <w:t xml:space="preserve">Which model matches the direction</w:t>
            </w:r>
          </w:p>
        </w:tc>
      </w:tr>
      <w:tr>
        <w:tc>
          <w:tcPr>
            <w:tcW w:type="dxa" w:w="4320"/>
          </w:tcPr>
          <w:p>
            <w:pPr>
              <w:pStyle w:val="Compact"/>
            </w:pPr>
            <w:r>
              <w:rPr>
                <w:rFonts w:ascii="Arial" w:hAnsi="Arial"/>
                <w:sz w:val="17"/>
              </w:rPr>
              <w:t xml:space="preserve">D. HYPNO test (395/397)</w:t>
            </w:r>
          </w:p>
        </w:tc>
        <w:tc>
          <w:tcPr>
            <w:tcW w:type="dxa" w:w="1728"/>
          </w:tcPr>
          <w:p>
            <w:pPr>
              <w:pStyle w:val="Compact"/>
            </w:pPr>
            <w:r>
              <w:rPr>
                <w:rFonts w:ascii="Arial" w:hAnsi="Arial"/>
                <w:sz w:val="17"/>
              </w:rPr>
              <w:t xml:space="preserve">+0.9</w:t>
            </w:r>
          </w:p>
        </w:tc>
        <w:tc>
          <w:tcPr>
            <w:tcW w:type="dxa" w:w="1728"/>
          </w:tcPr>
          <w:p>
            <w:pPr>
              <w:pStyle w:val="Compact"/>
            </w:pPr>
            <w:r>
              <w:rPr>
                <w:rFonts w:ascii="Arial" w:hAnsi="Arial"/>
                <w:sz w:val="17"/>
              </w:rPr>
              <w:t xml:space="preserve">−4.7</w:t>
            </w:r>
          </w:p>
        </w:tc>
        <w:tc>
          <w:tcPr>
            <w:tcW w:type="dxa" w:w="2448"/>
          </w:tcPr>
          <w:p>
            <w:pPr>
              <w:pStyle w:val="Compact"/>
            </w:pPr>
            <w:r>
              <w:rPr>
                <w:rFonts w:ascii="Arial" w:hAnsi="Arial"/>
                <w:sz w:val="17"/>
              </w:rPr>
              <w:t xml:space="preserve">within ±1.4</w:t>
            </w:r>
          </w:p>
        </w:tc>
        <w:tc>
          <w:tcPr>
            <w:tcW w:type="dxa" w:w="3888"/>
          </w:tcPr>
          <w:p>
            <w:pPr>
              <w:pStyle w:val="Compact"/>
            </w:pPr>
            <w:r>
              <w:rPr>
                <w:rFonts w:ascii="Arial" w:hAnsi="Arial"/>
                <w:sz w:val="17"/>
              </w:rPr>
              <w:t xml:space="preserve">DI closer</w:t>
            </w:r>
          </w:p>
        </w:tc>
      </w:tr>
      <w:tr>
        <w:tc>
          <w:tcPr>
            <w:tcW w:type="dxa" w:w="4320"/>
          </w:tcPr>
          <w:p>
            <w:pPr>
              <w:pStyle w:val="Compact"/>
            </w:pPr>
            <w:r>
              <w:rPr>
                <w:rFonts w:ascii="Arial" w:hAnsi="Arial"/>
                <w:sz w:val="17"/>
              </w:rPr>
              <w:t xml:space="preserve">F. DAHANCA 6&amp;7 (750/726)</w:t>
            </w:r>
          </w:p>
        </w:tc>
        <w:tc>
          <w:tcPr>
            <w:tcW w:type="dxa" w:w="1728"/>
          </w:tcPr>
          <w:p>
            <w:pPr>
              <w:pStyle w:val="Compact"/>
            </w:pPr>
            <w:r>
              <w:rPr>
                <w:rFonts w:ascii="Arial" w:hAnsi="Arial"/>
                <w:sz w:val="17"/>
              </w:rPr>
              <w:t xml:space="preserve">+7.0</w:t>
            </w:r>
          </w:p>
        </w:tc>
        <w:tc>
          <w:tcPr>
            <w:tcW w:type="dxa" w:w="1728"/>
          </w:tcPr>
          <w:p>
            <w:pPr>
              <w:pStyle w:val="Compact"/>
            </w:pPr>
            <w:r>
              <w:rPr>
                <w:rFonts w:ascii="Arial" w:hAnsi="Arial"/>
                <w:sz w:val="17"/>
              </w:rPr>
              <w:t xml:space="preserve">+0.5</w:t>
            </w:r>
          </w:p>
        </w:tc>
        <w:tc>
          <w:tcPr>
            <w:tcW w:type="dxa" w:w="2448"/>
          </w:tcPr>
          <w:p>
            <w:pPr>
              <w:pStyle w:val="Compact"/>
            </w:pPr>
            <w:r>
              <w:rPr>
                <w:rFonts w:ascii="Arial" w:hAnsi="Arial"/>
                <w:sz w:val="17"/>
              </w:rPr>
              <w:t xml:space="preserve">+7.0</w:t>
            </w:r>
          </w:p>
        </w:tc>
        <w:tc>
          <w:tcPr>
            <w:tcW w:type="dxa" w:w="3888"/>
          </w:tcPr>
          <w:p>
            <w:pPr>
              <w:pStyle w:val="Compact"/>
            </w:pPr>
            <w:r>
              <w:rPr>
                <w:rFonts w:ascii="Arial" w:hAnsi="Arial"/>
                <w:sz w:val="17"/>
              </w:rPr>
              <w:t xml:space="preserve">DI</w:t>
            </w:r>
          </w:p>
        </w:tc>
      </w:tr>
      <w:tr>
        <w:tc>
          <w:tcPr>
            <w:tcW w:type="dxa" w:w="4320"/>
          </w:tcPr>
          <w:p>
            <w:pPr>
              <w:pStyle w:val="Compact"/>
            </w:pPr>
            <w:r>
              <w:rPr>
                <w:rFonts w:ascii="Arial" w:hAnsi="Arial"/>
                <w:sz w:val="17"/>
              </w:rPr>
              <w:t xml:space="preserve">G. CAIR (51/49)</w:t>
            </w:r>
          </w:p>
        </w:tc>
        <w:tc>
          <w:tcPr>
            <w:tcW w:type="dxa" w:w="1728"/>
          </w:tcPr>
          <w:p>
            <w:pPr>
              <w:pStyle w:val="Compact"/>
            </w:pPr>
            <w:r>
              <w:rPr>
                <w:rFonts w:ascii="Arial" w:hAnsi="Arial"/>
                <w:sz w:val="17"/>
              </w:rPr>
              <w:t xml:space="preserve">+14.0</w:t>
            </w:r>
          </w:p>
        </w:tc>
        <w:tc>
          <w:tcPr>
            <w:tcW w:type="dxa" w:w="1728"/>
          </w:tcPr>
          <w:p>
            <w:pPr>
              <w:pStyle w:val="Compact"/>
            </w:pPr>
            <w:r>
              <w:rPr>
                <w:rFonts w:ascii="Arial" w:hAnsi="Arial"/>
                <w:sz w:val="17"/>
              </w:rPr>
              <w:t xml:space="preserve">+1.2</w:t>
            </w:r>
          </w:p>
        </w:tc>
        <w:tc>
          <w:tcPr>
            <w:tcW w:type="dxa" w:w="2448"/>
          </w:tcPr>
          <w:p>
            <w:pPr>
              <w:pStyle w:val="Compact"/>
            </w:pPr>
            <w:r>
              <w:rPr>
                <w:rFonts w:ascii="Arial" w:hAnsi="Arial"/>
                <w:sz w:val="17"/>
              </w:rPr>
              <w:t xml:space="preserve">+45.7</w:t>
            </w:r>
          </w:p>
        </w:tc>
        <w:tc>
          <w:tcPr>
            <w:tcW w:type="dxa" w:w="3888"/>
          </w:tcPr>
          <w:p>
            <w:pPr>
              <w:pStyle w:val="Compact"/>
            </w:pPr>
            <w:r>
              <w:rPr>
                <w:rFonts w:ascii="Arial" w:hAnsi="Arial"/>
                <w:sz w:val="17"/>
              </w:rPr>
              <w:t xml:space="preserve">Both positive, DI closer</w:t>
            </w:r>
          </w:p>
        </w:tc>
      </w:tr>
      <w:tr>
        <w:tc>
          <w:tcPr>
            <w:tcW w:type="dxa" w:w="4320"/>
          </w:tcPr>
          <w:p>
            <w:pPr>
              <w:pStyle w:val="Compact"/>
            </w:pPr>
            <w:r>
              <w:rPr>
                <w:rFonts w:ascii="Arial" w:hAnsi="Arial"/>
                <w:sz w:val="17"/>
              </w:rPr>
              <w:t xml:space="preserve">H. GORTEC very accelerated (137/129)</w:t>
            </w:r>
          </w:p>
        </w:tc>
        <w:tc>
          <w:tcPr>
            <w:tcW w:type="dxa" w:w="1728"/>
          </w:tcPr>
          <w:p>
            <w:pPr>
              <w:pStyle w:val="Compact"/>
            </w:pPr>
            <w:r>
              <w:rPr>
                <w:rFonts w:ascii="Arial" w:hAnsi="Arial"/>
                <w:sz w:val="17"/>
              </w:rPr>
              <w:t xml:space="preserve">+11.6</w:t>
            </w:r>
          </w:p>
        </w:tc>
        <w:tc>
          <w:tcPr>
            <w:tcW w:type="dxa" w:w="1728"/>
          </w:tcPr>
          <w:p>
            <w:pPr>
              <w:pStyle w:val="Compact"/>
            </w:pPr>
            <w:r>
              <w:rPr>
                <w:rFonts w:ascii="Arial" w:hAnsi="Arial"/>
                <w:sz w:val="17"/>
              </w:rPr>
              <w:t xml:space="preserve">−2.6</w:t>
            </w:r>
          </w:p>
        </w:tc>
        <w:tc>
          <w:tcPr>
            <w:tcW w:type="dxa" w:w="2448"/>
          </w:tcPr>
          <w:p>
            <w:pPr>
              <w:pStyle w:val="Compact"/>
            </w:pPr>
            <w:r>
              <w:rPr>
                <w:rFonts w:ascii="Arial" w:hAnsi="Arial"/>
                <w:sz w:val="17"/>
              </w:rPr>
              <w:t xml:space="preserve">+18.2</w:t>
            </w:r>
          </w:p>
        </w:tc>
        <w:tc>
          <w:tcPr>
            <w:tcW w:type="dxa" w:w="3888"/>
          </w:tcPr>
          <w:p>
            <w:pPr>
              <w:pStyle w:val="Compact"/>
            </w:pPr>
            <w:r>
              <w:rPr>
                <w:rFonts w:ascii="Arial" w:hAnsi="Arial"/>
                <w:sz w:val="17"/>
              </w:rPr>
              <w:t xml:space="preserve">DI (DD has the wrong sign)</w:t>
            </w:r>
          </w:p>
        </w:tc>
      </w:tr>
      <w:tr>
        <w:tc>
          <w:tcPr>
            <w:tcW w:type="dxa" w:w="4320"/>
          </w:tcPr>
          <w:p>
            <w:pPr>
              <w:pStyle w:val="Compact"/>
            </w:pPr>
            <w:r>
              <w:rPr>
                <w:rFonts w:ascii="Arial" w:hAnsi="Arial"/>
                <w:sz w:val="17"/>
              </w:rPr>
              <w:t xml:space="preserve">I. TROG accelerated (172/171)</w:t>
            </w:r>
          </w:p>
        </w:tc>
        <w:tc>
          <w:tcPr>
            <w:tcW w:type="dxa" w:w="1728"/>
          </w:tcPr>
          <w:p>
            <w:pPr>
              <w:pStyle w:val="Compact"/>
            </w:pPr>
            <w:r>
              <w:rPr>
                <w:rFonts w:ascii="Arial" w:hAnsi="Arial"/>
                <w:sz w:val="17"/>
              </w:rPr>
              <w:t xml:space="preserve">+8.1</w:t>
            </w:r>
          </w:p>
        </w:tc>
        <w:tc>
          <w:tcPr>
            <w:tcW w:type="dxa" w:w="1728"/>
          </w:tcPr>
          <w:p>
            <w:pPr>
              <w:pStyle w:val="Compact"/>
            </w:pPr>
            <w:r>
              <w:rPr>
                <w:rFonts w:ascii="Arial" w:hAnsi="Arial"/>
                <w:sz w:val="17"/>
              </w:rPr>
              <w:t xml:space="preserve">−6.6</w:t>
            </w:r>
          </w:p>
        </w:tc>
        <w:tc>
          <w:tcPr>
            <w:tcW w:type="dxa" w:w="2448"/>
          </w:tcPr>
          <w:p>
            <w:pPr>
              <w:pStyle w:val="Compact"/>
            </w:pPr>
            <w:r>
              <w:rPr>
                <w:rFonts w:ascii="Arial" w:hAnsi="Arial"/>
                <w:sz w:val="17"/>
              </w:rPr>
              <w:t xml:space="preserve">+8.5</w:t>
            </w:r>
          </w:p>
        </w:tc>
        <w:tc>
          <w:tcPr>
            <w:tcW w:type="dxa" w:w="3888"/>
          </w:tcPr>
          <w:p>
            <w:pPr>
              <w:pStyle w:val="Compact"/>
            </w:pPr>
            <w:r>
              <w:rPr>
                <w:rFonts w:ascii="Arial" w:hAnsi="Arial"/>
                <w:sz w:val="17"/>
              </w:rPr>
              <w:t xml:space="preserve">DI (DD has the wrong sign)</w:t>
            </w:r>
          </w:p>
        </w:tc>
      </w:tr>
      <w:tr>
        <w:tc>
          <w:tcPr>
            <w:tcW w:type="dxa" w:w="4320"/>
          </w:tcPr>
          <w:p>
            <w:pPr>
              <w:pStyle w:val="Compact"/>
            </w:pPr>
            <w:r>
              <w:rPr>
                <w:rFonts w:ascii="Arial" w:hAnsi="Arial"/>
                <w:sz w:val="17"/>
              </w:rPr>
              <w:t xml:space="preserve">J. CHART (552/366)</w:t>
            </w:r>
          </w:p>
        </w:tc>
        <w:tc>
          <w:tcPr>
            <w:tcW w:type="dxa" w:w="1728"/>
          </w:tcPr>
          <w:p>
            <w:pPr>
              <w:pStyle w:val="Compact"/>
            </w:pPr>
            <w:r>
              <w:rPr>
                <w:rFonts w:ascii="Arial" w:hAnsi="Arial"/>
                <w:sz w:val="17"/>
              </w:rPr>
              <w:t xml:space="preserve">−0.1</w:t>
            </w:r>
          </w:p>
        </w:tc>
        <w:tc>
          <w:tcPr>
            <w:tcW w:type="dxa" w:w="1728"/>
          </w:tcPr>
          <w:p>
            <w:pPr>
              <w:pStyle w:val="Compact"/>
            </w:pPr>
            <w:r>
              <w:rPr>
                <w:rFonts w:ascii="Arial" w:hAnsi="Arial"/>
                <w:sz w:val="17"/>
              </w:rPr>
              <w:t xml:space="preserve">−7.3</w:t>
            </w:r>
          </w:p>
        </w:tc>
        <w:tc>
          <w:tcPr>
            <w:tcW w:type="dxa" w:w="2448"/>
          </w:tcPr>
          <w:p>
            <w:pPr>
              <w:pStyle w:val="Compact"/>
            </w:pPr>
            <w:r>
              <w:rPr>
                <w:rFonts w:ascii="Arial" w:hAnsi="Arial"/>
                <w:sz w:val="17"/>
              </w:rPr>
              <w:t xml:space="preserve">−1.2</w:t>
            </w:r>
          </w:p>
        </w:tc>
        <w:tc>
          <w:tcPr>
            <w:tcW w:type="dxa" w:w="3888"/>
          </w:tcPr>
          <w:p>
            <w:pPr>
              <w:pStyle w:val="Compact"/>
            </w:pPr>
            <w:r>
              <w:rPr>
                <w:rFonts w:ascii="Arial" w:hAnsi="Arial"/>
                <w:sz w:val="17"/>
              </w:rPr>
              <w:t xml:space="preserve">DI closer</w:t>
            </w:r>
          </w:p>
        </w:tc>
      </w:tr>
      <w:tr>
        <w:tc>
          <w:tcPr>
            <w:tcW w:type="dxa" w:w="4320"/>
          </w:tcPr>
          <w:p>
            <w:pPr>
              <w:pStyle w:val="Compact"/>
            </w:pPr>
            <w:r>
              <w:rPr>
                <w:rFonts w:ascii="Arial" w:hAnsi="Arial"/>
                <w:sz w:val="17"/>
              </w:rPr>
              <w:t xml:space="preserve">K. RTOG 9003 concomitant boost (268/268)</w:t>
            </w:r>
          </w:p>
        </w:tc>
        <w:tc>
          <w:tcPr>
            <w:tcW w:type="dxa" w:w="1728"/>
          </w:tcPr>
          <w:p>
            <w:pPr>
              <w:pStyle w:val="Compact"/>
            </w:pPr>
            <w:r>
              <w:rPr>
                <w:rFonts w:ascii="Arial" w:hAnsi="Arial"/>
                <w:sz w:val="17"/>
              </w:rPr>
              <w:t xml:space="preserve">+6.5</w:t>
            </w:r>
          </w:p>
        </w:tc>
        <w:tc>
          <w:tcPr>
            <w:tcW w:type="dxa" w:w="1728"/>
          </w:tcPr>
          <w:p>
            <w:pPr>
              <w:pStyle w:val="Compact"/>
            </w:pPr>
            <w:r>
              <w:rPr>
                <w:rFonts w:ascii="Arial" w:hAnsi="Arial"/>
                <w:sz w:val="17"/>
              </w:rPr>
              <w:t xml:space="preserve">+0.2</w:t>
            </w:r>
          </w:p>
        </w:tc>
        <w:tc>
          <w:tcPr>
            <w:tcW w:type="dxa" w:w="2448"/>
          </w:tcPr>
          <w:p>
            <w:pPr>
              <w:pStyle w:val="Compact"/>
            </w:pPr>
            <w:r>
              <w:rPr>
                <w:rFonts w:ascii="Arial" w:hAnsi="Arial"/>
                <w:sz w:val="17"/>
              </w:rPr>
              <w:t xml:space="preserve">+9.7</w:t>
            </w:r>
          </w:p>
        </w:tc>
        <w:tc>
          <w:tcPr>
            <w:tcW w:type="dxa" w:w="3888"/>
          </w:tcPr>
          <w:p>
            <w:pPr>
              <w:pStyle w:val="Compact"/>
            </w:pPr>
            <w:r>
              <w:rPr>
                <w:rFonts w:ascii="Arial" w:hAnsi="Arial"/>
                <w:sz w:val="17"/>
              </w:rPr>
              <w:t xml:space="preserve">DI</w:t>
            </w:r>
          </w:p>
        </w:tc>
      </w:tr>
      <w:tr>
        <w:tc>
          <w:tcPr>
            <w:tcW w:type="dxa" w:w="4320"/>
          </w:tcPr>
          <w:p>
            <w:pPr>
              <w:pStyle w:val="Compact"/>
            </w:pPr>
            <w:r>
              <w:rPr>
                <w:rFonts w:ascii="Arial" w:hAnsi="Arial"/>
                <w:sz w:val="17"/>
              </w:rPr>
              <w:t xml:space="preserve">L. RTOG 9003 hyperfractionation (263/268)</w:t>
            </w:r>
          </w:p>
        </w:tc>
        <w:tc>
          <w:tcPr>
            <w:tcW w:type="dxa" w:w="1728"/>
          </w:tcPr>
          <w:p>
            <w:pPr>
              <w:pStyle w:val="Compact"/>
            </w:pPr>
            <w:r>
              <w:rPr>
                <w:rFonts w:ascii="Arial" w:hAnsi="Arial"/>
                <w:sz w:val="17"/>
              </w:rPr>
              <w:t xml:space="preserve">+7.4</w:t>
            </w:r>
          </w:p>
        </w:tc>
        <w:tc>
          <w:tcPr>
            <w:tcW w:type="dxa" w:w="1728"/>
          </w:tcPr>
          <w:p>
            <w:pPr>
              <w:pStyle w:val="Compact"/>
            </w:pPr>
            <w:r>
              <w:rPr>
                <w:rFonts w:ascii="Arial" w:hAnsi="Arial"/>
                <w:sz w:val="17"/>
              </w:rPr>
              <w:t xml:space="preserve">+4.6</w:t>
            </w:r>
          </w:p>
        </w:tc>
        <w:tc>
          <w:tcPr>
            <w:tcW w:type="dxa" w:w="2448"/>
          </w:tcPr>
          <w:p>
            <w:pPr>
              <w:pStyle w:val="Compact"/>
            </w:pPr>
            <w:r>
              <w:rPr>
                <w:rFonts w:ascii="Arial" w:hAnsi="Arial"/>
                <w:sz w:val="17"/>
              </w:rPr>
              <w:t xml:space="preserve">+10.0</w:t>
            </w:r>
          </w:p>
        </w:tc>
        <w:tc>
          <w:tcPr>
            <w:tcW w:type="dxa" w:w="3888"/>
          </w:tcPr>
          <w:p>
            <w:pPr>
              <w:pStyle w:val="Compact"/>
            </w:pPr>
            <w:r>
              <w:rPr>
                <w:rFonts w:ascii="Arial" w:hAnsi="Arial"/>
                <w:sz w:val="17"/>
              </w:rPr>
              <w:t xml:space="preserve">Both positive, DI closer</w:t>
            </w:r>
          </w:p>
        </w:tc>
      </w:tr>
      <w:tr>
        <w:tc>
          <w:tcPr>
            <w:tcW w:type="dxa" w:w="4320"/>
          </w:tcPr>
          <w:p>
            <w:pPr>
              <w:pStyle w:val="Compact"/>
            </w:pPr>
            <w:r>
              <w:rPr>
                <w:rFonts w:ascii="Arial" w:hAnsi="Arial"/>
                <w:sz w:val="17"/>
              </w:rPr>
              <w:t xml:space="preserve">M. EORTC 22791 hyperfractionation (166/159)</w:t>
            </w:r>
          </w:p>
        </w:tc>
        <w:tc>
          <w:tcPr>
            <w:tcW w:type="dxa" w:w="1728"/>
          </w:tcPr>
          <w:p>
            <w:pPr>
              <w:pStyle w:val="Compact"/>
            </w:pPr>
            <w:r>
              <w:rPr>
                <w:rFonts w:ascii="Arial" w:hAnsi="Arial"/>
                <w:sz w:val="17"/>
              </w:rPr>
              <w:t xml:space="preserve">+10.1</w:t>
            </w:r>
          </w:p>
        </w:tc>
        <w:tc>
          <w:tcPr>
            <w:tcW w:type="dxa" w:w="1728"/>
          </w:tcPr>
          <w:p>
            <w:pPr>
              <w:pStyle w:val="Compact"/>
            </w:pPr>
            <w:r>
              <w:rPr>
                <w:rFonts w:ascii="Arial" w:hAnsi="Arial"/>
                <w:sz w:val="17"/>
              </w:rPr>
              <w:t xml:space="preserve">+6.2</w:t>
            </w:r>
          </w:p>
        </w:tc>
        <w:tc>
          <w:tcPr>
            <w:tcW w:type="dxa" w:w="2448"/>
          </w:tcPr>
          <w:p>
            <w:pPr>
              <w:pStyle w:val="Compact"/>
            </w:pPr>
            <w:r>
              <w:rPr>
                <w:rFonts w:ascii="Arial" w:hAnsi="Arial"/>
                <w:sz w:val="17"/>
              </w:rPr>
              <w:t xml:space="preserve">+1.0</w:t>
            </w:r>
          </w:p>
        </w:tc>
        <w:tc>
          <w:tcPr>
            <w:tcW w:type="dxa" w:w="3888"/>
          </w:tcPr>
          <w:p>
            <w:pPr>
              <w:pStyle w:val="Compact"/>
            </w:pPr>
            <w:r>
              <w:rPr>
                <w:rFonts w:ascii="Arial" w:hAnsi="Arial"/>
                <w:sz w:val="17"/>
              </w:rPr>
              <w:t xml:space="preserve">DD closer</w:t>
            </w:r>
          </w:p>
        </w:tc>
      </w:tr>
    </w:tbl>
    <w:bookmarkEnd w:id="15"/>
    <w:bookmarkStart w:id="16" w:name="comparison-of-the-two-dd-settings"/>
    <w:p>
      <w:pPr>
        <w:pStyle w:val="Heading1"/>
      </w:pPr>
      <w:r>
        <w:t xml:space="preserve">Comparison of the two DD settings</w:t>
      </w:r>
    </w:p>
    <w:p>
      <w:pPr>
        <w:pStyle w:val="Compact"/>
        <w:numPr>
          <w:ilvl w:val="0"/>
          <w:numId w:val="1003"/>
        </w:numPr>
      </w:pPr>
      <w:r>
        <w:rPr>
          <w:b/>
          <w:bCs/>
        </w:rPr>
        <w:t xml:space="preserve">Where the implausibility sits.</w:t>
      </w:r>
      <w:r>
        <w:t xml:space="preserve"> </w:t>
      </w:r>
      <w:r>
        <w:t xml:space="preserve">The matched rate (Table 1) keeps onsets within clinical estimates for 5–7-week schedules but makes repopulation fast in short courses (doubling every 1.6–2.5 days). The default rate (Table 3) gives slower, more plausible repopulation (doubling every 2.2–4.6 days, 0.77–1.61 Gy</w:t>
      </w:r>
      <w:r>
        <w:rPr>
          <w:vertAlign w:val="subscript"/>
        </w:rPr>
        <w:t xml:space="preserve">10</w:t>
      </w:r>
      <w:r>
        <w:t xml:space="preserve"> </w:t>
      </w:r>
      <w:r>
        <w:t xml:space="preserve">lost per day, and 0.75 at the reference, close to the published 0.65–0.77). In exchange, onset moves earlier in every regimen: days 17–22 for 5–7-week schedules and days 7.5–14 for courses under 4 weeks. The lower rate trades an implausible rate for an implausible onset.</w:t>
      </w:r>
    </w:p>
    <w:p>
      <w:pPr>
        <w:pStyle w:val="Compact"/>
        <w:numPr>
          <w:ilvl w:val="0"/>
          <w:numId w:val="1003"/>
        </w:numPr>
      </w:pPr>
      <w:r>
        <w:rPr>
          <w:b/>
          <w:bCs/>
        </w:rPr>
        <w:t xml:space="preserve">Effect on tumor BED.</w:t>
      </w:r>
      <w:r>
        <w:t xml:space="preserve"> </w:t>
      </w:r>
      <w:r>
        <w:t xml:space="preserve">The default rate gives a lower DD BED than the matched rate for every regimen except the reference (equal by calibration), CAIR and the two hyperfractionation arms (G, L and M), where the slower rate outweighs the earlier onset. The deficit grows with acceleration, for example HYPNO test 58.0 versus 59.8 Gy</w:t>
      </w:r>
      <w:r>
        <w:rPr>
          <w:vertAlign w:val="subscript"/>
        </w:rPr>
        <w:t xml:space="preserve">10</w:t>
      </w:r>
      <w:r>
        <w:t xml:space="preserve"> </w:t>
      </w:r>
      <w:r>
        <w:t xml:space="preserve">and CHART 54.8 versus 57.1 Gy</w:t>
      </w:r>
      <w:r>
        <w:rPr>
          <w:vertAlign w:val="subscript"/>
        </w:rPr>
        <w:t xml:space="preserve">10</w:t>
      </w:r>
      <w:r>
        <w:t xml:space="preserve">.</w:t>
      </w:r>
    </w:p>
    <w:p>
      <w:pPr>
        <w:pStyle w:val="Compact"/>
        <w:numPr>
          <w:ilvl w:val="0"/>
          <w:numId w:val="1003"/>
        </w:numPr>
      </w:pPr>
      <w:r>
        <w:rPr>
          <w:b/>
          <w:bCs/>
        </w:rPr>
        <w:t xml:space="preserve">Direction of the trial results.</w:t>
      </w:r>
      <w:r>
        <w:t xml:space="preserve"> </w:t>
      </w:r>
      <w:r>
        <w:t xml:space="preserve">The pattern is unchanged and somewhat stronger: the DD model still predicts losses for the GORTEC and TROG accelerated arms, which improved tumor control, and a larger deficit for HYPNO (−4.7 versus −3.5 Gy</w:t>
      </w:r>
      <w:r>
        <w:rPr>
          <w:vertAlign w:val="subscript"/>
        </w:rPr>
        <w:t xml:space="preserve">10</w:t>
      </w:r>
      <w:r>
        <w:t xml:space="preserve">). Neither setting removes the mismatch for accelerated schedules. It comes from the structure of the DD model combined with the unfitted calculator parameters (α and the calibrated onset level), not from the choice of λ</w:t>
      </w:r>
      <w:r>
        <w:rPr>
          <w:vertAlign w:val="subscript"/>
        </w:rPr>
        <w:t xml:space="preserve">DD</w:t>
      </w:r>
      <w:r>
        <w:t xml:space="preserve"> </w:t>
      </w:r>
      <w:r>
        <w:t xml:space="preserve">alone.</w:t>
      </w:r>
    </w:p>
    <w:bookmarkEnd w:id="16"/>
    <w:bookmarkStart w:id="17" w:name="limitations"/>
    <w:p>
      <w:pPr>
        <w:pStyle w:val="Heading1"/>
      </w:pPr>
      <w:r>
        <w:t xml:space="preserve">Limitations</w:t>
      </w:r>
    </w:p>
    <w:p>
      <w:pPr>
        <w:pStyle w:val="Compact"/>
        <w:numPr>
          <w:ilvl w:val="0"/>
          <w:numId w:val="1004"/>
        </w:numPr>
      </w:pPr>
      <w:r>
        <w:t xml:space="preserve">Schedules with two or three fractions per day are evaluated with the same formulas as once-daily ones. Incomplete repair between fractions given on the same day is not included, which overstates their BED slightly.</w:t>
      </w:r>
    </w:p>
    <w:p>
      <w:pPr>
        <w:pStyle w:val="Compact"/>
        <w:numPr>
          <w:ilvl w:val="0"/>
          <w:numId w:val="1004"/>
        </w:numPr>
      </w:pPr>
      <w:r>
        <w:t xml:space="preserve">The average fraction numbers and times from the 2018 compilation (for example 33.5 and 31.5 fractions) stand for trial arms whose individual schedules varied.</w:t>
      </w:r>
    </w:p>
    <w:p>
      <w:pPr>
        <w:pStyle w:val="Compact"/>
        <w:numPr>
          <w:ilvl w:val="0"/>
          <w:numId w:val="1004"/>
        </w:numPr>
      </w:pPr>
      <w:r>
        <w:t xml:space="preserve">Baseline tumor growth before onset, included in the 2018 models as a background growth term, is not included in the calculator.</w:t>
      </w:r>
    </w:p>
    <w:p>
      <w:pPr>
        <w:pStyle w:val="Compact"/>
        <w:numPr>
          <w:ilvl w:val="0"/>
          <w:numId w:val="1004"/>
        </w:numPr>
      </w:pPr>
      <w:r>
        <w:t xml:space="preserve">Concurrent chemotherapy (given in about 75% of HYPNO patients and in HYHOPE) is not part of any BED here.</w:t>
      </w:r>
    </w:p>
    <w:bookmarkEnd w:id="17"/>
    <w:bookmarkStart w:id="18" w:name="references"/>
    <w:p>
      <w:pPr>
        <w:pStyle w:val="Heading1"/>
      </w:pPr>
      <w:r>
        <w:t xml:space="preserve">References</w:t>
      </w:r>
    </w:p>
    <w:p>
      <w:pPr>
        <w:pStyle w:val="Compact"/>
        <w:numPr>
          <w:ilvl w:val="0"/>
          <w:numId w:val="1005"/>
        </w:numPr>
        <w:jc w:val="left"/>
      </w:pPr>
      <w:r>
        <w:t xml:space="preserve">Shuryak I, Hall EJ, Brenner DJ. Dose dependence of accelerated repopulation in head and neck cancer: supporting evidence and clinical implications. Radiother Oncol. 2018;127(1):20-26. https://doi.org/10.1016/j.radonc.2018.02.015 (PMID 29534828)</w:t>
      </w:r>
    </w:p>
    <w:p>
      <w:pPr>
        <w:pStyle w:val="Compact"/>
        <w:numPr>
          <w:ilvl w:val="0"/>
          <w:numId w:val="1005"/>
        </w:numPr>
        <w:jc w:val="left"/>
      </w:pPr>
      <w:r>
        <w:t xml:space="preserve">Withers HR, Taylor JMG, Maciejewski B. The hazard of accelerated tumor clonogen repopulation during radiotherapy. Acta Oncol. 1988;27(2):131-146. https://doi.org/10.3109/02841868809090333 (PMID 3390344)</w:t>
      </w:r>
    </w:p>
    <w:p>
      <w:pPr>
        <w:pStyle w:val="Compact"/>
        <w:numPr>
          <w:ilvl w:val="0"/>
          <w:numId w:val="1005"/>
        </w:numPr>
        <w:jc w:val="left"/>
      </w:pPr>
      <w:r>
        <w:t xml:space="preserve">Fowler JF. 21 years of biologically effective dose. Br J Radiol. 2010;83(991):554-568. https://doi.org/10.1259/bjr/31372149 (PMID 20603408)</w:t>
      </w:r>
    </w:p>
    <w:p>
      <w:pPr>
        <w:pStyle w:val="Compact"/>
        <w:numPr>
          <w:ilvl w:val="0"/>
          <w:numId w:val="1005"/>
        </w:numPr>
        <w:jc w:val="left"/>
      </w:pPr>
      <w:r>
        <w:t xml:space="preserve">Bentzen SM, Gupta T, Jacinto AA, et al. Hypofractionated versus normofractionated accelerated radiation therapy with or without cisplatin for locally advanced head and neck squamous cell carcinoma (HYPNO): a randomized, open-label, phase 3, noninferiority trial. Int J Radiat Oncol Biol Phys. 2026;125(2):387-398. https://doi.org/10.1016/j.ijrobp.2025.12.056 (PMID 41711624)</w:t>
      </w:r>
    </w:p>
    <w:p>
      <w:pPr>
        <w:pStyle w:val="Compact"/>
        <w:numPr>
          <w:ilvl w:val="0"/>
          <w:numId w:val="1005"/>
        </w:numPr>
        <w:jc w:val="left"/>
      </w:pPr>
      <w:r>
        <w:t xml:space="preserve">Moon DH, Avkshtol V, Hughes RS, et al. HYHOPE: a phase 1 study of deintensified hypofractionated radiation therapy for human papillomavirus-associated oropharynx cancer. Int J Radiat Oncol Biol Phys. 2025;123(3):694-702. https://doi.org/10.1016/j.ijrobp.2025.05.009 (PMID 40383163)</w:t>
      </w:r>
    </w:p>
    <w:bookmarkEnd w:id="18"/>
    <w:sectPr>
      <w:footerReference w:type="default" r:id="rId9"/>
      <w:footnotePr>
        <w:numRestart w:val="eachSect"/>
      </w:footnotePr>
      <w:pgSz w:orient="landscape" w:w="15840" w:h="12240"/>
      <w:pgMar w:left="864" w:right="864" w:top="864" w:bottom="8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sz w:val="21"/>
    </w:rPr>
  </w:style>
  <w:style w:styleId="BodyText" w:type="paragraph">
    <w:name w:val="Body Text"/>
    <w:basedOn w:val="Normal"/>
    <w:link w:val="BodyTextChar"/>
    <w:qFormat/>
    <w:pPr>
      <w:spacing w:after="180" w:before="180"/>
    </w:pPr>
    <w:rPr>
      <w:rFonts w:ascii="Arial" w:hAnsi="Arial"/>
      <w:sz w:val="21"/>
    </w:rPr>
  </w:style>
  <w:style w:customStyle="1" w:styleId="FirstParagraph" w:type="paragraph">
    <w:name w:val="First Paragraph"/>
    <w:basedOn w:val="BodyText"/>
    <w:next w:val="BodyText"/>
    <w:qFormat/>
    <w:rPr>
      <w:rFonts w:ascii="Arial" w:hAnsi="Arial"/>
      <w:sz w:val="21"/>
    </w:rPr>
  </w:style>
  <w:style w:customStyle="1" w:styleId="Compact" w:type="paragraph">
    <w:name w:val="Compact"/>
    <w:basedOn w:val="BodyText"/>
    <w:qFormat/>
    <w:pPr>
      <w:spacing w:after="36" w:before="36"/>
    </w:pPr>
    <w:rPr>
      <w:rFonts w:ascii="Arial" w:hAnsi="Arial"/>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Tumor BED under the DI and DD repopulation models for standard and clinically tested head and neck regimens</dc:title>
  <dc:creator/>
  <cp:keywords/>
  <dcterms:created xsi:type="dcterms:W3CDTF">2026-10-19T01:29:52Z</dcterms:created>
  <dcterms:modified xsi:type="dcterms:W3CDTF">2026-10-19T01:29:52Z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DD maximum repopulation rate matched to the DI model (0.666 per day) and at the current default (0.5 per day)</vt:lpwstr>
  </property>
</Properties>
</file>