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2"/>
          <w:szCs w:val="52"/>
        </w:rPr>
        <w:t xml:space="preserve">ISHWAR HARBADE</w:t>
      </w:r>
    </w:p>
    <w:p>
      <w:pPr>
        <w:spacing w:after="60" w:before="0"/>
        <w:jc w:val="center"/>
      </w:pPr>
      <w:r>
        <w:rPr>
          <w:rFonts w:ascii="Arial" w:cs="Arial" w:eastAsia="Arial" w:hAnsi="Arial"/>
          <w:color w:val="444444"/>
          <w:sz w:val="18"/>
          <w:szCs w:val="18"/>
        </w:rPr>
        <w:t xml:space="preserve">Pune, Maharashtra  •  +91 7498660387  •  ishwarharbade55@gmail.com  •  ishwarprofile.netlify.app</w:t>
      </w:r>
    </w:p>
    <w:p>
      <w:pPr>
        <w:spacing w:after="120" w:before="0"/>
        <w:jc w:val="center"/>
      </w:pPr>
      <w:r>
        <w:rPr>
          <w:rFonts w:ascii="Arial" w:cs="Arial" w:eastAsia="Arial" w:hAnsi="Arial"/>
          <w:i/>
          <w:iCs/>
          <w:color w:val="555555"/>
          <w:sz w:val="20"/>
          <w:szCs w:val="20"/>
        </w:rPr>
        <w:t xml:space="preserve">U.S. P&amp;C Insurance Operations  |  Underwriting Support  |  Guidewire PolicyCenter</w:t>
      </w:r>
    </w:p>
    <w:p>
      <w:pPr>
        <w:pBdr>
          <w:bottom w:val="single" w:color="1F4E79" w:sz="6" w:space="2"/>
        </w:pBdr>
        <w:spacing w:after="60" w:before="240"/>
      </w:pPr>
      <w:r>
        <w:rPr>
          <w:rFonts w:ascii="Arial" w:cs="Arial" w:eastAsia="Arial" w:hAnsi="Arial"/>
          <w:b/>
          <w:bCs/>
          <w:color w:val="1F4E79"/>
          <w:sz w:val="24"/>
          <w:szCs w:val="24"/>
        </w:rPr>
        <w:t xml:space="preserve">PROFESSIONAL SUMMARY</w:t>
      </w:r>
    </w:p>
    <w:p>
      <w:pPr>
        <w:spacing w:after="80" w:before="80"/>
      </w:pPr>
      <w:r>
        <w:rPr>
          <w:rFonts w:ascii="Arial" w:cs="Arial" w:eastAsia="Arial" w:hAnsi="Arial"/>
          <w:color w:val="222222"/>
          <w:sz w:val="20"/>
          <w:szCs w:val="20"/>
        </w:rPr>
        <w:t xml:space="preserve">Results-driven Insurance Operations professional with 3+ years of hands-on experience in U.S. Property &amp; Casualty (P&amp;C) insurance, spanning Commercial Auto, CGL, Commercial Property, and Workers' Compensation. Proven track record at global BPO/ITO leaders — WNS Global Services and Gallagher Service Center — managing end-to-end policy processing, underwriting support, and data integrity using Guidewire PolicyCenter and ImageRight. Recognized as Best Quality Performer for sustaining high accuracy and compliance standards. Combines insurance domain expertise with Core Java and a background in technical training, making me a versatile candidate for operations, business analysis, and insurance-technology roles.</w:t>
      </w:r>
    </w:p>
    <w:p>
      <w:pPr>
        <w:pBdr>
          <w:bottom w:val="single" w:color="1F4E79" w:sz="6" w:space="2"/>
        </w:pBdr>
        <w:spacing w:after="60" w:before="240"/>
      </w:pPr>
      <w:r>
        <w:rPr>
          <w:rFonts w:ascii="Arial" w:cs="Arial" w:eastAsia="Arial" w:hAnsi="Arial"/>
          <w:b/>
          <w:bCs/>
          <w:color w:val="1F4E79"/>
          <w:sz w:val="24"/>
          <w:szCs w:val="24"/>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pStyle w:val="ListParagraph"/>
              <w:numPr>
                <w:ilvl w:val="0"/>
                <w:numId w:val="2"/>
              </w:numPr>
              <w:spacing w:after="40" w:before="40"/>
            </w:pPr>
            <w:r>
              <w:rPr>
                <w:rFonts w:ascii="Arial" w:cs="Arial" w:eastAsia="Arial" w:hAnsi="Arial"/>
                <w:b w:val="false"/>
                <w:bCs w:val="false"/>
                <w:sz w:val="20"/>
                <w:szCs w:val="20"/>
              </w:rPr>
              <w:t xml:space="preserve">U.S. P&amp;C Insurance — Commercial Auto, CGL, Workers' Comp</w:t>
            </w:r>
          </w:p>
          <w:p>
            <w:pPr>
              <w:pStyle w:val="ListParagraph"/>
              <w:numPr>
                <w:ilvl w:val="0"/>
                <w:numId w:val="2"/>
              </w:numPr>
              <w:spacing w:after="40" w:before="40"/>
            </w:pPr>
            <w:r>
              <w:rPr>
                <w:rFonts w:ascii="Arial" w:cs="Arial" w:eastAsia="Arial" w:hAnsi="Arial"/>
                <w:b w:val="false"/>
                <w:bCs w:val="false"/>
                <w:sz w:val="20"/>
                <w:szCs w:val="20"/>
              </w:rPr>
              <w:t xml:space="preserve">Guidewire PolicyCenter &amp; Impact (Underwriting Systems)</w:t>
            </w:r>
          </w:p>
          <w:p>
            <w:pPr>
              <w:pStyle w:val="ListParagraph"/>
              <w:numPr>
                <w:ilvl w:val="0"/>
                <w:numId w:val="2"/>
              </w:numPr>
              <w:spacing w:after="40" w:before="40"/>
            </w:pPr>
            <w:r>
              <w:rPr>
                <w:rFonts w:ascii="Arial" w:cs="Arial" w:eastAsia="Arial" w:hAnsi="Arial"/>
                <w:b w:val="false"/>
                <w:bCs w:val="false"/>
                <w:sz w:val="20"/>
                <w:szCs w:val="20"/>
              </w:rPr>
              <w:t xml:space="preserve">ImageRight Document Management</w:t>
            </w:r>
          </w:p>
          <w:p>
            <w:pPr>
              <w:pStyle w:val="ListParagraph"/>
              <w:numPr>
                <w:ilvl w:val="0"/>
                <w:numId w:val="2"/>
              </w:numPr>
              <w:spacing w:after="40" w:before="40"/>
            </w:pPr>
            <w:r>
              <w:rPr>
                <w:rFonts w:ascii="Arial" w:cs="Arial" w:eastAsia="Arial" w:hAnsi="Arial"/>
                <w:b w:val="false"/>
                <w:bCs w:val="false"/>
                <w:sz w:val="20"/>
                <w:szCs w:val="20"/>
              </w:rPr>
              <w:t xml:space="preserve">New Business Underwriting &amp; Policy Processing</w:t>
            </w:r>
          </w:p>
        </w:tc>
        <w:tc>
          <w:tcPr>
            <w:tcW w:type="dxa" w:w="4680"/>
            <w:tcBorders>
              <w:top w:val="none"/>
              <w:left w:val="none"/>
              <w:bottom w:val="none"/>
              <w:right w:val="none"/>
            </w:tcBorders>
          </w:tcPr>
          <w:p>
            <w:pPr>
              <w:pStyle w:val="ListParagraph"/>
              <w:numPr>
                <w:ilvl w:val="0"/>
                <w:numId w:val="2"/>
              </w:numPr>
              <w:spacing w:after="40" w:before="40"/>
            </w:pPr>
            <w:r>
              <w:rPr>
                <w:rFonts w:ascii="Arial" w:cs="Arial" w:eastAsia="Arial" w:hAnsi="Arial"/>
                <w:b w:val="false"/>
                <w:bCs w:val="false"/>
                <w:sz w:val="20"/>
                <w:szCs w:val="20"/>
              </w:rPr>
              <w:t xml:space="preserve">SLA Management &amp; Quality Compliance</w:t>
            </w:r>
          </w:p>
          <w:p>
            <w:pPr>
              <w:pStyle w:val="ListParagraph"/>
              <w:numPr>
                <w:ilvl w:val="0"/>
                <w:numId w:val="2"/>
              </w:numPr>
              <w:spacing w:after="40" w:before="40"/>
            </w:pPr>
            <w:r>
              <w:rPr>
                <w:rFonts w:ascii="Arial" w:cs="Arial" w:eastAsia="Arial" w:hAnsi="Arial"/>
                <w:b w:val="false"/>
                <w:bCs w:val="false"/>
                <w:sz w:val="20"/>
                <w:szCs w:val="20"/>
              </w:rPr>
              <w:t xml:space="preserve">Process Documentation &amp; Gap Analysis</w:t>
            </w:r>
          </w:p>
          <w:p>
            <w:pPr>
              <w:pStyle w:val="ListParagraph"/>
              <w:numPr>
                <w:ilvl w:val="0"/>
                <w:numId w:val="2"/>
              </w:numPr>
              <w:spacing w:after="40" w:before="40"/>
            </w:pPr>
            <w:r>
              <w:rPr>
                <w:rFonts w:ascii="Arial" w:cs="Arial" w:eastAsia="Arial" w:hAnsi="Arial"/>
                <w:b w:val="false"/>
                <w:bCs w:val="false"/>
                <w:sz w:val="20"/>
                <w:szCs w:val="20"/>
              </w:rPr>
              <w:t xml:space="preserve">Core Java &amp; Spring Boot (Training-level)</w:t>
            </w:r>
          </w:p>
          <w:p>
            <w:pPr>
              <w:pStyle w:val="ListParagraph"/>
              <w:numPr>
                <w:ilvl w:val="0"/>
                <w:numId w:val="2"/>
              </w:numPr>
              <w:spacing w:after="40" w:before="40"/>
            </w:pPr>
            <w:r>
              <w:rPr>
                <w:rFonts w:ascii="Arial" w:cs="Arial" w:eastAsia="Arial" w:hAnsi="Arial"/>
                <w:b w:val="false"/>
                <w:bCs w:val="false"/>
                <w:sz w:val="20"/>
                <w:szCs w:val="20"/>
              </w:rPr>
              <w:t xml:space="preserve">Cross-functional Stakeholder Communication</w:t>
            </w:r>
          </w:p>
        </w:tc>
      </w:tr>
    </w:tbl>
    <w:p>
      <w:pPr>
        <w:pBdr>
          <w:bottom w:val="single" w:color="1F4E79" w:sz="6" w:space="2"/>
        </w:pBdr>
        <w:spacing w:after="60" w:before="240"/>
      </w:pPr>
      <w:r>
        <w:rPr>
          <w:rFonts w:ascii="Arial" w:cs="Arial" w:eastAsia="Arial" w:hAnsi="Arial"/>
          <w:b/>
          <w:bCs/>
          <w:color w:val="1F4E79"/>
          <w:sz w:val="24"/>
          <w:szCs w:val="24"/>
        </w:rPr>
        <w:t xml:space="preserve">PROFESSIONAL EXPERIENCE</w:t>
      </w:r>
    </w:p>
    <w:p>
      <w:pPr>
        <w:spacing w:after="40" w:before="160"/>
      </w:pPr>
      <w:r>
        <w:rPr>
          <w:rFonts w:ascii="Arial" w:cs="Arial" w:eastAsia="Arial" w:hAnsi="Arial"/>
          <w:b/>
          <w:bCs/>
          <w:color w:val="1F4E79"/>
          <w:sz w:val="22"/>
          <w:szCs w:val="22"/>
        </w:rPr>
        <w:t xml:space="preserve">WNS Global Services</w:t>
      </w:r>
      <w:r>
        <w:rPr>
          <w:rFonts w:ascii="Arial" w:cs="Arial" w:eastAsia="Arial" w:hAnsi="Arial"/>
          <w:color w:val="888888"/>
          <w:sz w:val="22"/>
          <w:szCs w:val="22"/>
        </w:rPr>
        <w:t xml:space="preserve">  |  </w:t>
      </w:r>
      <w:r>
        <w:rPr>
          <w:rFonts w:ascii="Arial" w:cs="Arial" w:eastAsia="Arial" w:hAnsi="Arial"/>
          <w:b/>
          <w:bCs/>
          <w:sz w:val="22"/>
          <w:szCs w:val="22"/>
        </w:rPr>
        <w:t xml:space="preserve">Operations Associate</w:t>
      </w:r>
      <w:r>
        <w:rPr>
          <w:rFonts w:ascii="Arial" w:cs="Arial" w:eastAsia="Arial" w:hAnsi="Arial"/>
          <w:i/>
          <w:iCs/>
          <w:color w:val="555555"/>
          <w:sz w:val="20"/>
          <w:szCs w:val="20"/>
        </w:rPr>
        <w:t xml:space="preserve">  |  Pune  |  Aug 2025 – Present</w:t>
      </w:r>
    </w:p>
    <w:p>
      <w:pPr>
        <w:pStyle w:val="ListParagraph"/>
        <w:numPr>
          <w:ilvl w:val="0"/>
          <w:numId w:val="2"/>
        </w:numPr>
        <w:spacing w:after="40" w:before="40"/>
      </w:pPr>
      <w:r>
        <w:rPr>
          <w:rFonts w:ascii="Arial" w:cs="Arial" w:eastAsia="Arial" w:hAnsi="Arial"/>
          <w:b w:val="false"/>
          <w:bCs w:val="false"/>
          <w:sz w:val="20"/>
          <w:szCs w:val="20"/>
        </w:rPr>
        <w:t xml:space="preserve">Manage day-to-day U.S. Commercial Auto (P&amp;C) insurance operations for Amerisure Insurance, a top-20 U.S. commercial insurer.</w:t>
      </w:r>
    </w:p>
    <w:p>
      <w:pPr>
        <w:pStyle w:val="ListParagraph"/>
        <w:numPr>
          <w:ilvl w:val="0"/>
          <w:numId w:val="2"/>
        </w:numPr>
        <w:spacing w:after="40" w:before="40"/>
      </w:pPr>
      <w:r>
        <w:rPr>
          <w:rFonts w:ascii="Arial" w:cs="Arial" w:eastAsia="Arial" w:hAnsi="Arial"/>
          <w:b w:val="false"/>
          <w:bCs w:val="false"/>
          <w:sz w:val="20"/>
          <w:szCs w:val="20"/>
        </w:rPr>
        <w:t xml:space="preserve">Process new business quotes, submissions, endorsements, and policy updates using Guidewire PolicyCenter and Impact.</w:t>
      </w:r>
    </w:p>
    <w:p>
      <w:pPr>
        <w:pStyle w:val="ListParagraph"/>
        <w:numPr>
          <w:ilvl w:val="0"/>
          <w:numId w:val="2"/>
        </w:numPr>
        <w:spacing w:after="40" w:before="40"/>
      </w:pPr>
      <w:r>
        <w:rPr>
          <w:rFonts w:ascii="Arial" w:cs="Arial" w:eastAsia="Arial" w:hAnsi="Arial"/>
          <w:b w:val="false"/>
          <w:bCs w:val="false"/>
          <w:sz w:val="20"/>
          <w:szCs w:val="20"/>
        </w:rPr>
        <w:t xml:space="preserve">Validate coverage selection, liability symbols, limits, and deductibles against underwriting guidelines to ensure zero-defect policy issuance.</w:t>
      </w:r>
    </w:p>
    <w:p>
      <w:pPr>
        <w:pStyle w:val="ListParagraph"/>
        <w:numPr>
          <w:ilvl w:val="0"/>
          <w:numId w:val="2"/>
        </w:numPr>
        <w:spacing w:after="40" w:before="40"/>
      </w:pPr>
      <w:r>
        <w:rPr>
          <w:rFonts w:ascii="Arial" w:cs="Arial" w:eastAsia="Arial" w:hAnsi="Arial"/>
          <w:b w:val="false"/>
          <w:bCs w:val="false"/>
          <w:sz w:val="20"/>
          <w:szCs w:val="20"/>
        </w:rPr>
        <w:t xml:space="preserve">Collaborate directly with U.S.-based underwriters to resolve documentation gaps and expedite policy turnaround within SLA timelines.</w:t>
      </w:r>
    </w:p>
    <w:p>
      <w:pPr>
        <w:pStyle w:val="ListParagraph"/>
        <w:numPr>
          <w:ilvl w:val="0"/>
          <w:numId w:val="2"/>
        </w:numPr>
        <w:spacing w:after="40" w:before="40"/>
      </w:pPr>
      <w:r>
        <w:rPr>
          <w:rFonts w:ascii="Arial" w:cs="Arial" w:eastAsia="Arial" w:hAnsi="Arial"/>
          <w:b w:val="false"/>
          <w:bCs w:val="false"/>
          <w:sz w:val="20"/>
          <w:szCs w:val="20"/>
        </w:rPr>
        <w:t xml:space="preserve">Consistently maintained quality scores above team benchmarks; received positive feedback from underwriters for accuracy and responsiveness.</w:t>
      </w:r>
    </w:p>
    <w:p>
      <w:pPr>
        <w:pStyle w:val="ListParagraph"/>
        <w:numPr>
          <w:ilvl w:val="0"/>
          <w:numId w:val="2"/>
        </w:numPr>
        <w:spacing w:after="40" w:before="40"/>
      </w:pPr>
      <w:r>
        <w:rPr>
          <w:rFonts w:ascii="Arial" w:cs="Arial" w:eastAsia="Arial" w:hAnsi="Arial"/>
          <w:b w:val="false"/>
          <w:bCs w:val="false"/>
          <w:sz w:val="20"/>
          <w:szCs w:val="20"/>
        </w:rPr>
        <w:t xml:space="preserve">Contributed to process-improvement discussions that reduced average handling time for quote submissions.</w:t>
      </w:r>
    </w:p>
    <w:p>
      <w:pPr>
        <w:spacing w:after="40" w:before="160"/>
      </w:pPr>
      <w:r>
        <w:rPr>
          <w:rFonts w:ascii="Arial" w:cs="Arial" w:eastAsia="Arial" w:hAnsi="Arial"/>
          <w:b/>
          <w:bCs/>
          <w:color w:val="1F4E79"/>
          <w:sz w:val="22"/>
          <w:szCs w:val="22"/>
        </w:rPr>
        <w:t xml:space="preserve">Self-Employed</w:t>
      </w:r>
      <w:r>
        <w:rPr>
          <w:rFonts w:ascii="Arial" w:cs="Arial" w:eastAsia="Arial" w:hAnsi="Arial"/>
          <w:color w:val="888888"/>
          <w:sz w:val="22"/>
          <w:szCs w:val="22"/>
        </w:rPr>
        <w:t xml:space="preserve">  |  </w:t>
      </w:r>
      <w:r>
        <w:rPr>
          <w:rFonts w:ascii="Arial" w:cs="Arial" w:eastAsia="Arial" w:hAnsi="Arial"/>
          <w:b/>
          <w:bCs/>
          <w:sz w:val="22"/>
          <w:szCs w:val="22"/>
        </w:rPr>
        <w:t xml:space="preserve">Freelance Java Trainer</w:t>
      </w:r>
      <w:r>
        <w:rPr>
          <w:rFonts w:ascii="Arial" w:cs="Arial" w:eastAsia="Arial" w:hAnsi="Arial"/>
          <w:i/>
          <w:iCs/>
          <w:color w:val="555555"/>
          <w:sz w:val="20"/>
          <w:szCs w:val="20"/>
        </w:rPr>
        <w:t xml:space="preserve">  |  Nagpur  |  May 2024 – May 2025</w:t>
      </w:r>
    </w:p>
    <w:p>
      <w:pPr>
        <w:pStyle w:val="ListParagraph"/>
        <w:numPr>
          <w:ilvl w:val="0"/>
          <w:numId w:val="2"/>
        </w:numPr>
        <w:spacing w:after="40" w:before="40"/>
      </w:pPr>
      <w:r>
        <w:rPr>
          <w:rFonts w:ascii="Arial" w:cs="Arial" w:eastAsia="Arial" w:hAnsi="Arial"/>
          <w:b w:val="false"/>
          <w:bCs w:val="false"/>
          <w:sz w:val="20"/>
          <w:szCs w:val="20"/>
        </w:rPr>
        <w:t xml:space="preserve">Designed and delivered structured training programs on Core Java, OOP principles, Collections, and Spring Boot for 30+ learners.</w:t>
      </w:r>
    </w:p>
    <w:p>
      <w:pPr>
        <w:pStyle w:val="ListParagraph"/>
        <w:numPr>
          <w:ilvl w:val="0"/>
          <w:numId w:val="2"/>
        </w:numPr>
        <w:spacing w:after="40" w:before="40"/>
      </w:pPr>
      <w:r>
        <w:rPr>
          <w:rFonts w:ascii="Arial" w:cs="Arial" w:eastAsia="Arial" w:hAnsi="Arial"/>
          <w:b w:val="false"/>
          <w:bCs w:val="false"/>
          <w:sz w:val="20"/>
          <w:szCs w:val="20"/>
        </w:rPr>
        <w:t xml:space="preserve">Built and managed a custom web-based learning platform (onlinetrainingapp.netlify.app) to host course material and handle student queries.</w:t>
      </w:r>
    </w:p>
    <w:p>
      <w:pPr>
        <w:pStyle w:val="ListParagraph"/>
        <w:numPr>
          <w:ilvl w:val="0"/>
          <w:numId w:val="2"/>
        </w:numPr>
        <w:spacing w:after="40" w:before="40"/>
      </w:pPr>
      <w:r>
        <w:rPr>
          <w:rFonts w:ascii="Arial" w:cs="Arial" w:eastAsia="Arial" w:hAnsi="Arial"/>
          <w:b w:val="false"/>
          <w:bCs w:val="false"/>
          <w:sz w:val="20"/>
          <w:szCs w:val="20"/>
        </w:rPr>
        <w:t xml:space="preserve">Guided students through end-to-end project development, bridging theory with real-world application.</w:t>
      </w:r>
    </w:p>
    <w:p>
      <w:pPr>
        <w:spacing w:after="40" w:before="160"/>
      </w:pPr>
      <w:r>
        <w:rPr>
          <w:rFonts w:ascii="Arial" w:cs="Arial" w:eastAsia="Arial" w:hAnsi="Arial"/>
          <w:b/>
          <w:bCs/>
          <w:color w:val="1F4E79"/>
          <w:sz w:val="22"/>
          <w:szCs w:val="22"/>
        </w:rPr>
        <w:t xml:space="preserve">Gallagher Service Center LLP</w:t>
      </w:r>
      <w:r>
        <w:rPr>
          <w:rFonts w:ascii="Arial" w:cs="Arial" w:eastAsia="Arial" w:hAnsi="Arial"/>
          <w:color w:val="888888"/>
          <w:sz w:val="22"/>
          <w:szCs w:val="22"/>
        </w:rPr>
        <w:t xml:space="preserve">  |  </w:t>
      </w:r>
      <w:r>
        <w:rPr>
          <w:rFonts w:ascii="Arial" w:cs="Arial" w:eastAsia="Arial" w:hAnsi="Arial"/>
          <w:b/>
          <w:bCs/>
          <w:sz w:val="22"/>
          <w:szCs w:val="22"/>
        </w:rPr>
        <w:t xml:space="preserve">Process Analyst</w:t>
      </w:r>
      <w:r>
        <w:rPr>
          <w:rFonts w:ascii="Arial" w:cs="Arial" w:eastAsia="Arial" w:hAnsi="Arial"/>
          <w:i/>
          <w:iCs/>
          <w:color w:val="555555"/>
          <w:sz w:val="20"/>
          <w:szCs w:val="20"/>
        </w:rPr>
        <w:t xml:space="preserve">  |  Pune  |  Sep 2022 – Apr 2024</w:t>
      </w:r>
    </w:p>
    <w:p>
      <w:pPr>
        <w:pStyle w:val="ListParagraph"/>
        <w:numPr>
          <w:ilvl w:val="0"/>
          <w:numId w:val="2"/>
        </w:numPr>
        <w:spacing w:after="40" w:before="40"/>
      </w:pPr>
      <w:r>
        <w:rPr>
          <w:rFonts w:ascii="Arial" w:cs="Arial" w:eastAsia="Arial" w:hAnsi="Arial"/>
          <w:b w:val="false"/>
          <w:bCs w:val="false"/>
          <w:sz w:val="20"/>
          <w:szCs w:val="20"/>
        </w:rPr>
        <w:t xml:space="preserve">Supported U.S. International Insurance Operations covering P&amp;C, CGL, Commercial Property, and Workers' Compensation lines.</w:t>
      </w:r>
    </w:p>
    <w:p>
      <w:pPr>
        <w:pStyle w:val="ListParagraph"/>
        <w:numPr>
          <w:ilvl w:val="0"/>
          <w:numId w:val="2"/>
        </w:numPr>
        <w:spacing w:after="40" w:before="40"/>
      </w:pPr>
      <w:r>
        <w:rPr>
          <w:rFonts w:ascii="Arial" w:cs="Arial" w:eastAsia="Arial" w:hAnsi="Arial"/>
          <w:b w:val="false"/>
          <w:bCs w:val="false"/>
          <w:sz w:val="20"/>
          <w:szCs w:val="20"/>
        </w:rPr>
        <w:t xml:space="preserve">Maintained precise policy documentation by attaching Motor Vehicle Records and compliance documents to the ImageRight database.</w:t>
      </w:r>
    </w:p>
    <w:p>
      <w:pPr>
        <w:pStyle w:val="ListParagraph"/>
        <w:numPr>
          <w:ilvl w:val="0"/>
          <w:numId w:val="2"/>
        </w:numPr>
        <w:spacing w:after="40" w:before="40"/>
      </w:pPr>
      <w:r>
        <w:rPr>
          <w:rFonts w:ascii="Arial" w:cs="Arial" w:eastAsia="Arial" w:hAnsi="Arial"/>
          <w:b w:val="false"/>
          <w:bCs w:val="false"/>
          <w:sz w:val="20"/>
          <w:szCs w:val="20"/>
        </w:rPr>
        <w:t xml:space="preserve">Liaised with U.S. underwriters to procure missing documentation critical for case processing and policy binding.</w:t>
      </w:r>
    </w:p>
    <w:p>
      <w:pPr>
        <w:pStyle w:val="ListParagraph"/>
        <w:numPr>
          <w:ilvl w:val="0"/>
          <w:numId w:val="2"/>
        </w:numPr>
        <w:spacing w:after="40" w:before="40"/>
      </w:pPr>
      <w:r>
        <w:rPr>
          <w:rFonts w:ascii="Arial" w:cs="Arial" w:eastAsia="Arial" w:hAnsi="Arial"/>
          <w:b w:val="false"/>
          <w:bCs w:val="false"/>
          <w:sz w:val="20"/>
          <w:szCs w:val="20"/>
        </w:rPr>
        <w:t xml:space="preserve">Achieved Best Quality Performer recognition for outstanding accuracy, compliance adherence, and turnaround efficiency.</w:t>
      </w:r>
    </w:p>
    <w:p>
      <w:pPr>
        <w:pStyle w:val="ListParagraph"/>
        <w:numPr>
          <w:ilvl w:val="0"/>
          <w:numId w:val="2"/>
        </w:numPr>
        <w:spacing w:after="40" w:before="40"/>
      </w:pPr>
      <w:r>
        <w:rPr>
          <w:rFonts w:ascii="Arial" w:cs="Arial" w:eastAsia="Arial" w:hAnsi="Arial"/>
          <w:b w:val="false"/>
          <w:bCs w:val="false"/>
          <w:sz w:val="20"/>
          <w:szCs w:val="20"/>
        </w:rPr>
        <w:t xml:space="preserve">Assisted in standardizing document-handling processes, reducing rework rates within the team.</w:t>
      </w:r>
    </w:p>
    <w:p>
      <w:pPr>
        <w:pBdr>
          <w:bottom w:val="single" w:color="1F4E79" w:sz="6" w:space="2"/>
        </w:pBdr>
        <w:spacing w:after="60" w:before="240"/>
      </w:pPr>
      <w:r>
        <w:rPr>
          <w:rFonts w:ascii="Arial" w:cs="Arial" w:eastAsia="Arial" w:hAnsi="Arial"/>
          <w:b/>
          <w:bCs/>
          <w:color w:val="1F4E79"/>
          <w:sz w:val="24"/>
          <w:szCs w:val="24"/>
        </w:rPr>
        <w:t xml:space="preserve">EDUCATION</w:t>
      </w:r>
    </w:p>
    <w:p>
      <w:pPr>
        <w:spacing w:after="40" w:before="80"/>
      </w:pPr>
      <w:r>
        <w:rPr>
          <w:rFonts w:ascii="Arial" w:cs="Arial" w:eastAsia="Arial" w:hAnsi="Arial"/>
          <w:b/>
          <w:bCs/>
          <w:sz w:val="20"/>
          <w:szCs w:val="20"/>
        </w:rPr>
        <w:t xml:space="preserve">Bachelor of Engineering (B.E.)</w:t>
      </w:r>
      <w:r>
        <w:rPr>
          <w:rFonts w:ascii="Arial" w:cs="Arial" w:eastAsia="Arial" w:hAnsi="Arial"/>
          <w:color w:val="444444"/>
          <w:sz w:val="20"/>
          <w:szCs w:val="20"/>
        </w:rPr>
        <w:t xml:space="preserve">  |  Nagpur University  |  CGPA: 8.53 / 10</w:t>
      </w:r>
    </w:p>
    <w:p>
      <w:pPr>
        <w:spacing w:after="40" w:before="40"/>
      </w:pPr>
      <w:r>
        <w:rPr>
          <w:rFonts w:ascii="Arial" w:cs="Arial" w:eastAsia="Arial" w:hAnsi="Arial"/>
          <w:b/>
          <w:bCs/>
          <w:sz w:val="20"/>
          <w:szCs w:val="20"/>
        </w:rPr>
        <w:t xml:space="preserve">HSC (12th):</w:t>
      </w:r>
      <w:r>
        <w:rPr>
          <w:rFonts w:ascii="Arial" w:cs="Arial" w:eastAsia="Arial" w:hAnsi="Arial"/>
          <w:color w:val="444444"/>
          <w:sz w:val="20"/>
          <w:szCs w:val="20"/>
        </w:rPr>
        <w:t xml:space="preserve">  Prerna Junior College — 78.62%     |     </w:t>
      </w:r>
      <w:r>
        <w:rPr>
          <w:rFonts w:ascii="Arial" w:cs="Arial" w:eastAsia="Arial" w:hAnsi="Arial"/>
          <w:b/>
          <w:bCs/>
          <w:sz w:val="20"/>
          <w:szCs w:val="20"/>
        </w:rPr>
        <w:t xml:space="preserve">SSC (10th):</w:t>
      </w:r>
      <w:r>
        <w:rPr>
          <w:rFonts w:ascii="Arial" w:cs="Arial" w:eastAsia="Arial" w:hAnsi="Arial"/>
          <w:color w:val="444444"/>
          <w:sz w:val="20"/>
          <w:szCs w:val="20"/>
        </w:rPr>
        <w:t xml:space="preserve">  Shree Gajanan Vidyalaya — 85.64%</w:t>
      </w:r>
    </w:p>
    <w:p>
      <w:pPr>
        <w:pBdr>
          <w:bottom w:val="single" w:color="1F4E79" w:sz="6" w:space="2"/>
        </w:pBdr>
        <w:spacing w:after="60" w:before="240"/>
      </w:pPr>
      <w:r>
        <w:rPr>
          <w:rFonts w:ascii="Arial" w:cs="Arial" w:eastAsia="Arial" w:hAnsi="Arial"/>
          <w:b/>
          <w:bCs/>
          <w:color w:val="1F4E79"/>
          <w:sz w:val="24"/>
          <w:szCs w:val="24"/>
        </w:rPr>
        <w:t xml:space="preserve">CERTIFICATIONS &amp; PROFESSIONAL DEVELOPMENT</w:t>
      </w:r>
    </w:p>
    <w:p>
      <w:pPr>
        <w:pStyle w:val="ListParagraph"/>
        <w:numPr>
          <w:ilvl w:val="0"/>
          <w:numId w:val="2"/>
        </w:numPr>
        <w:spacing w:after="40" w:before="40"/>
      </w:pPr>
      <w:r>
        <w:rPr>
          <w:rFonts w:ascii="Arial" w:cs="Arial" w:eastAsia="Arial" w:hAnsi="Arial"/>
          <w:b w:val="false"/>
          <w:bCs w:val="false"/>
          <w:sz w:val="20"/>
          <w:szCs w:val="20"/>
        </w:rPr>
        <w:t xml:space="preserve">Guidewire PolicyCenter — hands-on operational experience (2+ years)</w:t>
      </w:r>
    </w:p>
    <w:p>
      <w:pPr>
        <w:pStyle w:val="ListParagraph"/>
        <w:numPr>
          <w:ilvl w:val="0"/>
          <w:numId w:val="2"/>
        </w:numPr>
        <w:spacing w:after="40" w:before="40"/>
      </w:pPr>
      <w:r>
        <w:rPr>
          <w:rFonts w:ascii="Arial" w:cs="Arial" w:eastAsia="Arial" w:hAnsi="Arial"/>
          <w:b w:val="false"/>
          <w:bCs w:val="false"/>
          <w:sz w:val="20"/>
          <w:szCs w:val="20"/>
        </w:rPr>
        <w:t xml:space="preserve">Core Java &amp; Spring Boot — practical training and project delivery</w:t>
      </w:r>
    </w:p>
    <w:p>
      <w:pPr>
        <w:pStyle w:val="ListParagraph"/>
        <w:numPr>
          <w:ilvl w:val="0"/>
          <w:numId w:val="2"/>
        </w:numPr>
        <w:spacing w:after="40" w:before="40"/>
      </w:pPr>
      <w:r>
        <w:rPr>
          <w:rFonts w:ascii="Arial" w:cs="Arial" w:eastAsia="Arial" w:hAnsi="Arial"/>
          <w:b w:val="false"/>
          <w:bCs w:val="false"/>
          <w:sz w:val="20"/>
          <w:szCs w:val="20"/>
        </w:rPr>
        <w:t xml:space="preserve">Recommended Next Step: AINS (Associate in Insurance) or CPCU designation to strengthen profile for senior insurance roles</w:t>
      </w:r>
    </w:p>
    <w:p>
      <w:pPr>
        <w:pBdr>
          <w:bottom w:val="single" w:color="1F4E79" w:sz="6" w:space="2"/>
        </w:pBdr>
        <w:spacing w:after="60" w:before="240"/>
      </w:pPr>
      <w:r>
        <w:rPr>
          <w:rFonts w:ascii="Arial" w:cs="Arial" w:eastAsia="Arial" w:hAnsi="Arial"/>
          <w:b/>
          <w:bCs/>
          <w:color w:val="1F4E79"/>
          <w:sz w:val="24"/>
          <w:szCs w:val="24"/>
        </w:rPr>
        <w:t xml:space="preserve">ADDITIONAL INFORMATION</w:t>
      </w:r>
    </w:p>
    <w:p>
      <w:pPr>
        <w:spacing w:after="40" w:before="80"/>
      </w:pPr>
      <w:r>
        <w:rPr>
          <w:rFonts w:ascii="Arial" w:cs="Arial" w:eastAsia="Arial" w:hAnsi="Arial"/>
          <w:b/>
          <w:bCs/>
          <w:sz w:val="20"/>
          <w:szCs w:val="20"/>
        </w:rPr>
        <w:t xml:space="preserve">Languages: </w:t>
      </w:r>
      <w:r>
        <w:rPr>
          <w:rFonts w:ascii="Arial" w:cs="Arial" w:eastAsia="Arial" w:hAnsi="Arial"/>
          <w:sz w:val="20"/>
          <w:szCs w:val="20"/>
        </w:rPr>
        <w:t xml:space="preserve">English (Professional), Hindi (Fluent), Marathi (Native)     </w:t>
      </w:r>
      <w:r>
        <w:rPr>
          <w:rFonts w:ascii="Arial" w:cs="Arial" w:eastAsia="Arial" w:hAnsi="Arial"/>
          <w:b/>
          <w:bCs/>
          <w:sz w:val="20"/>
          <w:szCs w:val="20"/>
        </w:rPr>
        <w:t xml:space="preserve">Portfolio: </w:t>
      </w:r>
      <w:r>
        <w:rPr>
          <w:rFonts w:ascii="Arial" w:cs="Arial" w:eastAsia="Arial" w:hAnsi="Arial"/>
          <w:color w:val="1F4E79"/>
          <w:sz w:val="20"/>
          <w:szCs w:val="20"/>
        </w:rPr>
        <w:t xml:space="preserve">ishwarprofile.netlify.app</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2026-05-02T16:31:19.386Z</dcterms:created>
  <dcterms:modified xsi:type="dcterms:W3CDTF">2026-05-02T16:31:19.387Z</dcterms:modified>
</cp:coreProperties>
</file>

<file path=docProps/custom.xml><?xml version="1.0" encoding="utf-8"?>
<Properties xmlns="http://schemas.openxmlformats.org/officeDocument/2006/custom-properties" xmlns:vt="http://schemas.openxmlformats.org/officeDocument/2006/docPropsVTypes"/>
</file>