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4"/>
          <w:szCs w:val="34"/>
        </w:rPr>
        <w:t xml:space="preserve">30-Minute Blood Glucose Forecasting for Type 1 Diabetes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Compact project summary — what we did, how, why, and what we found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 one line:</w:t>
            </w:r>
            <w:r>
              <w:rPr>
                <w:b w:val="false"/>
                <w:bCs w:val="false"/>
                <w:sz w:val="17"/>
                <w:szCs w:val="17"/>
              </w:rPr>
              <w:t xml:space="preserve"> we predict a diabetic patient's CGM glucose 30 minutes ahead from past glucose, insulin and meals; we test it on patients the model has never seen, test whether a patient's own data helps, test it on a completely different dataset, and serve it through a backend that gives exactly the research predictions.</w:t>
            </w:r>
          </w:p>
          <w:p>
            <w:r>
              <w:rPr>
                <w:b/>
                <w:bCs/>
                <w:sz w:val="17"/>
                <w:szCs w:val="17"/>
              </w:rPr>
              <w:t xml:space="preserve">Disclaimer: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research demonstration only — not a medical device, not for diagnosis or insulin dosing, does not replace a CGM.</w:t>
            </w:r>
          </w:p>
        </w:tc>
      </w:tr>
    </w:tbl>
    <w:p>
      <w:pPr>
        <w:pStyle w:val="Heading1"/>
      </w:pPr>
      <w:r>
        <w:t xml:space="preserve">1. The problem and why it matters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What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Forecast glucose </w:t>
            </w:r>
            <w:r>
              <w:rPr>
                <w:b/>
                <w:bCs/>
                <w:sz w:val="17"/>
                <w:szCs w:val="17"/>
              </w:rPr>
              <w:t xml:space="preserve">30 minutes ahead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 for people with Type 1 diabetes (their body makes no insulin; they must keep glucose roughly in 70–180 mg/dL).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Why needed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CGM sensor only shows glucose </w:t>
            </w:r>
            <w:r>
              <w:rPr>
                <w:b/>
                <w:bCs/>
                <w:sz w:val="17"/>
                <w:szCs w:val="17"/>
              </w:rPr>
              <w:t xml:space="preserve">now</w:t>
            </w:r>
            <w:r>
              <w:rPr>
                <w:b w:val="false"/>
                <w:bCs w:val="false"/>
                <w:sz w:val="17"/>
                <w:szCs w:val="17"/>
              </w:rPr>
              <w:t xml:space="preserve">. A forecast gives the patient time to react before glucose goes too high or low. 30 minutes is the standard horizon of the OhioT1DM benchmark: far enough to act, close enough to predict.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information available at the moment of prediction: past </w:t>
            </w:r>
            <w:r>
              <w:rPr>
                <w:b/>
                <w:bCs/>
                <w:sz w:val="17"/>
                <w:szCs w:val="17"/>
              </w:rPr>
              <w:t xml:space="preserve">CGM glucose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 xml:space="preserve">insulin boluses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(lower glucose) and </w:t>
            </w:r>
            <w:r>
              <w:rPr>
                <w:b/>
                <w:bCs/>
                <w:sz w:val="17"/>
                <w:szCs w:val="17"/>
              </w:rPr>
              <w:t xml:space="preserve">carbohydrates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(raise glucose).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Key rule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Causal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nothing from the future may be used. Otherwise the model looks good in research but would fail in real life.</w:t>
            </w:r>
          </w:p>
        </w:tc>
      </w:tr>
    </w:tbl>
    <w:p>
      <w:pPr>
        <w:pStyle w:val="Heading1"/>
      </w:pPr>
      <w:r>
        <w:t xml:space="preserve">2. Data — what we used and what we excluded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1"/>
        <w:gridCol w:w="4303"/>
        <w:gridCol w:w="4502"/>
      </w:tblGrid>
      <w:tr>
        <w:trPr>
          <w:tblHeader/>
        </w:trPr>
        <w:tc>
          <w:tcPr>
            <w:tcW w:type="dxa" w:w="14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43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OhioT1DM (train + Objectives 1–2)</w:t>
            </w:r>
          </w:p>
        </w:tc>
        <w:tc>
          <w:tcPr>
            <w:tcW w:type="dxa" w:w="45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HUPA-UCM (Objective 3, test only)</w:t>
            </w:r>
          </w:p>
        </w:tc>
      </w:tr>
      <w:tr>
        <w:tc>
          <w:tcPr>
            <w:tcW w:type="dxa" w:w="14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Patients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 (2018 and 2020 cohorts), about 8 weeks each, training + testing files</w:t>
            </w:r>
          </w:p>
        </w:tc>
        <w:tc>
          <w:tcPr>
            <w:tcW w:type="dxa" w:w="45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 in dataset → </w:t>
            </w:r>
            <w:r>
              <w:rPr>
                <w:b/>
                <w:bCs/>
                <w:sz w:val="17"/>
                <w:szCs w:val="17"/>
              </w:rPr>
              <w:t xml:space="preserve">19 MAIN / 23 ALL</w:t>
            </w:r>
            <w:r>
              <w:rPr>
                <w:b w:val="false"/>
                <w:bCs w:val="false"/>
                <w:sz w:val="17"/>
                <w:szCs w:val="17"/>
              </w:rPr>
              <w:t xml:space="preserve"> used</w:t>
            </w:r>
          </w:p>
        </w:tc>
      </w:tr>
      <w:tr>
        <w:tc>
          <w:tcPr>
            <w:tcW w:type="dxa" w:w="14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Sensor</w:t>
            </w:r>
          </w:p>
        </w:tc>
        <w:tc>
          <w:tcPr>
            <w:tcW w:type="dxa" w:w="43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CGM every </w:t>
            </w:r>
            <w:r>
              <w:rPr>
                <w:b/>
                <w:bCs/>
                <w:sz w:val="17"/>
                <w:szCs w:val="17"/>
              </w:rPr>
              <w:t xml:space="preserve">5 minutes</w:t>
            </w:r>
          </w:p>
        </w:tc>
        <w:tc>
          <w:tcPr>
            <w:tcW w:type="dxa" w:w="45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FreeStyle Libre, a reading every </w:t>
            </w:r>
            <w:r>
              <w:rPr>
                <w:b/>
                <w:bCs/>
                <w:sz w:val="17"/>
                <w:szCs w:val="17"/>
              </w:rPr>
              <w:t xml:space="preserve">~15 minutes</w:t>
            </w:r>
          </w:p>
        </w:tc>
      </w:tr>
      <w:tr>
        <w:tc>
          <w:tcPr>
            <w:tcW w:type="dxa" w:w="14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Used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glucose_level, bolus, meal (carbs)</w:t>
            </w:r>
          </w:p>
        </w:tc>
        <w:tc>
          <w:tcPr>
            <w:tcW w:type="dxa" w:w="45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Raw Libre glucose; bolus and carbs from the 'Preprocessed' file</w:t>
            </w:r>
          </w:p>
        </w:tc>
      </w:tr>
      <w:tr>
        <w:tc>
          <w:tcPr>
            <w:tcW w:type="dxa" w:w="14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used / excluded</w:t>
            </w:r>
          </w:p>
        </w:tc>
        <w:tc>
          <w:tcPr>
            <w:tcW w:type="dxa" w:w="43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Basal, exercise, sleep, stress, finger-sticks etc. (outside the CGM + insulin + meals design). Heart rate intended but not effectively used (§8)</w:t>
            </w:r>
          </w:p>
        </w:tc>
        <w:tc>
          <w:tcPr>
            <w:tcW w:type="dxa" w:w="45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Preprocessed </w:t>
            </w:r>
            <w:r>
              <w:rPr>
                <w:b/>
                <w:bCs/>
                <w:sz w:val="17"/>
                <w:szCs w:val="17"/>
              </w:rPr>
              <w:t xml:space="preserve">glucose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(it is interpolated — 17.8 % of values need a LATER reading = future leak). </w:t>
            </w:r>
            <w:r>
              <w:rPr>
                <w:b/>
                <w:bCs/>
                <w:sz w:val="17"/>
                <w:szCs w:val="17"/>
              </w:rPr>
              <w:t xml:space="preserve">HUPA0009P, 0010P</w:t>
            </w:r>
            <w:r>
              <w:rPr>
                <w:b w:val="false"/>
                <w:bCs w:val="false"/>
                <w:sz w:val="17"/>
                <w:szCs w:val="17"/>
              </w:rPr>
              <w:t xml:space="preserve">: no raw CGM → excluded. </w:t>
            </w:r>
            <w:r>
              <w:rPr>
                <w:b/>
                <w:bCs/>
                <w:sz w:val="17"/>
                <w:szCs w:val="17"/>
              </w:rPr>
              <w:t xml:space="preserve">HUPA0011P, 0015P, 0018P, 0020P</w:t>
            </w:r>
            <w:r>
              <w:rPr>
                <w:b w:val="false"/>
                <w:bCs w:val="false"/>
                <w:sz w:val="17"/>
                <w:szCs w:val="17"/>
              </w:rPr>
              <w:t xml:space="preserve">: missing insulin/meal records → excluded from MAIN only</w:t>
            </w:r>
          </w:p>
        </w:tc>
      </w:tr>
      <w:tr>
        <w:tc>
          <w:tcPr>
            <w:tcW w:type="dxa" w:w="14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Cleaning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Glucose clipped to 40–400 mg/dL</w:t>
            </w:r>
          </w:p>
        </w:tc>
        <w:tc>
          <w:tcPr>
            <w:tcW w:type="dxa" w:w="45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clipping; carbs given in servings × 10 = grams; bolus ≤ 0 = invalid, treated as no event; only data inside each patient's study window</w:t>
            </w:r>
          </w:p>
        </w:tc>
      </w:tr>
      <w:tr>
        <w:tc>
          <w:tcPr>
            <w:tcW w:type="dxa" w:w="14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Why</w:t>
            </w:r>
          </w:p>
        </w:tc>
        <w:tc>
          <w:tcPr>
            <w:tcW w:type="dxa" w:w="43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Public benchmark dataset with insulin and meals</w:t>
            </w:r>
          </w:p>
        </w:tc>
        <w:tc>
          <w:tcPr>
            <w:tcW w:type="dxa" w:w="45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different sensor and population: tests whether the model transfers. Rules fixed </w:t>
            </w:r>
            <w:r>
              <w:rPr>
                <w:b/>
                <w:bCs/>
                <w:sz w:val="17"/>
                <w:szCs w:val="17"/>
              </w:rPr>
              <w:t xml:space="preserve">before</w:t>
            </w:r>
            <w:r>
              <w:rPr>
                <w:b w:val="false"/>
                <w:bCs w:val="false"/>
                <w:sz w:val="17"/>
                <w:szCs w:val="17"/>
              </w:rPr>
              <w:t xml:space="preserve"> looking at results to avoid bias</w:t>
            </w:r>
          </w:p>
        </w:tc>
      </w:tr>
    </w:tbl>
    <w:p>
      <w:pPr>
        <w:pStyle w:val="Heading1"/>
      </w:pPr>
      <w:r>
        <w:t xml:space="preserve">3. Data processing — from raw events to model rows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What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Raw files are irregular event lists. The model needs </w:t>
            </w:r>
            <w:r>
              <w:rPr>
                <w:b/>
                <w:bCs/>
                <w:sz w:val="17"/>
                <w:szCs w:val="17"/>
              </w:rPr>
              <w:t xml:space="preserve">one row every 5 minutes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(1) 5-minute time grid. (2) Glucose at time t = latest reading at most 5 min old. (3) Short gaps filled by </w:t>
            </w:r>
            <w:r>
              <w:rPr>
                <w:b/>
                <w:bCs/>
                <w:sz w:val="17"/>
                <w:szCs w:val="17"/>
              </w:rPr>
              <w:t xml:space="preserve">forward fill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(last known value) for up to 30 min; longer gaps left empty. (4) Insulin and carbs summed per 5-min slot. (5) Build 47 features. (6) Target = glucose 6 steps (30 min) later.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Why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Forward fill uses only the past; interpolation uses the next reading (future).</w:t>
            </w:r>
            <w:r>
              <w:rPr>
                <w:b w:val="false"/>
                <w:bCs w:val="false"/>
                <w:sz w:val="17"/>
                <w:szCs w:val="17"/>
              </w:rPr>
              <w:t xml:space="preserve"> An earlier version used two-way interpolation and back-filled heart rate — that leaked the future, so we </w:t>
            </w:r>
            <w:r>
              <w:rPr>
                <w:b/>
                <w:bCs/>
                <w:sz w:val="17"/>
                <w:szCs w:val="17"/>
              </w:rPr>
              <w:t xml:space="preserve">replaced it</w:t>
            </w:r>
            <w:r>
              <w:rPr>
                <w:b w:val="false"/>
                <w:bCs w:val="false"/>
                <w:sz w:val="17"/>
                <w:szCs w:val="17"/>
              </w:rPr>
              <w:t xml:space="preserve">. The old results looked slightly better but were invalid and are not cited.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Checked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 targets are forward-filled values; scoring only rows with real readings at t and t+30 changes MARD 10.02 → 9.97 %, so this does not inflate results.</w:t>
            </w:r>
          </w:p>
        </w:tc>
      </w:tr>
    </w:tbl>
    <w:p>
      <w:pPr>
        <w:pStyle w:val="Heading1"/>
      </w:pPr>
      <w:r>
        <w:t xml:space="preserve">4. The 47 features (inputs to the model)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800"/>
        <w:gridCol w:w="3802"/>
        <w:gridCol w:w="3703"/>
      </w:tblGrid>
      <w:tr>
        <w:trPr>
          <w:tblHeader/>
        </w:trPr>
        <w:tc>
          <w:tcPr>
            <w:tcW w:type="dxa" w:w="19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8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38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  <w:tc>
          <w:tcPr>
            <w:tcW w:type="dxa" w:w="37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 values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glucose, bolus, carbs, heart_rate</w:t>
            </w:r>
          </w:p>
        </w:tc>
        <w:tc>
          <w:tcPr>
            <w:tcW w:type="dxa" w:w="37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 state (heart_rate is always empty — §8)</w:t>
            </w:r>
          </w:p>
        </w:tc>
      </w:tr>
      <w:tr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Insulin activity (iob)</w:t>
            </w:r>
          </w:p>
        </w:tc>
        <w:tc>
          <w:tcPr>
            <w:tcW w:type="dxa" w:w="8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Decaying sum of past boluses (4 h window)</w:t>
            </w:r>
          </w:p>
        </w:tc>
        <w:tc>
          <w:tcPr>
            <w:tcW w:type="dxa" w:w="37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Insulin given earlier is still acting (a proxy, not a medical IOB curve)</w:t>
            </w:r>
          </w:p>
        </w:tc>
      </w:tr>
      <w:tr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Trend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Change since last step and its change</w:t>
            </w:r>
          </w:p>
        </w:tc>
        <w:tc>
          <w:tcPr>
            <w:tcW w:type="dxa" w:w="37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 glucose rising/falling, speeding up?</w:t>
            </w:r>
          </w:p>
        </w:tc>
      </w:tr>
      <w:tr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30 min</w:t>
            </w:r>
          </w:p>
        </w:tc>
        <w:tc>
          <w:tcPr>
            <w:tcW w:type="dxa" w:w="8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Rolling mean and standard deviation</w:t>
            </w:r>
          </w:p>
        </w:tc>
        <w:tc>
          <w:tcPr>
            <w:tcW w:type="dxa" w:w="37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level and stability</w:t>
            </w:r>
          </w:p>
        </w:tc>
      </w:tr>
      <w:tr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hour sin / cos</w:t>
            </w:r>
          </w:p>
        </w:tc>
        <w:tc>
          <w:tcPr>
            <w:tcW w:type="dxa" w:w="37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 patterns (meals, dawn effect)</w:t>
            </w:r>
          </w:p>
        </w:tc>
      </w:tr>
      <w:tr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History (lags)</w:t>
            </w:r>
          </w:p>
        </w:tc>
        <w:tc>
          <w:tcPr>
            <w:tcW w:type="dxa" w:w="8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3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Glucose, trend and iob 5…60 min ago (12 each)</w:t>
            </w:r>
          </w:p>
        </w:tc>
        <w:tc>
          <w:tcPr>
            <w:tcW w:type="dxa" w:w="37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Gives the model memory of the last hour</w:t>
            </w:r>
          </w:p>
        </w:tc>
      </w:tr>
    </w:tbl>
    <w:p>
      <w:pPr>
        <w:spacing w:after="80"/>
      </w:pPr>
      <w:r>
        <w:rPr>
          <w:b w:val="false"/>
          <w:bCs w:val="false"/>
        </w:rPr>
        <w:t xml:space="preserve">All features look </w:t>
      </w:r>
      <w:r>
        <w:rPr>
          <w:b/>
          <w:bCs/>
        </w:rPr>
        <w:t xml:space="preserve">only backwards</w:t>
      </w:r>
      <w:r>
        <w:rPr>
          <w:b w:val="false"/>
          <w:bCs w:val="false"/>
        </w:rPr>
        <w:t xml:space="preserve">. Before the model: missing values → mean of the </w:t>
      </w:r>
      <w:r>
        <w:rPr>
          <w:b/>
          <w:bCs/>
        </w:rPr>
        <w:t xml:space="preserve">training</w:t>
      </w:r>
      <w:r>
        <w:rPr>
          <w:b w:val="false"/>
          <w:bCs w:val="false"/>
        </w:rPr>
        <w:t xml:space="preserve"> patients; then standard scaling fitted on </w:t>
      </w:r>
      <w:r>
        <w:rPr>
          <w:b/>
          <w:bCs/>
        </w:rPr>
        <w:t xml:space="preserve">training</w:t>
      </w:r>
      <w:r>
        <w:rPr>
          <w:b w:val="false"/>
          <w:bCs w:val="false"/>
        </w:rPr>
        <w:t xml:space="preserve"> patients only (never on test data).</w:t>
      </w:r>
    </w:p>
    <w:p>
      <w:pPr>
        <w:pStyle w:val="Heading1"/>
      </w:pPr>
      <w:r>
        <w:t xml:space="preserve">5. The models — 6 in total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4303"/>
        <w:gridCol w:w="4002"/>
      </w:tblGrid>
      <w:tr>
        <w:trPr>
          <w:tblHeader/>
        </w:trPr>
        <w:tc>
          <w:tcPr>
            <w:tcW w:type="dxa" w:w="19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43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40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we included it</w:t>
            </w:r>
          </w:p>
        </w:tc>
      </w:tr>
      <w:tr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Persistence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Says glucose in 30 min = glucose now</w:t>
            </w:r>
          </w:p>
        </w:tc>
        <w:tc>
          <w:tcPr>
            <w:tcW w:type="dxa" w:w="4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Baseline</w:t>
            </w:r>
            <w:r>
              <w:rPr>
                <w:b w:val="false"/>
                <w:bCs w:val="false"/>
                <w:sz w:val="17"/>
                <w:szCs w:val="17"/>
              </w:rPr>
              <w:t xml:space="preserve">: a real model must beat it</w:t>
            </w:r>
          </w:p>
        </w:tc>
      </w:tr>
      <w:tr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Ridge</w:t>
            </w:r>
          </w:p>
        </w:tc>
        <w:tc>
          <w:tcPr>
            <w:tcW w:type="dxa" w:w="43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Linear regression with a penalty</w:t>
            </w:r>
          </w:p>
        </w:tc>
        <w:tc>
          <w:tcPr>
            <w:tcW w:type="dxa" w:w="40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Simple, interpretable benchmark</w:t>
            </w:r>
          </w:p>
        </w:tc>
      </w:tr>
      <w:tr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Random Forest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Average of 50 decision trees</w:t>
            </w:r>
          </w:p>
        </w:tc>
        <w:tc>
          <w:tcPr>
            <w:tcW w:type="dxa" w:w="4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Non-linear, robust</w:t>
            </w:r>
          </w:p>
        </w:tc>
      </w:tr>
      <w:tr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MLP</w:t>
            </w:r>
          </w:p>
        </w:tc>
        <w:tc>
          <w:tcPr>
            <w:tcW w:type="dxa" w:w="43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 neural network (128, 64 neurons)</w:t>
            </w:r>
          </w:p>
        </w:tc>
        <w:tc>
          <w:tcPr>
            <w:tcW w:type="dxa" w:w="40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Neural-network comparison</w:t>
            </w:r>
          </w:p>
        </w:tc>
      </w:tr>
      <w:tr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</w:t>
            </w:r>
            <w:r>
              <w:rPr>
                <w:b/>
                <w:bCs/>
                <w:sz w:val="17"/>
                <w:szCs w:val="17"/>
              </w:rPr>
              <w:t xml:space="preserve">LightGBM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Gradient boosting: 150 trees built one after another, each fixing the previous errors</w:t>
            </w:r>
          </w:p>
        </w:tc>
        <w:tc>
          <w:tcPr>
            <w:tcW w:type="dxa" w:w="4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and fast for tabular data → </w:t>
            </w:r>
            <w:r>
              <w:rPr>
                <w:b/>
                <w:bCs/>
                <w:sz w:val="17"/>
                <w:szCs w:val="17"/>
              </w:rPr>
              <w:t xml:space="preserve">deployed model</w:t>
            </w:r>
          </w:p>
        </w:tc>
      </w:tr>
      <w:tr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 Stacking</w:t>
            </w:r>
          </w:p>
        </w:tc>
        <w:tc>
          <w:tcPr>
            <w:tcW w:type="dxa" w:w="43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Ridge + RF + LightGBM combined by a Ridge on top</w:t>
            </w:r>
          </w:p>
        </w:tc>
        <w:tc>
          <w:tcPr>
            <w:tcW w:type="dxa" w:w="40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Does combining models help?</w:t>
            </w:r>
          </w:p>
        </w:tc>
      </w:tr>
    </w:tbl>
    <w:p>
      <w:pPr>
        <w:spacing w:after="80"/>
      </w:pPr>
      <w:r>
        <w:rPr>
          <w:b w:val="false"/>
          <w:bCs w:val="false"/>
        </w:rPr>
        <w:t xml:space="preserve">Same 47 features and fixed settings for all (random seed 42). </w:t>
      </w:r>
      <w:r>
        <w:rPr>
          <w:b/>
          <w:bCs/>
        </w:rPr>
        <w:t xml:space="preserve">XGBoost</w:t>
      </w:r>
      <w:r>
        <w:rPr>
          <w:b w:val="false"/>
          <w:bCs w:val="false"/>
        </w:rPr>
        <w:t xml:space="preserve"> was only in early plans — never implemented or evaluated; no XGBoost result exists.</w:t>
      </w:r>
    </w:p>
    <w:p>
      <w:pPr>
        <w:pStyle w:val="Heading1"/>
      </w:pPr>
      <w:r>
        <w:t xml:space="preserve">6. Objective 1 — does it work on a new patient? (LOSO)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Leave-one-subject-out</w:t>
            </w:r>
            <w:r>
              <w:rPr>
                <w:b w:val="false"/>
                <w:bCs w:val="false"/>
                <w:sz w:val="17"/>
                <w:szCs w:val="17"/>
              </w:rPr>
              <w:t xml:space="preserve">: 12 rounds; each trains on 11 patients and tests on the 12th, which the model has never seen. Metrics per patient, then mean ± SD over 12 patients.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Why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random split would put near-identical neighbouring rows (5 min apart) in both train and test and let the model memorise each patient → falsely high accuracy. A real product meets </w:t>
            </w:r>
            <w:r>
              <w:rPr>
                <w:b/>
                <w:bCs/>
                <w:sz w:val="17"/>
                <w:szCs w:val="17"/>
              </w:rPr>
              <w:t xml:space="preserve">new</w:t>
            </w:r>
            <w:r>
              <w:rPr>
                <w:b w:val="false"/>
                <w:bCs w:val="false"/>
                <w:sz w:val="17"/>
                <w:szCs w:val="17"/>
              </w:rPr>
              <w:t xml:space="preserve"> users.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1"/>
        <w:gridCol w:w="2001"/>
        <w:gridCol w:w="2001"/>
        <w:gridCol w:w="1601"/>
        <w:gridCol w:w="2202"/>
      </w:tblGrid>
      <w:tr>
        <w:trPr>
          <w:tblHeader/>
        </w:trPr>
        <w:tc>
          <w:tcPr>
            <w:tcW w:type="dxa" w:w="24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0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MARD % ↓</w:t>
            </w:r>
          </w:p>
        </w:tc>
        <w:tc>
          <w:tcPr>
            <w:tcW w:type="dxa" w:w="20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 mg/dL ↓</w:t>
            </w:r>
          </w:p>
        </w:tc>
        <w:tc>
          <w:tcPr>
            <w:tcW w:type="dxa" w:w="16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R² ↑</w:t>
            </w:r>
          </w:p>
        </w:tc>
        <w:tc>
          <w:tcPr>
            <w:tcW w:type="dxa" w:w="22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Clarke A+B %</w:t>
            </w:r>
          </w:p>
        </w:tc>
      </w:tr>
      <w:tr>
        <w:tc>
          <w:tcPr>
            <w:tcW w:type="dxa" w:w="24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Stacking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10.03 ± 1.54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20.42</w:t>
            </w:r>
          </w:p>
        </w:tc>
        <w:tc>
          <w:tcPr>
            <w:tcW w:type="dxa" w:w="16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0.874</w:t>
            </w:r>
          </w:p>
        </w:tc>
        <w:tc>
          <w:tcPr>
            <w:tcW w:type="dxa" w:w="2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98.1</w:t>
            </w:r>
          </w:p>
        </w:tc>
      </w:tr>
      <w:tr>
        <w:tc>
          <w:tcPr>
            <w:tcW w:type="dxa" w:w="24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MLP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10.03 ± 1.45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20.53</w:t>
            </w:r>
          </w:p>
        </w:tc>
        <w:tc>
          <w:tcPr>
            <w:tcW w:type="dxa" w:w="16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0.873</w:t>
            </w:r>
          </w:p>
        </w:tc>
        <w:tc>
          <w:tcPr>
            <w:tcW w:type="dxa" w:w="2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98.2</w:t>
            </w:r>
          </w:p>
        </w:tc>
      </w:tr>
      <w:tr>
        <w:tc>
          <w:tcPr>
            <w:tcW w:type="dxa" w:w="24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LightGBM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10.03 ± 1.52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20.33 ± 2.66</w:t>
            </w:r>
          </w:p>
        </w:tc>
        <w:tc>
          <w:tcPr>
            <w:tcW w:type="dxa" w:w="16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0.875</w:t>
            </w:r>
          </w:p>
        </w:tc>
        <w:tc>
          <w:tcPr>
            <w:tcW w:type="dxa" w:w="2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98.0</w:t>
            </w:r>
          </w:p>
        </w:tc>
      </w:tr>
      <w:tr>
        <w:tc>
          <w:tcPr>
            <w:tcW w:type="dxa" w:w="24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Random Forest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10.13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20.58</w:t>
            </w:r>
          </w:p>
        </w:tc>
        <w:tc>
          <w:tcPr>
            <w:tcW w:type="dxa" w:w="16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0.872</w:t>
            </w:r>
          </w:p>
        </w:tc>
        <w:tc>
          <w:tcPr>
            <w:tcW w:type="dxa" w:w="2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98.0</w:t>
            </w:r>
          </w:p>
        </w:tc>
      </w:tr>
      <w:tr>
        <w:tc>
          <w:tcPr>
            <w:tcW w:type="dxa" w:w="24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Ridge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10.70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21.66</w:t>
            </w:r>
          </w:p>
        </w:tc>
        <w:tc>
          <w:tcPr>
            <w:tcW w:type="dxa" w:w="16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0.859</w:t>
            </w:r>
          </w:p>
        </w:tc>
        <w:tc>
          <w:tcPr>
            <w:tcW w:type="dxa" w:w="2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98.4</w:t>
            </w:r>
          </w:p>
        </w:tc>
      </w:tr>
      <w:tr>
        <w:tc>
          <w:tcPr>
            <w:tcW w:type="dxa" w:w="24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12.11 ± 1.92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24.82</w:t>
            </w:r>
          </w:p>
        </w:tc>
        <w:tc>
          <w:tcPr>
            <w:tcW w:type="dxa" w:w="16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0.814</w:t>
            </w:r>
          </w:p>
        </w:tc>
        <w:tc>
          <w:tcPr>
            <w:tcW w:type="dxa" w:w="2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98.6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Found:</w:t>
      </w:r>
      <w:r>
        <w:rPr>
          <w:b w:val="false"/>
          <w:bCs w:val="false"/>
        </w:rPr>
        <w:t xml:space="preserve"> every model beats Persistence for </w:t>
      </w:r>
      <w:r>
        <w:rPr>
          <w:b/>
          <w:bCs/>
        </w:rPr>
        <w:t xml:space="preserve">all 12 patients</w:t>
      </w:r>
      <w:r>
        <w:rPr>
          <w:b w:val="false"/>
          <w:bCs w:val="false"/>
        </w:rPr>
        <w:t xml:space="preserve">; LightGBM improves MARD by </w:t>
      </w:r>
      <w:r>
        <w:rPr>
          <w:b/>
          <w:bCs/>
        </w:rPr>
        <w:t xml:space="preserve">2.08 points</w:t>
      </w:r>
      <w:r>
        <w:rPr>
          <w:b w:val="false"/>
          <w:bCs w:val="false"/>
        </w:rPr>
        <w:t xml:space="preserve"> (p = 0.0005).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LightGBM, Stacking and MLP are </w:t>
      </w:r>
      <w:r>
        <w:rPr>
          <w:b/>
          <w:bCs/>
        </w:rPr>
        <w:t xml:space="preserve">tied</w:t>
      </w:r>
      <w:r>
        <w:rPr>
          <w:b w:val="false"/>
          <w:bCs w:val="false"/>
        </w:rPr>
        <w:t xml:space="preserve"> on MARD (difference 0.004, p = 0.97). LightGBM chosen because it is tied on MARD, best on RMSE/R², and a single simple model to deploy —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because it had the best MARD.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Persistence has the highest Clarke A+B and already R² 0.81 → those two metrics alone don't prove a model is better; MARD and RMSE do.</w:t>
      </w:r>
    </w:p>
    <w:p>
      <w:pPr>
        <w:pStyle w:val="Heading1"/>
      </w:pPr>
      <w:r>
        <w:t xml:space="preserve">7. Objective 2 — does the patient's own data help? (Personalization)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from the population model (other 11 patients). Add the first P % of the patient's own data (P = 5, 10, 20, 30, 50 % ≈ 2.4 to 24 days) by continuing LightGBM training. </w:t>
            </w:r>
            <w:r>
              <w:rPr>
                <w:b/>
                <w:bCs/>
                <w:sz w:val="17"/>
                <w:szCs w:val="17"/>
              </w:rPr>
              <w:t xml:space="preserve">Always test on the same last 50 %</w:t>
            </w:r>
            <w:r>
              <w:rPr>
                <w:b w:val="false"/>
                <w:bCs w:val="false"/>
                <w:sz w:val="17"/>
                <w:szCs w:val="17"/>
              </w:rPr>
              <w:t xml:space="preserve"> of that patient (checked: no overlap).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Why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Real users build up history over time; this tests whether a model can adapt to an individual.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Found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LightGBM MARD 9.83 % (no own data) → 9.66 % (20 %, p = 0.04) → 9.63 % (50 %, p = 0.01). 5–10 % gave no gain. </w:t>
            </w:r>
            <w:r>
              <w:rPr>
                <w:b/>
                <w:bCs/>
                <w:sz w:val="17"/>
                <w:szCs w:val="17"/>
              </w:rPr>
              <w:t xml:space="preserve">Small but consistent improvement (~0.2 points, ~2 %) after ~10 days of data.</w:t>
            </w:r>
            <w:r>
              <w:rPr>
                <w:b w:val="false"/>
                <w:bCs w:val="false"/>
                <w:sz w:val="17"/>
                <w:szCs w:val="17"/>
              </w:rPr>
              <w:t xml:space="preserve"> Ridge: no significant gain.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Caveat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adaptation recipe differs for P ≤ 10 % and P ≥ 20 %; do not claim a large gain.</w:t>
            </w:r>
          </w:p>
        </w:tc>
      </w:tr>
    </w:tbl>
    <w:p>
      <w:pPr>
        <w:pStyle w:val="Heading1"/>
      </w:pPr>
      <w:r>
        <w:t xml:space="preserve">8. Objective 3 — does it work on a different dataset? (HUPA-UCM)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OhioT1DM-trained models applied to HUPA-UCM </w:t>
            </w:r>
            <w:r>
              <w:rPr>
                <w:b/>
                <w:bCs/>
                <w:sz w:val="17"/>
                <w:szCs w:val="17"/>
              </w:rPr>
              <w:t xml:space="preserve">without any retraining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. Same causal processing; only points with a real reading at t and t+30 are scored.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Why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 on the training dataset alone can hide dataset-specific behaviour; a new sensor and population show what really transfers.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1"/>
        <w:gridCol w:w="2001"/>
        <w:gridCol w:w="2702"/>
        <w:gridCol w:w="3202"/>
      </w:tblGrid>
      <w:tr>
        <w:trPr>
          <w:tblHeader/>
        </w:trPr>
        <w:tc>
          <w:tcPr>
            <w:tcW w:type="dxa" w:w="23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0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Ohio MARD %</w:t>
            </w:r>
          </w:p>
        </w:tc>
        <w:tc>
          <w:tcPr>
            <w:tcW w:type="dxa" w:w="27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HUPA MARD % (19 pts)</w:t>
            </w:r>
          </w:p>
        </w:tc>
        <w:tc>
          <w:tcPr>
            <w:tcW w:type="dxa" w:w="32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Beats Persistence on HUPA?</w:t>
            </w:r>
          </w:p>
        </w:tc>
      </w:tr>
      <w:tr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12.11</w:t>
            </w:r>
          </w:p>
        </w:tc>
        <w:tc>
          <w:tcPr>
            <w:tcW w:type="dxa" w:w="27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13.03</w:t>
            </w:r>
          </w:p>
        </w:tc>
        <w:tc>
          <w:tcPr>
            <w:tcW w:type="dxa" w:w="3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Ridge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10.70</w:t>
            </w:r>
          </w:p>
        </w:tc>
        <w:tc>
          <w:tcPr>
            <w:tcW w:type="dxa" w:w="27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12.22</w:t>
            </w:r>
            <w:r>
              <w:rPr>
                <w:b w:val="false"/>
                <w:bCs w:val="false"/>
                <w:sz w:val="17"/>
                <w:szCs w:val="17"/>
              </w:rPr>
              <w:t xml:space="preserve"> (best)</w:t>
            </w:r>
          </w:p>
        </w:tc>
        <w:tc>
          <w:tcPr>
            <w:tcW w:type="dxa" w:w="3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(13/19, p = 0.036)</w:t>
            </w:r>
          </w:p>
        </w:tc>
      </w:tr>
      <w:tr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Stacking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10.03</w:t>
            </w:r>
          </w:p>
        </w:tc>
        <w:tc>
          <w:tcPr>
            <w:tcW w:type="dxa" w:w="27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12.83</w:t>
            </w:r>
          </w:p>
        </w:tc>
        <w:tc>
          <w:tcPr>
            <w:tcW w:type="dxa" w:w="3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significant</w:t>
            </w:r>
          </w:p>
        </w:tc>
      </w:tr>
      <w:tr>
        <w:tc>
          <w:tcPr>
            <w:tcW w:type="dxa" w:w="23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LightGBM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10.03</w:t>
            </w:r>
          </w:p>
        </w:tc>
        <w:tc>
          <w:tcPr>
            <w:tcW w:type="dxa" w:w="27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13.38</w:t>
            </w:r>
          </w:p>
        </w:tc>
        <w:tc>
          <w:tcPr>
            <w:tcW w:type="dxa" w:w="3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b w:val="false"/>
                <w:bCs w:val="false"/>
                <w:sz w:val="17"/>
                <w:szCs w:val="17"/>
              </w:rPr>
              <w:t xml:space="preserve"> (10/19, p = 0.95)</w:t>
            </w:r>
          </w:p>
        </w:tc>
      </w:tr>
      <w:tr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Random Forest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10.13</w:t>
            </w:r>
          </w:p>
        </w:tc>
        <w:tc>
          <w:tcPr>
            <w:tcW w:type="dxa" w:w="27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13.24</w:t>
            </w:r>
          </w:p>
        </w:tc>
        <w:tc>
          <w:tcPr>
            <w:tcW w:type="dxa" w:w="3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3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MLP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10.03</w:t>
            </w:r>
          </w:p>
        </w:tc>
        <w:tc>
          <w:tcPr>
            <w:tcW w:type="dxa" w:w="27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14.21</w:t>
            </w:r>
          </w:p>
        </w:tc>
        <w:tc>
          <w:tcPr>
            <w:tcW w:type="dxa" w:w="3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Worse than Persistence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Found:</w:t>
      </w:r>
      <w:r>
        <w:rPr>
          <w:b w:val="false"/>
          <w:bCs w:val="false"/>
        </w:rPr>
        <w:t xml:space="preserve"> accuracy drops ~3 points; LightGBM does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beat Persistence on HUPA; the simple Ridge transfers best.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Why the drop (measured):</w:t>
      </w:r>
      <w:r>
        <w:rPr>
          <w:b w:val="false"/>
          <w:bCs w:val="false"/>
        </w:rPr>
        <w:t xml:space="preserve"> of the 3.35-point gap, </w:t>
      </w:r>
      <w:r>
        <w:rPr>
          <w:b/>
          <w:bCs/>
        </w:rPr>
        <w:t xml:space="preserve">1.59</w:t>
      </w:r>
      <w:r>
        <w:rPr>
          <w:b w:val="false"/>
          <w:bCs w:val="false"/>
        </w:rPr>
        <w:t xml:space="preserve"> comes from 15-minute sampling (we simulated it on OhioT1DM), ~0 from the scoring rule, </w:t>
      </w:r>
      <w:r>
        <w:rPr>
          <w:b/>
          <w:bCs/>
        </w:rPr>
        <w:t xml:space="preserve">1.81</w:t>
      </w:r>
      <w:r>
        <w:rPr>
          <w:b w:val="false"/>
          <w:bCs w:val="false"/>
        </w:rPr>
        <w:t xml:space="preserve"> remains (different people/device).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Meaning:</w:t>
      </w:r>
      <w:r>
        <w:rPr>
          <w:b w:val="false"/>
          <w:bCs w:val="false"/>
        </w:rPr>
        <w:t xml:space="preserve"> the pipeline transfers without retraining, but this does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prove clinical generalization or superiority on a new population.</w:t>
      </w:r>
    </w:p>
    <w:p>
      <w:pPr>
        <w:pStyle w:val="Heading1"/>
      </w:pPr>
      <w:r>
        <w:t xml:space="preserve">9. Extra checks we did (and why)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802"/>
        <w:gridCol w:w="5203"/>
      </w:tblGrid>
      <w:tr>
        <w:trPr>
          <w:tblHeader/>
        </w:trPr>
        <w:tc>
          <w:tcPr>
            <w:tcW w:type="dxa" w:w="22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28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we did it</w:t>
            </w:r>
          </w:p>
        </w:tc>
        <w:tc>
          <w:tcPr>
            <w:tcW w:type="dxa" w:w="52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we found</w:t>
            </w:r>
          </w:p>
        </w:tc>
      </w:tr>
      <w:tr>
        <w:tc>
          <w:tcPr>
            <w:tcW w:type="dxa" w:w="22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Accuracy by glucose range</w:t>
            </w:r>
          </w:p>
        </w:tc>
        <w:tc>
          <w:tcPr>
            <w:tcW w:type="dxa" w:w="2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Average MARD can hide danger zones</w:t>
            </w:r>
          </w:p>
        </w:tc>
        <w:tc>
          <w:tcPr>
            <w:tcW w:type="dxa" w:w="5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 in 70–180 and &gt;180; </w:t>
            </w:r>
            <w:r>
              <w:rPr>
                <w:b/>
                <w:bCs/>
                <w:sz w:val="17"/>
                <w:szCs w:val="17"/>
              </w:rPr>
              <w:t xml:space="preserve">poor below 70 mg/dL: 33.1 % vs 24.0 % for Persistence</w:t>
            </w:r>
          </w:p>
        </w:tc>
      </w:tr>
      <w:tr>
        <w:tc>
          <w:tcPr>
            <w:tcW w:type="dxa" w:w="22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Low-glucose alert test</w:t>
            </w:r>
          </w:p>
        </w:tc>
        <w:tc>
          <w:tcPr>
            <w:tcW w:type="dxa" w:w="2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Could it warn of hypos?</w:t>
            </w:r>
          </w:p>
        </w:tc>
        <w:tc>
          <w:tcPr>
            <w:tcW w:type="dxa" w:w="52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LightGBM caught only 23 % of 419 low episodes (6 % with 15-min warning) → </w:t>
            </w:r>
            <w:r>
              <w:rPr>
                <w:b/>
                <w:bCs/>
                <w:sz w:val="17"/>
                <w:szCs w:val="17"/>
              </w:rPr>
              <w:t xml:space="preserve">not suitable for alerts</w:t>
            </w:r>
          </w:p>
        </w:tc>
      </w:tr>
      <w:tr>
        <w:tc>
          <w:tcPr>
            <w:tcW w:type="dxa" w:w="22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Event-bucketing audit</w:t>
            </w:r>
          </w:p>
        </w:tc>
        <w:tc>
          <w:tcPr>
            <w:tcW w:type="dxa" w:w="2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Look for any hidden future information</w:t>
            </w:r>
          </w:p>
        </w:tc>
        <w:tc>
          <w:tcPr>
            <w:tcW w:type="dxa" w:w="5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Insulin/meal events rounded down to the 5-min slot can be up to 4:59 'early' on </w:t>
            </w:r>
            <w:r>
              <w:rPr>
                <w:b/>
                <w:bCs/>
                <w:sz w:val="17"/>
                <w:szCs w:val="17"/>
              </w:rPr>
              <w:t xml:space="preserve">2.3 %</w:t>
            </w:r>
            <w:r>
              <w:rPr>
                <w:b w:val="false"/>
                <w:bCs w:val="false"/>
                <w:sz w:val="17"/>
                <w:szCs w:val="17"/>
              </w:rPr>
              <w:t xml:space="preserve"> of rows; effect MARD 9.628 vs 9.631 = negligible. Disclosed; backend is strictly causal</w:t>
            </w:r>
          </w:p>
        </w:tc>
      </w:tr>
      <w:tr>
        <w:tc>
          <w:tcPr>
            <w:tcW w:type="dxa" w:w="22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Heart-rate check</w:t>
            </w:r>
          </w:p>
        </w:tc>
        <w:tc>
          <w:tcPr>
            <w:tcW w:type="dxa" w:w="2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Was HR really used?</w:t>
            </w:r>
          </w:p>
        </w:tc>
        <w:tc>
          <w:tcPr>
            <w:tcW w:type="dxa" w:w="52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Parser looked for the wrong tag (heart_rate vs basis_heart_rate) → HR </w:t>
            </w:r>
            <w:r>
              <w:rPr>
                <w:b/>
                <w:bCs/>
                <w:sz w:val="17"/>
                <w:szCs w:val="17"/>
              </w:rPr>
              <w:t xml:space="preserve">100 % missing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, contributed nothing. Disclosed as limitation</w:t>
            </w:r>
          </w:p>
        </w:tc>
      </w:tr>
      <w:tr>
        <w:tc>
          <w:tcPr>
            <w:tcW w:type="dxa" w:w="22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Reproducibility</w:t>
            </w:r>
          </w:p>
        </w:tc>
        <w:tc>
          <w:tcPr>
            <w:tcW w:type="dxa" w:w="2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 results be rebuilt?</w:t>
            </w:r>
          </w:p>
        </w:tc>
        <w:tc>
          <w:tcPr>
            <w:tcW w:type="dxa" w:w="5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Retraining reproduced Ridge exactly and LightGBM within 0.012 MARD; versions recorded</w:t>
            </w:r>
          </w:p>
        </w:tc>
      </w:tr>
    </w:tbl>
    <w:p>
      <w:pPr>
        <w:pStyle w:val="Heading1"/>
      </w:pPr>
      <w:r>
        <w:t xml:space="preserve">10. Deployment — the backend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What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FastAPI service with 7 endpoints: health, model info, synthetic demo patients, demo forecast, and </w:t>
            </w:r>
            <w:r>
              <w:rPr>
                <w:b/>
                <w:bCs/>
                <w:sz w:val="17"/>
                <w:szCs w:val="17"/>
              </w:rPr>
              <w:t xml:space="preserve">upload forecast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(OhioT1DM XML, FreeStyle Libre/HUPA-UCM export, or a simple CSV: timestamp, glucose, bolus, carbs).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 reuses the </w:t>
            </w:r>
            <w:r>
              <w:rPr>
                <w:b/>
                <w:bCs/>
                <w:sz w:val="17"/>
                <w:szCs w:val="17"/>
              </w:rPr>
              <w:t xml:space="preserve">unchanged research code</w:t>
            </w:r>
            <w:r>
              <w:rPr>
                <w:b w:val="false"/>
                <w:bCs w:val="false"/>
                <w:sz w:val="17"/>
                <w:szCs w:val="17"/>
              </w:rPr>
              <w:t xml:space="preserve"> and saved files (LightGBM + imputer + scaler + feature list), removes every event after the prediction time, and returns one forecast for t + 30 min. Not recursive.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Why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 avoid 'training-serving skew' (app giving different answers than the research). Verified: </w:t>
            </w:r>
            <w:r>
              <w:rPr>
                <w:b/>
                <w:bCs/>
                <w:sz w:val="17"/>
                <w:szCs w:val="17"/>
              </w:rPr>
              <w:t xml:space="preserve">bit-identical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to the research pipeline on 828 predictions.</w:t>
            </w:r>
          </w:p>
        </w:tc>
      </w:tr>
      <w:t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Safety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File hashes checked before loading, input validation, no data stored or logged, rate limits, size limits, </w:t>
            </w:r>
            <w:r>
              <w:rPr>
                <w:b/>
                <w:bCs/>
                <w:sz w:val="17"/>
                <w:szCs w:val="17"/>
              </w:rPr>
              <w:t xml:space="preserve">256 automated tests pass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(including causality tests). Does not read PDFs/images/medical records.</w:t>
            </w:r>
          </w:p>
        </w:tc>
      </w:tr>
    </w:tbl>
    <w:p>
      <w:pPr>
        <w:pStyle w:val="Heading1"/>
      </w:pPr>
      <w:r>
        <w:t xml:space="preserve">11. Limitations (say these yourself) and future work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Limitation</w:t>
            </w:r>
          </w:p>
        </w:tc>
        <w:tc>
          <w:tcPr>
            <w:tcW w:type="dxa" w:w="51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Future work</w:t>
            </w:r>
          </w:p>
        </w:tc>
      </w:tr>
      <w:tr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12 training patients, one CGM type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Larger, more diverse datasets</w:t>
            </w:r>
          </w:p>
        </w:tc>
      </w:tr>
      <w:tr>
        <w:tc>
          <w:tcPr>
            <w:tcW w:type="dxa" w:w="51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Weak below 70 mg/dL; no hypo alerts</w:t>
            </w:r>
          </w:p>
        </w:tc>
        <w:tc>
          <w:tcPr>
            <w:tcW w:type="dxa" w:w="51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Low-range weighting or a dedicated model</w:t>
            </w:r>
          </w:p>
        </w:tc>
      </w:tr>
      <w:tr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gain over Persistence on HUPA (15-min data)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 with 15-minute data for Libre users</w:t>
            </w:r>
          </w:p>
        </w:tc>
      </w:tr>
      <w:tr>
        <w:tc>
          <w:tcPr>
            <w:tcW w:type="dxa" w:w="51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Heart rate not used (tag mapping)</w:t>
            </w:r>
          </w:p>
        </w:tc>
        <w:tc>
          <w:tcPr>
            <w:tcW w:type="dxa" w:w="51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Map basis_heart_rate and test it</w:t>
            </w:r>
          </w:p>
        </w:tc>
      </w:tr>
      <w:tr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iob is a simple proxy; settings not tuned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Physiological insulin model; nested tuning</w:t>
            </w:r>
          </w:p>
        </w:tc>
      </w:tr>
      <w:tr>
        <w:tc>
          <w:tcPr>
            <w:tcW w:type="dxa" w:w="51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 event-bucketing look-ahead in research (2.3 %)</w:t>
            </w:r>
          </w:p>
        </w:tc>
        <w:tc>
          <w:tcPr>
            <w:tcW w:type="dxa" w:w="51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Fix at source and rerun</w:t>
            </w:r>
          </w:p>
        </w:tc>
      </w:tr>
    </w:tbl>
    <w:p>
      <w:pPr>
        <w:pStyle w:val="Heading1"/>
      </w:pPr>
      <w:r>
        <w:t xml:space="preserve">12. Key numbers to remember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1"/>
        <w:gridCol w:w="3302"/>
        <w:gridCol w:w="2001"/>
        <w:gridCol w:w="2902"/>
      </w:tblGrid>
      <w:tr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Horizon / grid</w:t>
            </w:r>
          </w:p>
        </w:tc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 min / 5 min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Models / features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 / 47</w:t>
            </w:r>
          </w:p>
        </w:tc>
      </w:tr>
      <w:tr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LightGBM (Ohio, LOSO)</w:t>
            </w:r>
          </w:p>
        </w:tc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MARD 10.03 %, RMSE 20.33, R² 0.875, A+B 98.0 %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vs Persistence</w:t>
            </w:r>
          </w:p>
        </w:tc>
        <w:tc>
          <w:tcPr>
            <w:tcW w:type="dxa" w:w="29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−2.08 MARD, 12/12 patients</w:t>
            </w:r>
          </w:p>
        </w:tc>
      </w:tr>
      <w:tr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Personalization</w:t>
            </w:r>
          </w:p>
        </w:tc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−0.2 MARD after ~10 days</w:t>
            </w:r>
          </w:p>
        </w:tc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HUPA LightGBM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13.38 % (Persistence 13.03 %)</w:t>
            </w:r>
          </w:p>
        </w:tc>
      </w:tr>
      <w:tr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70 mg/dL</w:t>
            </w:r>
          </w:p>
        </w:tc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33.1 % vs 24.0 %</w:t>
            </w:r>
          </w:p>
        </w:tc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Tests / deployed version</w:t>
            </w:r>
          </w:p>
        </w:tc>
        <w:tc>
          <w:tcPr>
            <w:tcW w:type="dxa" w:w="29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256 passed / cd7e2d54f5b4</w:t>
            </w:r>
          </w:p>
        </w:tc>
      </w:tr>
    </w:tbl>
    <w:p>
      <w:pPr>
        <w:spacing w:after="80"/>
      </w:pPr>
      <w:r>
        <w:rPr>
          <w:b/>
          <w:bCs/>
          <w:sz w:val="19"/>
          <w:szCs w:val="19"/>
        </w:rPr>
        <w:t xml:space="preserve">Strongest contribution:</w:t>
      </w:r>
      <w:r>
        <w:rPr>
          <w:b w:val="false"/>
          <w:bCs w:val="false"/>
          <w:sz w:val="19"/>
          <w:szCs w:val="19"/>
        </w:rPr>
        <w:t xml:space="preserve"> subject-independent evaluation + causal design + external transfer test + personalization analysis + reproducible deployment — not clinical readiness or state-of-the-art accuracy.</w:t>
      </w: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Glucose forecasting — compact summary —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80" w:before="20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Glucose Forecasting — Compact Summary</dc:title>
  <dc:creator>Glucose forecasting project</dc:creator>
  <cp:lastModifiedBy>Un-named</cp:lastModifiedBy>
  <cp:revision>1</cp:revision>
  <dcterms:created xsi:type="dcterms:W3CDTF">2026-10-07T07:09:20.278Z</dcterms:created>
  <dcterms:modified xsi:type="dcterms:W3CDTF">2026-10-07T07:09:20.279Z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