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PRODUCT REFINEMENT BRIEF</w:t>
      </w:r>
    </w:p>
    <w:p>
      <w:pPr>
        <w:pStyle w:val="Title"/>
        <w:spacing w:before="1400"/>
      </w:pPr>
      <w:r>
        <w:t>Hour of AI Platform</w:t>
      </w:r>
    </w:p>
    <w:p>
      <w:pPr>
        <w:pStyle w:val="Subtitle"/>
        <w:spacing w:after="480"/>
      </w:pPr>
      <w:r>
        <w:t>Clarifying Sessions, Classes, Programmes and Role-Based Actions</w:t>
      </w:r>
    </w:p>
    <w:tbl>
      <w:tblPr>
        <w:tblW w:type="auto" w:w="0"/>
        <w:tblLayout w:type="fixed"/>
        <w:tblLook w:firstColumn="1" w:firstRow="1" w:lastColumn="0" w:lastRow="0" w:noHBand="0" w:noVBand="1" w:val="04A0"/>
      </w:tblPr>
      <w:tblGrid>
        <w:gridCol w:w="9576"/>
      </w:tblGrid>
      <w:tr>
        <w:tc>
          <w:tcPr>
            <w:tcW w:type="dxa" w:w="9936"/>
            <w:shd w:fill="E6F4ED"/>
            <w:tcMar>
              <w:top w:w="150" w:type="dxa"/>
              <w:start w:w="180" w:type="dxa"/>
              <w:bottom w:w="150" w:type="dxa"/>
              <w:end w:w="180" w:type="dxa"/>
            </w:tcMar>
            <w:vAlign w:val="center"/>
          </w:tcPr>
          <w:p>
            <w:pPr>
              <w:pStyle w:val="Callout"/>
              <w:keepLines/>
              <w:spacing w:after="0"/>
            </w:pPr>
            <w:r>
              <w:rPr>
                <w:b/>
              </w:rPr>
              <w:t xml:space="preserve">Core outcome: </w:t>
            </w:r>
            <w:r>
              <w:rPr>
                <w:b w:val="0"/>
              </w:rPr>
              <w:t>The interface now distinguishes what users are viewing from what they are allowed to manage. Sessions represent dated events, classes represent recurring learning groups, and programmes represent a different relationship for parents, volunteers and hubs.</w:t>
            </w:r>
          </w:p>
        </w:tc>
      </w:tr>
    </w:tbl>
    <w:p>
      <w:pPr>
        <w:spacing w:after="20"/>
      </w:pPr>
    </w:p>
    <w:p>
      <w:pPr>
        <w:pStyle w:val="Subtitle"/>
      </w:pPr>
      <w:r>
        <w:t>Prepared for product presentation and stakeholder review</w:t>
      </w:r>
    </w:p>
    <w:p>
      <w:pPr>
        <w:pStyle w:val="Subtitle"/>
      </w:pPr>
      <w:r>
        <w:t>June 2026</w:t>
      </w:r>
    </w:p>
    <w:p>
      <w:r>
        <w:br w:type="page"/>
      </w:r>
    </w:p>
    <w:p>
      <w:pPr>
        <w:pStyle w:val="Heading1"/>
      </w:pPr>
      <w:r>
        <w:t>1. Executive Summary</w:t>
      </w:r>
    </w:p>
    <w:p>
      <w:r>
        <w:t>The original parent and hub dashboards reused labels, routes and actions across concepts that were operationally different. This made the interface look complete while leaving key questions unanswered: Was a user viewing a class or a session? What did enrolment mean for a hub? Could a volunteer approve themselves for a programme? Which child was actually enrolled?</w:t>
      </w:r>
    </w:p>
    <w:p>
      <w:r>
        <w:t>The refinement work reorganised the experience around three product principles:</w:t>
      </w:r>
    </w:p>
    <w:p>
      <w:pPr>
        <w:pStyle w:val="ListNumber"/>
      </w:pPr>
      <w:r>
        <w:t>Use routes and labels that match the object being viewed.</w:t>
      </w:r>
    </w:p>
    <w:p>
      <w:pPr>
        <w:pStyle w:val="ListNumber"/>
      </w:pPr>
      <w:r>
        <w:t>Separate recurring structures (classes) from dated events (sessions).</w:t>
      </w:r>
    </w:p>
    <w:p>
      <w:pPr>
        <w:pStyle w:val="ListNumber"/>
      </w:pPr>
      <w:r>
        <w:t>Make programme actions role-specific instead of treating every account as generically enrolled.</w:t>
      </w:r>
    </w:p>
    <w:tbl>
      <w:tblPr>
        <w:tblW w:type="auto" w:w="0"/>
        <w:tblLayout w:type="fixed"/>
        <w:tblLook w:firstColumn="1" w:firstRow="1" w:lastColumn="0" w:lastRow="0" w:noHBand="0" w:noVBand="1" w:val="04A0"/>
      </w:tblPr>
      <w:tblGrid>
        <w:gridCol w:w="9576"/>
      </w:tblGrid>
      <w:tr>
        <w:tc>
          <w:tcPr>
            <w:tcW w:type="dxa" w:w="9936"/>
            <w:shd w:fill="E6F4ED"/>
            <w:tcMar>
              <w:top w:w="150" w:type="dxa"/>
              <w:start w:w="180" w:type="dxa"/>
              <w:bottom w:w="150" w:type="dxa"/>
              <w:end w:w="180" w:type="dxa"/>
            </w:tcMar>
            <w:vAlign w:val="center"/>
          </w:tcPr>
          <w:p>
            <w:pPr>
              <w:pStyle w:val="Callout"/>
              <w:keepLines/>
              <w:spacing w:after="0"/>
            </w:pPr>
            <w:r>
              <w:rPr>
                <w:b/>
              </w:rPr>
              <w:t xml:space="preserve">Presentation thesis: </w:t>
            </w:r>
            <w:r>
              <w:rPr>
                <w:b w:val="0"/>
              </w:rPr>
              <w:t>The work is not simply a visual redesign. It is a correction of the platform's information architecture and role permissions.</w:t>
            </w:r>
          </w:p>
        </w:tc>
      </w:tr>
    </w:tbl>
    <w:p>
      <w:pPr>
        <w:spacing w:after="20"/>
      </w:pPr>
    </w:p>
    <w:p>
      <w:pPr>
        <w:pStyle w:val="Heading2"/>
      </w:pPr>
      <w:r>
        <w:t>What Was Implemented</w:t>
      </w:r>
    </w:p>
    <w:p>
      <w:pPr>
        <w:pStyle w:val="ListBullet"/>
      </w:pPr>
      <w:r>
        <w:t>Session-first routes and labels for parent and hub schedules.</w:t>
      </w:r>
    </w:p>
    <w:p>
      <w:pPr>
        <w:pStyle w:val="ListBullet"/>
      </w:pPr>
      <w:r>
        <w:t>Backward-compatible redirects from older /classes schedule URLs.</w:t>
      </w:r>
    </w:p>
    <w:p>
      <w:pPr>
        <w:pStyle w:val="ListBullet"/>
      </w:pPr>
      <w:r>
        <w:t>Class-level cards and details for hub administrators, aligned with volunteer class information.</w:t>
      </w:r>
    </w:p>
    <w:p>
      <w:pPr>
        <w:pStyle w:val="ListBullet"/>
      </w:pPr>
      <w:r>
        <w:t>Overview links that open a filtered and highlighted session instead of repeating a thin details page.</w:t>
      </w:r>
    </w:p>
    <w:p>
      <w:pPr>
        <w:pStyle w:val="ListBullet"/>
      </w:pPr>
      <w:r>
        <w:t>Distinct Programme dashboards for parents, volunteers and hub administrators.</w:t>
      </w:r>
    </w:p>
    <w:p>
      <w:pPr>
        <w:pStyle w:val="ListBullet"/>
      </w:pPr>
      <w:r>
        <w:t>An editable hub operational profile used as readiness context for programme requests.</w:t>
      </w:r>
    </w:p>
    <w:p>
      <w:pPr>
        <w:pStyle w:val="Heading1"/>
      </w:pPr>
      <w:r>
        <w:t>2. The Structural Problem</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232"/>
            <w:shd w:fill="0B6B3A"/>
            <w:vAlign w:val="center"/>
            <w:tcMar>
              <w:top w:w="100" w:type="dxa"/>
              <w:start w:w="120" w:type="dxa"/>
              <w:bottom w:w="100" w:type="dxa"/>
              <w:end w:w="120" w:type="dxa"/>
            </w:tcMar>
          </w:tcPr>
          <w:p>
            <w:pPr>
              <w:keepLines/>
              <w:spacing w:after="0"/>
            </w:pPr>
            <w:r>
              <w:rPr>
                <w:rFonts w:ascii="Aptos" w:hAnsi="Aptos"/>
                <w:b/>
                <w:color w:val="FFFFFF"/>
                <w:sz w:val="19"/>
              </w:rPr>
              <w:t>Original issue</w:t>
            </w:r>
          </w:p>
        </w:tc>
        <w:tc>
          <w:tcPr>
            <w:tcW w:type="dxa" w:w="3600"/>
            <w:shd w:fill="0B6B3A"/>
            <w:vAlign w:val="center"/>
            <w:tcMar>
              <w:top w:w="100" w:type="dxa"/>
              <w:start w:w="120" w:type="dxa"/>
              <w:bottom w:w="100" w:type="dxa"/>
              <w:end w:w="120" w:type="dxa"/>
            </w:tcMar>
          </w:tcPr>
          <w:p>
            <w:pPr>
              <w:keepLines/>
              <w:spacing w:after="0"/>
            </w:pPr>
            <w:r>
              <w:rPr>
                <w:rFonts w:ascii="Aptos" w:hAnsi="Aptos"/>
                <w:b/>
                <w:color w:val="FFFFFF"/>
                <w:sz w:val="19"/>
              </w:rPr>
              <w:t>Why it was confusing</w:t>
            </w:r>
          </w:p>
        </w:tc>
        <w:tc>
          <w:tcPr>
            <w:tcW w:type="dxa" w:w="3744"/>
            <w:shd w:fill="0B6B3A"/>
            <w:vAlign w:val="center"/>
            <w:tcMar>
              <w:top w:w="100" w:type="dxa"/>
              <w:start w:w="120" w:type="dxa"/>
              <w:bottom w:w="100" w:type="dxa"/>
              <w:end w:w="120" w:type="dxa"/>
            </w:tcMar>
          </w:tcPr>
          <w:p>
            <w:pPr>
              <w:keepLines/>
              <w:spacing w:after="0"/>
            </w:pPr>
            <w:r>
              <w:rPr>
                <w:rFonts w:ascii="Aptos" w:hAnsi="Aptos"/>
                <w:b/>
                <w:color w:val="FFFFFF"/>
                <w:sz w:val="19"/>
              </w:rPr>
              <w:t>Refined model</w:t>
            </w:r>
          </w:p>
        </w:tc>
      </w:tr>
      <w:tr>
        <w:tc>
          <w:tcPr>
            <w:tcW w:type="dxa" w:w="2232"/>
            <w:vAlign w:val="center"/>
            <w:tcMar>
              <w:top w:w="100" w:type="dxa"/>
              <w:start w:w="120" w:type="dxa"/>
              <w:bottom w:w="100" w:type="dxa"/>
              <w:end w:w="120" w:type="dxa"/>
            </w:tcMar>
          </w:tcPr>
          <w:p>
            <w:pPr>
              <w:keepLines/>
              <w:spacing w:after="0"/>
            </w:pPr>
            <w:r>
              <w:rPr>
                <w:rFonts w:ascii="Aptos" w:hAnsi="Aptos"/>
                <w:color w:val="163229"/>
                <w:sz w:val="18"/>
              </w:rPr>
              <w:t>Schedule pages used /classes</w:t>
            </w:r>
          </w:p>
        </w:tc>
        <w:tc>
          <w:tcPr>
            <w:tcW w:type="dxa" w:w="3600"/>
            <w:vAlign w:val="center"/>
            <w:tcMar>
              <w:top w:w="100" w:type="dxa"/>
              <w:start w:w="120" w:type="dxa"/>
              <w:bottom w:w="100" w:type="dxa"/>
              <w:end w:w="120" w:type="dxa"/>
            </w:tcMar>
          </w:tcPr>
          <w:p>
            <w:pPr>
              <w:keepLines/>
              <w:spacing w:after="0"/>
            </w:pPr>
            <w:r>
              <w:rPr>
                <w:rFonts w:ascii="Aptos" w:hAnsi="Aptos"/>
                <w:color w:val="163229"/>
                <w:sz w:val="18"/>
              </w:rPr>
              <w:t>The page primarily displayed dated sessions rather than reusable class records.</w:t>
            </w:r>
          </w:p>
        </w:tc>
        <w:tc>
          <w:tcPr>
            <w:tcW w:type="dxa" w:w="3744"/>
            <w:vAlign w:val="center"/>
            <w:tcMar>
              <w:top w:w="100" w:type="dxa"/>
              <w:start w:w="120" w:type="dxa"/>
              <w:bottom w:w="100" w:type="dxa"/>
              <w:end w:w="120" w:type="dxa"/>
            </w:tcMar>
          </w:tcPr>
          <w:p>
            <w:pPr>
              <w:keepLines/>
              <w:spacing w:after="0"/>
            </w:pPr>
            <w:r>
              <w:rPr>
                <w:rFonts w:ascii="Aptos" w:hAnsi="Aptos"/>
                <w:color w:val="163229"/>
                <w:sz w:val="18"/>
              </w:rPr>
              <w:t>Use /sessions for dated schedules and preserve /classes for class records.</w:t>
            </w:r>
          </w:p>
        </w:tc>
      </w:tr>
      <w:tr>
        <w:tc>
          <w:tcPr>
            <w:tcW w:type="dxa" w:w="2232"/>
            <w:vAlign w:val="center"/>
            <w:tcMar>
              <w:top w:w="100" w:type="dxa"/>
              <w:start w:w="120" w:type="dxa"/>
              <w:bottom w:w="100" w:type="dxa"/>
              <w:end w:w="120" w:type="dxa"/>
            </w:tcMar>
            <w:shd w:fill="F4FAF7"/>
          </w:tcPr>
          <w:p>
            <w:pPr>
              <w:keepLines/>
              <w:spacing w:after="0"/>
            </w:pPr>
            <w:r>
              <w:rPr>
                <w:rFonts w:ascii="Aptos" w:hAnsi="Aptos"/>
                <w:color w:val="163229"/>
                <w:sz w:val="18"/>
              </w:rPr>
              <w:t>Hub class cards opened session details</w:t>
            </w:r>
          </w:p>
        </w:tc>
        <w:tc>
          <w:tcPr>
            <w:tcW w:type="dxa" w:w="3600"/>
            <w:vAlign w:val="center"/>
            <w:tcMar>
              <w:top w:w="100" w:type="dxa"/>
              <w:start w:w="120" w:type="dxa"/>
              <w:bottom w:w="100" w:type="dxa"/>
              <w:end w:w="120" w:type="dxa"/>
            </w:tcMar>
            <w:shd w:fill="F4FAF7"/>
          </w:tcPr>
          <w:p>
            <w:pPr>
              <w:keepLines/>
              <w:spacing w:after="0"/>
            </w:pPr>
            <w:r>
              <w:rPr>
                <w:rFonts w:ascii="Aptos" w:hAnsi="Aptos"/>
                <w:color w:val="163229"/>
                <w:sz w:val="18"/>
              </w:rPr>
              <w:t>A recurring class card led to one occurrence, mixing two levels of information.</w:t>
            </w:r>
          </w:p>
        </w:tc>
        <w:tc>
          <w:tcPr>
            <w:tcW w:type="dxa" w:w="3744"/>
            <w:vAlign w:val="center"/>
            <w:tcMar>
              <w:top w:w="100" w:type="dxa"/>
              <w:start w:w="120" w:type="dxa"/>
              <w:bottom w:w="100" w:type="dxa"/>
              <w:end w:w="120" w:type="dxa"/>
            </w:tcMar>
            <w:shd w:fill="F4FAF7"/>
          </w:tcPr>
          <w:p>
            <w:pPr>
              <w:keepLines/>
              <w:spacing w:after="0"/>
            </w:pPr>
            <w:r>
              <w:rPr>
                <w:rFonts w:ascii="Aptos" w:hAnsi="Aptos"/>
                <w:color w:val="163229"/>
                <w:sz w:val="18"/>
              </w:rPr>
              <w:t>Class cards open class-level details; session lists handle dated occurrences.</w:t>
            </w:r>
          </w:p>
        </w:tc>
      </w:tr>
      <w:tr>
        <w:tc>
          <w:tcPr>
            <w:tcW w:type="dxa" w:w="2232"/>
            <w:vAlign w:val="center"/>
            <w:tcMar>
              <w:top w:w="100" w:type="dxa"/>
              <w:start w:w="120" w:type="dxa"/>
              <w:bottom w:w="100" w:type="dxa"/>
              <w:end w:w="120" w:type="dxa"/>
            </w:tcMar>
          </w:tcPr>
          <w:p>
            <w:pPr>
              <w:keepLines/>
              <w:spacing w:after="0"/>
            </w:pPr>
            <w:r>
              <w:rPr>
                <w:rFonts w:ascii="Aptos" w:hAnsi="Aptos"/>
                <w:color w:val="163229"/>
                <w:sz w:val="18"/>
              </w:rPr>
              <w:t>One generic Programmes page</w:t>
            </w:r>
          </w:p>
        </w:tc>
        <w:tc>
          <w:tcPr>
            <w:tcW w:type="dxa" w:w="3600"/>
            <w:vAlign w:val="center"/>
            <w:tcMar>
              <w:top w:w="100" w:type="dxa"/>
              <w:start w:w="120" w:type="dxa"/>
              <w:bottom w:w="100" w:type="dxa"/>
              <w:end w:w="120" w:type="dxa"/>
            </w:tcMar>
          </w:tcPr>
          <w:p>
            <w:pPr>
              <w:keepLines/>
              <w:spacing w:after="0"/>
            </w:pPr>
            <w:r>
              <w:rPr>
                <w:rFonts w:ascii="Aptos" w:hAnsi="Aptos"/>
                <w:color w:val="163229"/>
                <w:sz w:val="18"/>
              </w:rPr>
              <w:t>Parents, volunteers and hubs appeared to perform the same enrolment action.</w:t>
            </w:r>
          </w:p>
        </w:tc>
        <w:tc>
          <w:tcPr>
            <w:tcW w:type="dxa" w:w="3744"/>
            <w:vAlign w:val="center"/>
            <w:tcMar>
              <w:top w:w="100" w:type="dxa"/>
              <w:start w:w="120" w:type="dxa"/>
              <w:bottom w:w="100" w:type="dxa"/>
              <w:end w:w="120" w:type="dxa"/>
            </w:tcMar>
          </w:tcPr>
          <w:p>
            <w:pPr>
              <w:keepLines/>
              <w:spacing w:after="0"/>
            </w:pPr>
            <w:r>
              <w:rPr>
                <w:rFonts w:ascii="Aptos" w:hAnsi="Aptos"/>
                <w:color w:val="163229"/>
                <w:sz w:val="18"/>
              </w:rPr>
              <w:t>Each role manages a different relationship with a programme.</w:t>
            </w:r>
          </w:p>
        </w:tc>
      </w:tr>
      <w:tr>
        <w:tc>
          <w:tcPr>
            <w:tcW w:type="dxa" w:w="2232"/>
            <w:vAlign w:val="center"/>
            <w:tcMar>
              <w:top w:w="100" w:type="dxa"/>
              <w:start w:w="120" w:type="dxa"/>
              <w:bottom w:w="100" w:type="dxa"/>
              <w:end w:w="120" w:type="dxa"/>
            </w:tcMar>
            <w:shd w:fill="F4FAF7"/>
          </w:tcPr>
          <w:p>
            <w:pPr>
              <w:keepLines/>
              <w:spacing w:after="0"/>
            </w:pPr>
            <w:r>
              <w:rPr>
                <w:rFonts w:ascii="Aptos" w:hAnsi="Aptos"/>
                <w:color w:val="163229"/>
                <w:sz w:val="18"/>
              </w:rPr>
              <w:t>Hub registration data was static later</w:t>
            </w:r>
          </w:p>
        </w:tc>
        <w:tc>
          <w:tcPr>
            <w:tcW w:type="dxa" w:w="3600"/>
            <w:vAlign w:val="center"/>
            <w:tcMar>
              <w:top w:w="100" w:type="dxa"/>
              <w:start w:w="120" w:type="dxa"/>
              <w:bottom w:w="100" w:type="dxa"/>
              <w:end w:w="120" w:type="dxa"/>
            </w:tcMar>
            <w:shd w:fill="F4FAF7"/>
          </w:tcPr>
          <w:p>
            <w:pPr>
              <w:keepLines/>
              <w:spacing w:after="0"/>
            </w:pPr>
            <w:r>
              <w:rPr>
                <w:rFonts w:ascii="Aptos" w:hAnsi="Aptos"/>
                <w:color w:val="163229"/>
                <w:sz w:val="18"/>
              </w:rPr>
              <w:t>Infrastructure and schedule could change after onboarding, but the dashboard could not update them.</w:t>
            </w:r>
          </w:p>
        </w:tc>
        <w:tc>
          <w:tcPr>
            <w:tcW w:type="dxa" w:w="3744"/>
            <w:vAlign w:val="center"/>
            <w:tcMar>
              <w:top w:w="100" w:type="dxa"/>
              <w:start w:w="120" w:type="dxa"/>
              <w:bottom w:w="100" w:type="dxa"/>
              <w:end w:w="120" w:type="dxa"/>
            </w:tcMar>
            <w:shd w:fill="F4FAF7"/>
          </w:tcPr>
          <w:p>
            <w:pPr>
              <w:keepLines/>
              <w:spacing w:after="0"/>
            </w:pPr>
            <w:r>
              <w:rPr>
                <w:rFonts w:ascii="Aptos" w:hAnsi="Aptos"/>
                <w:color w:val="163229"/>
                <w:sz w:val="18"/>
              </w:rPr>
              <w:t>Hub Profile owns editable operational information used by readiness checks.</w:t>
            </w:r>
          </w:p>
        </w:tc>
      </w:tr>
    </w:tbl>
    <w:p>
      <w:pPr>
        <w:spacing w:after="20"/>
      </w:pPr>
    </w:p>
    <w:p>
      <w:r>
        <w:br w:type="page"/>
      </w:r>
    </w:p>
    <w:p>
      <w:pPr>
        <w:pStyle w:val="Heading1"/>
      </w:pPr>
      <w:r>
        <w:t>3. Sessions and Classes</w:t>
      </w:r>
    </w:p>
    <w:p>
      <w:pPr>
        <w:pStyle w:val="Heading2"/>
      </w:pPr>
      <w:r>
        <w:t>Decision</w:t>
      </w:r>
    </w:p>
    <w:p>
      <w:r>
        <w:t>A class is a recurring learning group. A session is a dated occurrence of that class. The routes, cards and navigation should preserve that distinction.</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440"/>
            <w:shd w:fill="0B6B3A"/>
            <w:vAlign w:val="center"/>
            <w:tcMar>
              <w:top w:w="100" w:type="dxa"/>
              <w:start w:w="120" w:type="dxa"/>
              <w:bottom w:w="100" w:type="dxa"/>
              <w:end w:w="120" w:type="dxa"/>
            </w:tcMar>
          </w:tcPr>
          <w:p>
            <w:pPr>
              <w:keepLines/>
              <w:spacing w:after="0"/>
            </w:pPr>
            <w:r>
              <w:rPr>
                <w:rFonts w:ascii="Aptos" w:hAnsi="Aptos"/>
                <w:b/>
                <w:color w:val="FFFFFF"/>
                <w:sz w:val="19"/>
              </w:rPr>
              <w:t>Concept</w:t>
            </w:r>
          </w:p>
        </w:tc>
        <w:tc>
          <w:tcPr>
            <w:tcW w:type="dxa" w:w="2376"/>
            <w:shd w:fill="0B6B3A"/>
            <w:vAlign w:val="center"/>
            <w:tcMar>
              <w:top w:w="100" w:type="dxa"/>
              <w:start w:w="120" w:type="dxa"/>
              <w:bottom w:w="100" w:type="dxa"/>
              <w:end w:w="120" w:type="dxa"/>
            </w:tcMar>
          </w:tcPr>
          <w:p>
            <w:pPr>
              <w:keepLines/>
              <w:spacing w:after="0"/>
            </w:pPr>
            <w:r>
              <w:rPr>
                <w:rFonts w:ascii="Aptos" w:hAnsi="Aptos"/>
                <w:b/>
                <w:color w:val="FFFFFF"/>
                <w:sz w:val="19"/>
              </w:rPr>
              <w:t>Meaning</w:t>
            </w:r>
          </w:p>
        </w:tc>
        <w:tc>
          <w:tcPr>
            <w:tcW w:type="dxa" w:w="3096"/>
            <w:shd w:fill="0B6B3A"/>
            <w:vAlign w:val="center"/>
            <w:tcMar>
              <w:top w:w="100" w:type="dxa"/>
              <w:start w:w="120" w:type="dxa"/>
              <w:bottom w:w="100" w:type="dxa"/>
              <w:end w:w="120" w:type="dxa"/>
            </w:tcMar>
          </w:tcPr>
          <w:p>
            <w:pPr>
              <w:keepLines/>
              <w:spacing w:after="0"/>
            </w:pPr>
            <w:r>
              <w:rPr>
                <w:rFonts w:ascii="Aptos" w:hAnsi="Aptos"/>
                <w:b/>
                <w:color w:val="FFFFFF"/>
                <w:sz w:val="19"/>
              </w:rPr>
              <w:t>Example route</w:t>
            </w:r>
          </w:p>
        </w:tc>
        <w:tc>
          <w:tcPr>
            <w:tcW w:type="dxa" w:w="2664"/>
            <w:shd w:fill="0B6B3A"/>
            <w:vAlign w:val="center"/>
            <w:tcMar>
              <w:top w:w="100" w:type="dxa"/>
              <w:start w:w="120" w:type="dxa"/>
              <w:bottom w:w="100" w:type="dxa"/>
              <w:end w:w="120" w:type="dxa"/>
            </w:tcMar>
          </w:tcPr>
          <w:p>
            <w:pPr>
              <w:keepLines/>
              <w:spacing w:after="0"/>
            </w:pPr>
            <w:r>
              <w:rPr>
                <w:rFonts w:ascii="Aptos" w:hAnsi="Aptos"/>
                <w:b/>
                <w:color w:val="FFFFFF"/>
                <w:sz w:val="19"/>
              </w:rPr>
              <w:t>Typical information</w:t>
            </w:r>
          </w:p>
        </w:tc>
      </w:tr>
      <w:tr>
        <w:tc>
          <w:tcPr>
            <w:tcW w:type="dxa" w:w="1440"/>
            <w:vAlign w:val="center"/>
            <w:tcMar>
              <w:top w:w="100" w:type="dxa"/>
              <w:start w:w="120" w:type="dxa"/>
              <w:bottom w:w="100" w:type="dxa"/>
              <w:end w:w="120" w:type="dxa"/>
            </w:tcMar>
          </w:tcPr>
          <w:p>
            <w:pPr>
              <w:keepLines/>
              <w:spacing w:after="0"/>
            </w:pPr>
            <w:r>
              <w:rPr>
                <w:rFonts w:ascii="Aptos" w:hAnsi="Aptos"/>
                <w:color w:val="163229"/>
                <w:sz w:val="18"/>
              </w:rPr>
              <w:t>Class</w:t>
            </w:r>
          </w:p>
        </w:tc>
        <w:tc>
          <w:tcPr>
            <w:tcW w:type="dxa" w:w="2376"/>
            <w:vAlign w:val="center"/>
            <w:tcMar>
              <w:top w:w="100" w:type="dxa"/>
              <w:start w:w="120" w:type="dxa"/>
              <w:bottom w:w="100" w:type="dxa"/>
              <w:end w:w="120" w:type="dxa"/>
            </w:tcMar>
          </w:tcPr>
          <w:p>
            <w:pPr>
              <w:keepLines/>
              <w:spacing w:after="0"/>
            </w:pPr>
            <w:r>
              <w:rPr>
                <w:rFonts w:ascii="Aptos" w:hAnsi="Aptos"/>
                <w:color w:val="163229"/>
                <w:sz w:val="18"/>
              </w:rPr>
              <w:t>Recurring group or assignment</w:t>
            </w:r>
          </w:p>
        </w:tc>
        <w:tc>
          <w:tcPr>
            <w:tcW w:type="dxa" w:w="3096"/>
            <w:vAlign w:val="center"/>
            <w:tcMar>
              <w:top w:w="100" w:type="dxa"/>
              <w:start w:w="120" w:type="dxa"/>
              <w:bottom w:w="100" w:type="dxa"/>
              <w:end w:w="120" w:type="dxa"/>
            </w:tcMar>
          </w:tcPr>
          <w:p>
            <w:pPr>
              <w:keepLines/>
              <w:spacing w:after="0"/>
            </w:pPr>
            <w:r>
              <w:rPr>
                <w:rFonts w:ascii="Aptos" w:hAnsi="Aptos"/>
                <w:color w:val="163229"/>
                <w:sz w:val="18"/>
              </w:rPr>
              <w:t>/hub/bright-stars/classes/hc1</w:t>
            </w:r>
          </w:p>
        </w:tc>
        <w:tc>
          <w:tcPr>
            <w:tcW w:type="dxa" w:w="2664"/>
            <w:vAlign w:val="center"/>
            <w:tcMar>
              <w:top w:w="100" w:type="dxa"/>
              <w:start w:w="120" w:type="dxa"/>
              <w:bottom w:w="100" w:type="dxa"/>
              <w:end w:w="120" w:type="dxa"/>
            </w:tcMar>
          </w:tcPr>
          <w:p>
            <w:pPr>
              <w:keepLines/>
              <w:spacing w:after="0"/>
            </w:pPr>
            <w:r>
              <w:rPr>
                <w:rFonts w:ascii="Aptos" w:hAnsi="Aptos"/>
                <w:color w:val="163229"/>
                <w:sz w:val="18"/>
              </w:rPr>
              <w:t>Programme, age group, volunteers, learners, recurring schedule, history</w:t>
            </w:r>
          </w:p>
        </w:tc>
      </w:tr>
      <w:tr>
        <w:tc>
          <w:tcPr>
            <w:tcW w:type="dxa" w:w="1440"/>
            <w:vAlign w:val="center"/>
            <w:tcMar>
              <w:top w:w="100" w:type="dxa"/>
              <w:start w:w="120" w:type="dxa"/>
              <w:bottom w:w="100" w:type="dxa"/>
              <w:end w:w="120" w:type="dxa"/>
            </w:tcMar>
            <w:shd w:fill="F4FAF7"/>
          </w:tcPr>
          <w:p>
            <w:pPr>
              <w:keepLines/>
              <w:spacing w:after="0"/>
            </w:pPr>
            <w:r>
              <w:rPr>
                <w:rFonts w:ascii="Aptos" w:hAnsi="Aptos"/>
                <w:color w:val="163229"/>
                <w:sz w:val="18"/>
              </w:rPr>
              <w:t>Session</w:t>
            </w:r>
          </w:p>
        </w:tc>
        <w:tc>
          <w:tcPr>
            <w:tcW w:type="dxa" w:w="2376"/>
            <w:vAlign w:val="center"/>
            <w:tcMar>
              <w:top w:w="100" w:type="dxa"/>
              <w:start w:w="120" w:type="dxa"/>
              <w:bottom w:w="100" w:type="dxa"/>
              <w:end w:w="120" w:type="dxa"/>
            </w:tcMar>
            <w:shd w:fill="F4FAF7"/>
          </w:tcPr>
          <w:p>
            <w:pPr>
              <w:keepLines/>
              <w:spacing w:after="0"/>
            </w:pPr>
            <w:r>
              <w:rPr>
                <w:rFonts w:ascii="Aptos" w:hAnsi="Aptos"/>
                <w:color w:val="163229"/>
                <w:sz w:val="18"/>
              </w:rPr>
              <w:t>Specific dated event</w:t>
            </w:r>
          </w:p>
        </w:tc>
        <w:tc>
          <w:tcPr>
            <w:tcW w:type="dxa" w:w="3096"/>
            <w:vAlign w:val="center"/>
            <w:tcMar>
              <w:top w:w="100" w:type="dxa"/>
              <w:start w:w="120" w:type="dxa"/>
              <w:bottom w:w="100" w:type="dxa"/>
              <w:end w:w="120" w:type="dxa"/>
            </w:tcMar>
            <w:shd w:fill="F4FAF7"/>
          </w:tcPr>
          <w:p>
            <w:pPr>
              <w:keepLines/>
              <w:spacing w:after="0"/>
            </w:pPr>
            <w:r>
              <w:rPr>
                <w:rFonts w:ascii="Aptos" w:hAnsi="Aptos"/>
                <w:color w:val="163229"/>
                <w:sz w:val="18"/>
              </w:rPr>
              <w:t>/hub/bright-stars/sessions</w:t>
            </w:r>
          </w:p>
        </w:tc>
        <w:tc>
          <w:tcPr>
            <w:tcW w:type="dxa" w:w="2664"/>
            <w:vAlign w:val="center"/>
            <w:tcMar>
              <w:top w:w="100" w:type="dxa"/>
              <w:start w:w="120" w:type="dxa"/>
              <w:bottom w:w="100" w:type="dxa"/>
              <w:end w:w="120" w:type="dxa"/>
            </w:tcMar>
            <w:shd w:fill="F4FAF7"/>
          </w:tcPr>
          <w:p>
            <w:pPr>
              <w:keepLines/>
              <w:spacing w:after="0"/>
            </w:pPr>
            <w:r>
              <w:rPr>
                <w:rFonts w:ascii="Aptos" w:hAnsi="Aptos"/>
                <w:color w:val="163229"/>
                <w:sz w:val="18"/>
              </w:rPr>
              <w:t>Date, time, status, join link, session actions</w:t>
            </w:r>
          </w:p>
        </w:tc>
      </w:tr>
      <w:tr>
        <w:tc>
          <w:tcPr>
            <w:tcW w:type="dxa" w:w="1440"/>
            <w:vAlign w:val="center"/>
            <w:tcMar>
              <w:top w:w="100" w:type="dxa"/>
              <w:start w:w="120" w:type="dxa"/>
              <w:bottom w:w="100" w:type="dxa"/>
              <w:end w:w="120" w:type="dxa"/>
            </w:tcMar>
          </w:tcPr>
          <w:p>
            <w:pPr>
              <w:keepLines/>
              <w:spacing w:after="0"/>
            </w:pPr>
            <w:r>
              <w:rPr>
                <w:rFonts w:ascii="Aptos" w:hAnsi="Aptos"/>
                <w:color w:val="163229"/>
                <w:sz w:val="18"/>
              </w:rPr>
              <w:t>Focused session</w:t>
            </w:r>
          </w:p>
        </w:tc>
        <w:tc>
          <w:tcPr>
            <w:tcW w:type="dxa" w:w="2376"/>
            <w:vAlign w:val="center"/>
            <w:tcMar>
              <w:top w:w="100" w:type="dxa"/>
              <w:start w:w="120" w:type="dxa"/>
              <w:bottom w:w="100" w:type="dxa"/>
              <w:end w:w="120" w:type="dxa"/>
            </w:tcMar>
          </w:tcPr>
          <w:p>
            <w:pPr>
              <w:keepLines/>
              <w:spacing w:after="0"/>
            </w:pPr>
            <w:r>
              <w:rPr>
                <w:rFonts w:ascii="Aptos" w:hAnsi="Aptos"/>
                <w:color w:val="163229"/>
                <w:sz w:val="18"/>
              </w:rPr>
              <w:t>A session selected from Overview</w:t>
            </w:r>
          </w:p>
        </w:tc>
        <w:tc>
          <w:tcPr>
            <w:tcW w:type="dxa" w:w="3096"/>
            <w:vAlign w:val="center"/>
            <w:tcMar>
              <w:top w:w="100" w:type="dxa"/>
              <w:start w:w="120" w:type="dxa"/>
              <w:bottom w:w="100" w:type="dxa"/>
              <w:end w:w="120" w:type="dxa"/>
            </w:tcMar>
          </w:tcPr>
          <w:p>
            <w:pPr>
              <w:keepLines/>
              <w:spacing w:after="0"/>
            </w:pPr>
            <w:r>
              <w:rPr>
                <w:rFonts w:ascii="Aptos" w:hAnsi="Aptos"/>
                <w:color w:val="163229"/>
                <w:sz w:val="18"/>
              </w:rPr>
              <w:t>/hub/bright-stars/sessions?session=hcs1</w:t>
            </w:r>
          </w:p>
        </w:tc>
        <w:tc>
          <w:tcPr>
            <w:tcW w:type="dxa" w:w="2664"/>
            <w:vAlign w:val="center"/>
            <w:tcMar>
              <w:top w:w="100" w:type="dxa"/>
              <w:start w:w="120" w:type="dxa"/>
              <w:bottom w:w="100" w:type="dxa"/>
              <w:end w:w="120" w:type="dxa"/>
            </w:tcMar>
          </w:tcPr>
          <w:p>
            <w:pPr>
              <w:keepLines/>
              <w:spacing w:after="0"/>
            </w:pPr>
            <w:r>
              <w:rPr>
                <w:rFonts w:ascii="Aptos" w:hAnsi="Aptos"/>
                <w:color w:val="163229"/>
                <w:sz w:val="18"/>
              </w:rPr>
              <w:t>Filtered list with the matching session highlighted</w:t>
            </w:r>
          </w:p>
        </w:tc>
      </w:tr>
    </w:tbl>
    <w:p>
      <w:pPr>
        <w:spacing w:after="20"/>
      </w:pPr>
    </w:p>
    <w:p>
      <w:pPr>
        <w:pStyle w:val="Heading2"/>
      </w:pPr>
      <w:r>
        <w:t>Implemented Routing and Navigation</w:t>
      </w:r>
    </w:p>
    <w:p>
      <w:pPr>
        <w:pStyle w:val="ListBullet"/>
      </w:pPr>
      <w:r>
        <w:t>Parent schedule changed from /parent/classes to /parent/sessions.</w:t>
      </w:r>
    </w:p>
    <w:p>
      <w:pPr>
        <w:pStyle w:val="ListBullet"/>
      </w:pPr>
      <w:r>
        <w:t>Hub schedule changed from /hub/{hub}/classes to /hub/{hub}/sessions.</w:t>
      </w:r>
    </w:p>
    <w:p>
      <w:pPr>
        <w:pStyle w:val="ListBullet"/>
      </w:pPr>
      <w:r>
        <w:t>Older schedule URLs redirect to the new canonical routes.</w:t>
      </w:r>
    </w:p>
    <w:p>
      <w:pPr>
        <w:pStyle w:val="ListBullet"/>
      </w:pPr>
      <w:r>
        <w:t>Session-detail links remain available for richer future operational records.</w:t>
      </w:r>
    </w:p>
    <w:p>
      <w:pPr>
        <w:pStyle w:val="ListBullet"/>
      </w:pPr>
      <w:r>
        <w:t>Back links now explicitly return to Sessions, category Classes, Hub Learners or My Learners as appropriate.</w:t>
      </w:r>
    </w:p>
    <w:p>
      <w:pPr>
        <w:pStyle w:val="Heading2"/>
      </w:pPr>
      <w:r>
        <w:t>Overview Card Behaviour</w:t>
      </w:r>
    </w:p>
    <w:p>
      <w:r>
        <w:t>The Next Session card previously used a generic View Details action. Because the individual session page repeated information already visible on the list card, the action now opens the Sessions page with the relevant session filtered and highlighted.</w:t>
      </w:r>
    </w:p>
    <w:tbl>
      <w:tblPr>
        <w:tblW w:type="auto" w:w="0"/>
        <w:tblLayout w:type="fixed"/>
        <w:tblLook w:firstColumn="1" w:firstRow="1" w:lastColumn="0" w:lastRow="0" w:noHBand="0" w:noVBand="1" w:val="04A0"/>
      </w:tblPr>
      <w:tblGrid>
        <w:gridCol w:w="9576"/>
      </w:tblGrid>
      <w:tr>
        <w:tc>
          <w:tcPr>
            <w:tcW w:type="dxa" w:w="9936"/>
            <w:shd w:fill="E6F4ED"/>
            <w:tcMar>
              <w:top w:w="150" w:type="dxa"/>
              <w:start w:w="180" w:type="dxa"/>
              <w:bottom w:w="150" w:type="dxa"/>
              <w:end w:w="180" w:type="dxa"/>
            </w:tcMar>
            <w:vAlign w:val="center"/>
          </w:tcPr>
          <w:p>
            <w:pPr>
              <w:pStyle w:val="Callout"/>
              <w:keepLines/>
              <w:spacing w:after="0"/>
            </w:pPr>
            <w:r>
              <w:rPr>
                <w:b/>
              </w:rPr>
              <w:t xml:space="preserve">Why this is better: </w:t>
            </w:r>
            <w:r>
              <w:rPr>
                <w:b w:val="0"/>
              </w:rPr>
              <w:t>It preserves context, avoids an unnecessary page transition, creates a shareable URL, and still gives users a clear View all sessions reset.</w:t>
            </w:r>
          </w:p>
        </w:tc>
      </w:tr>
    </w:tbl>
    <w:p>
      <w:pPr>
        <w:spacing w:after="20"/>
      </w:pPr>
    </w:p>
    <w:p>
      <w:pPr>
        <w:pStyle w:val="Heading1"/>
      </w:pPr>
      <w:r>
        <w:t>4. Hub Class Experience</w:t>
      </w:r>
    </w:p>
    <w:p>
      <w:r>
        <w:t>Hub administrators need class-level visibility comparable to volunteers because they coordinate learners, facilities and delivery. The hub class cards were therefore changed from dated-session cards into recurring class cards.</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4680"/>
            <w:shd w:fill="0B6B3A"/>
            <w:vAlign w:val="center"/>
            <w:tcMar>
              <w:top w:w="100" w:type="dxa"/>
              <w:start w:w="120" w:type="dxa"/>
              <w:bottom w:w="100" w:type="dxa"/>
              <w:end w:w="120" w:type="dxa"/>
            </w:tcMar>
          </w:tcPr>
          <w:p>
            <w:pPr>
              <w:keepLines/>
              <w:spacing w:after="0"/>
            </w:pPr>
            <w:r>
              <w:rPr>
                <w:rFonts w:ascii="Aptos" w:hAnsi="Aptos"/>
                <w:b/>
                <w:color w:val="FFFFFF"/>
                <w:sz w:val="19"/>
              </w:rPr>
              <w:t>Before</w:t>
            </w:r>
          </w:p>
        </w:tc>
        <w:tc>
          <w:tcPr>
            <w:tcW w:type="dxa" w:w="4896"/>
            <w:shd w:fill="0B6B3A"/>
            <w:vAlign w:val="center"/>
            <w:tcMar>
              <w:top w:w="100" w:type="dxa"/>
              <w:start w:w="120" w:type="dxa"/>
              <w:bottom w:w="100" w:type="dxa"/>
              <w:end w:w="120" w:type="dxa"/>
            </w:tcMar>
          </w:tcPr>
          <w:p>
            <w:pPr>
              <w:keepLines/>
              <w:spacing w:after="0"/>
            </w:pPr>
            <w:r>
              <w:rPr>
                <w:rFonts w:ascii="Aptos" w:hAnsi="Aptos"/>
                <w:b/>
                <w:color w:val="FFFFFF"/>
                <w:sz w:val="19"/>
              </w:rPr>
              <w:t>After</w:t>
            </w:r>
          </w:p>
        </w:tc>
      </w:tr>
      <w:tr>
        <w:tc>
          <w:tcPr>
            <w:tcW w:type="dxa" w:w="4680"/>
            <w:vAlign w:val="center"/>
            <w:tcMar>
              <w:top w:w="100" w:type="dxa"/>
              <w:start w:w="120" w:type="dxa"/>
              <w:bottom w:w="100" w:type="dxa"/>
              <w:end w:w="120" w:type="dxa"/>
            </w:tcMar>
          </w:tcPr>
          <w:p>
            <w:pPr>
              <w:keepLines/>
              <w:spacing w:after="0"/>
            </w:pPr>
            <w:r>
              <w:rPr>
                <w:rFonts w:ascii="Aptos" w:hAnsi="Aptos"/>
                <w:color w:val="163229"/>
                <w:sz w:val="18"/>
              </w:rPr>
              <w:t>Card showed 'Sat, 12 Jul 2025 - 10:00 AM'.</w:t>
            </w:r>
          </w:p>
        </w:tc>
        <w:tc>
          <w:tcPr>
            <w:tcW w:type="dxa" w:w="4896"/>
            <w:vAlign w:val="center"/>
            <w:tcMar>
              <w:top w:w="100" w:type="dxa"/>
              <w:start w:w="120" w:type="dxa"/>
              <w:bottom w:w="100" w:type="dxa"/>
              <w:end w:w="120" w:type="dxa"/>
            </w:tcMar>
          </w:tcPr>
          <w:p>
            <w:pPr>
              <w:keepLines/>
              <w:spacing w:after="0"/>
            </w:pPr>
            <w:r>
              <w:rPr>
                <w:rFonts w:ascii="Aptos" w:hAnsi="Aptos"/>
                <w:color w:val="163229"/>
                <w:sz w:val="18"/>
              </w:rPr>
              <w:t>Card shows 'Every Saturday, 10:00 AM'.</w:t>
            </w:r>
          </w:p>
        </w:tc>
      </w:tr>
      <w:tr>
        <w:tc>
          <w:tcPr>
            <w:tcW w:type="dxa" w:w="4680"/>
            <w:vAlign w:val="center"/>
            <w:tcMar>
              <w:top w:w="100" w:type="dxa"/>
              <w:start w:w="120" w:type="dxa"/>
              <w:bottom w:w="100" w:type="dxa"/>
              <w:end w:w="120" w:type="dxa"/>
            </w:tcMar>
            <w:shd w:fill="F4FAF7"/>
          </w:tcPr>
          <w:p>
            <w:pPr>
              <w:keepLines/>
              <w:spacing w:after="0"/>
            </w:pPr>
            <w:r>
              <w:rPr>
                <w:rFonts w:ascii="Aptos" w:hAnsi="Aptos"/>
                <w:color w:val="163229"/>
                <w:sz w:val="18"/>
              </w:rPr>
              <w:t>Details opened a session occurrence.</w:t>
            </w:r>
          </w:p>
        </w:tc>
        <w:tc>
          <w:tcPr>
            <w:tcW w:type="dxa" w:w="4896"/>
            <w:vAlign w:val="center"/>
            <w:tcMar>
              <w:top w:w="100" w:type="dxa"/>
              <w:start w:w="120" w:type="dxa"/>
              <w:bottom w:w="100" w:type="dxa"/>
              <w:end w:w="120" w:type="dxa"/>
            </w:tcMar>
            <w:shd w:fill="F4FAF7"/>
          </w:tcPr>
          <w:p>
            <w:pPr>
              <w:keepLines/>
              <w:spacing w:after="0"/>
            </w:pPr>
            <w:r>
              <w:rPr>
                <w:rFonts w:ascii="Aptos" w:hAnsi="Aptos"/>
                <w:color w:val="163229"/>
                <w:sz w:val="18"/>
              </w:rPr>
              <w:t>Details opens /hub/{hub}/classes/{classId}.</w:t>
            </w:r>
          </w:p>
        </w:tc>
      </w:tr>
      <w:tr>
        <w:tc>
          <w:tcPr>
            <w:tcW w:type="dxa" w:w="4680"/>
            <w:vAlign w:val="center"/>
            <w:tcMar>
              <w:top w:w="100" w:type="dxa"/>
              <w:start w:w="120" w:type="dxa"/>
              <w:bottom w:w="100" w:type="dxa"/>
              <w:end w:w="120" w:type="dxa"/>
            </w:tcMar>
          </w:tcPr>
          <w:p>
            <w:pPr>
              <w:keepLines/>
              <w:spacing w:after="0"/>
            </w:pPr>
            <w:r>
              <w:rPr>
                <w:rFonts w:ascii="Aptos" w:hAnsi="Aptos"/>
                <w:color w:val="163229"/>
                <w:sz w:val="18"/>
              </w:rPr>
              <w:t>Limited operational context.</w:t>
            </w:r>
          </w:p>
        </w:tc>
        <w:tc>
          <w:tcPr>
            <w:tcW w:type="dxa" w:w="4896"/>
            <w:vAlign w:val="center"/>
            <w:tcMar>
              <w:top w:w="100" w:type="dxa"/>
              <w:start w:w="120" w:type="dxa"/>
              <w:bottom w:w="100" w:type="dxa"/>
              <w:end w:w="120" w:type="dxa"/>
            </w:tcMar>
          </w:tcPr>
          <w:p>
            <w:pPr>
              <w:keepLines/>
              <w:spacing w:after="0"/>
            </w:pPr>
            <w:r>
              <w:rPr>
                <w:rFonts w:ascii="Aptos" w:hAnsi="Aptos"/>
                <w:color w:val="163229"/>
                <w:sz w:val="18"/>
              </w:rPr>
              <w:t>Class detail includes age group, delivery, lead and backup volunteers, learners, recurring schedule and session history.</w:t>
            </w:r>
          </w:p>
        </w:tc>
      </w:tr>
      <w:tr>
        <w:tc>
          <w:tcPr>
            <w:tcW w:type="dxa" w:w="4680"/>
            <w:vAlign w:val="center"/>
            <w:tcMar>
              <w:top w:w="100" w:type="dxa"/>
              <w:start w:w="120" w:type="dxa"/>
              <w:bottom w:w="100" w:type="dxa"/>
              <w:end w:w="120" w:type="dxa"/>
            </w:tcMar>
            <w:shd w:fill="F4FAF7"/>
          </w:tcPr>
          <w:p>
            <w:pPr>
              <w:keepLines/>
              <w:spacing w:after="0"/>
            </w:pPr>
            <w:r>
              <w:rPr>
                <w:rFonts w:ascii="Aptos" w:hAnsi="Aptos"/>
                <w:color w:val="163229"/>
                <w:sz w:val="18"/>
              </w:rPr>
              <w:t>Class and session labels were mixed.</w:t>
            </w:r>
          </w:p>
        </w:tc>
        <w:tc>
          <w:tcPr>
            <w:tcW w:type="dxa" w:w="4896"/>
            <w:vAlign w:val="center"/>
            <w:tcMar>
              <w:top w:w="100" w:type="dxa"/>
              <w:start w:w="120" w:type="dxa"/>
              <w:bottom w:w="100" w:type="dxa"/>
              <w:end w:w="120" w:type="dxa"/>
            </w:tcMar>
            <w:shd w:fill="F4FAF7"/>
          </w:tcPr>
          <w:p>
            <w:pPr>
              <w:keepLines/>
              <w:spacing w:after="0"/>
            </w:pPr>
            <w:r>
              <w:rPr>
                <w:rFonts w:ascii="Aptos" w:hAnsi="Aptos"/>
                <w:color w:val="163229"/>
                <w:sz w:val="18"/>
              </w:rPr>
              <w:t>Class pages retain class language; schedule pages use session language.</w:t>
            </w:r>
          </w:p>
        </w:tc>
      </w:tr>
    </w:tbl>
    <w:p>
      <w:pPr>
        <w:spacing w:after="20"/>
      </w:pPr>
    </w:p>
    <w:p>
      <w:r>
        <w:br w:type="page"/>
      </w:r>
    </w:p>
    <w:p>
      <w:pPr>
        <w:pStyle w:val="Heading1"/>
      </w:pPr>
      <w:r>
        <w:t>5. Programme Model by Role</w:t>
      </w:r>
    </w:p>
    <w:tbl>
      <w:tblPr>
        <w:tblW w:type="auto" w:w="0"/>
        <w:tblLayout w:type="fixed"/>
        <w:tblLook w:firstColumn="1" w:firstRow="1" w:lastColumn="0" w:lastRow="0" w:noHBand="0" w:noVBand="1" w:val="04A0"/>
      </w:tblPr>
      <w:tblGrid>
        <w:gridCol w:w="9576"/>
      </w:tblGrid>
      <w:tr>
        <w:tc>
          <w:tcPr>
            <w:tcW w:type="dxa" w:w="9936"/>
            <w:shd w:fill="E6F4ED"/>
            <w:tcMar>
              <w:top w:w="150" w:type="dxa"/>
              <w:start w:w="180" w:type="dxa"/>
              <w:bottom w:w="150" w:type="dxa"/>
              <w:end w:w="180" w:type="dxa"/>
            </w:tcMar>
            <w:vAlign w:val="center"/>
          </w:tcPr>
          <w:p>
            <w:pPr>
              <w:pStyle w:val="Callout"/>
              <w:keepLines/>
              <w:spacing w:after="0"/>
            </w:pPr>
            <w:r>
              <w:rPr>
                <w:b/>
              </w:rPr>
              <w:t xml:space="preserve">Guiding principle: </w:t>
            </w:r>
            <w:r>
              <w:rPr>
                <w:b w:val="0"/>
              </w:rPr>
              <w:t>Registration captures initial interest and baseline information. The Programme dashboard manages the user's ongoing relationship with each programme.</w:t>
            </w:r>
          </w:p>
        </w:tc>
      </w:tr>
    </w:tbl>
    <w:p>
      <w:pPr>
        <w:spacing w:after="20"/>
      </w:pP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1224"/>
            <w:shd w:fill="0B6B3A"/>
            <w:vAlign w:val="center"/>
            <w:tcMar>
              <w:top w:w="100" w:type="dxa"/>
              <w:start w:w="120" w:type="dxa"/>
              <w:bottom w:w="100" w:type="dxa"/>
              <w:end w:w="120" w:type="dxa"/>
            </w:tcMar>
          </w:tcPr>
          <w:p>
            <w:pPr>
              <w:keepLines/>
              <w:spacing w:after="0"/>
            </w:pPr>
            <w:r>
              <w:rPr>
                <w:rFonts w:ascii="Aptos" w:hAnsi="Aptos"/>
                <w:b/>
                <w:color w:val="FFFFFF"/>
                <w:sz w:val="19"/>
              </w:rPr>
              <w:t>Role</w:t>
            </w:r>
          </w:p>
        </w:tc>
        <w:tc>
          <w:tcPr>
            <w:tcW w:type="dxa" w:w="2376"/>
            <w:shd w:fill="0B6B3A"/>
            <w:vAlign w:val="center"/>
            <w:tcMar>
              <w:top w:w="100" w:type="dxa"/>
              <w:start w:w="120" w:type="dxa"/>
              <w:bottom w:w="100" w:type="dxa"/>
              <w:end w:w="120" w:type="dxa"/>
            </w:tcMar>
          </w:tcPr>
          <w:p>
            <w:pPr>
              <w:keepLines/>
              <w:spacing w:after="0"/>
            </w:pPr>
            <w:r>
              <w:rPr>
                <w:rFonts w:ascii="Aptos" w:hAnsi="Aptos"/>
                <w:b/>
                <w:color w:val="FFFFFF"/>
                <w:sz w:val="19"/>
              </w:rPr>
              <w:t>What registration means</w:t>
            </w:r>
          </w:p>
        </w:tc>
        <w:tc>
          <w:tcPr>
            <w:tcW w:type="dxa" w:w="3240"/>
            <w:shd w:fill="0B6B3A"/>
            <w:vAlign w:val="center"/>
            <w:tcMar>
              <w:top w:w="100" w:type="dxa"/>
              <w:start w:w="120" w:type="dxa"/>
              <w:bottom w:w="100" w:type="dxa"/>
              <w:end w:w="120" w:type="dxa"/>
            </w:tcMar>
          </w:tcPr>
          <w:p>
            <w:pPr>
              <w:keepLines/>
              <w:spacing w:after="0"/>
            </w:pPr>
            <w:r>
              <w:rPr>
                <w:rFonts w:ascii="Aptos" w:hAnsi="Aptos"/>
                <w:b/>
                <w:color w:val="FFFFFF"/>
                <w:sz w:val="19"/>
              </w:rPr>
              <w:t>What the dashboard manages</w:t>
            </w:r>
          </w:p>
        </w:tc>
        <w:tc>
          <w:tcPr>
            <w:tcW w:type="dxa" w:w="2736"/>
            <w:shd w:fill="0B6B3A"/>
            <w:vAlign w:val="center"/>
            <w:tcMar>
              <w:top w:w="100" w:type="dxa"/>
              <w:start w:w="120" w:type="dxa"/>
              <w:bottom w:w="100" w:type="dxa"/>
              <w:end w:w="120" w:type="dxa"/>
            </w:tcMar>
          </w:tcPr>
          <w:p>
            <w:pPr>
              <w:keepLines/>
              <w:spacing w:after="0"/>
            </w:pPr>
            <w:r>
              <w:rPr>
                <w:rFonts w:ascii="Aptos" w:hAnsi="Aptos"/>
                <w:b/>
                <w:color w:val="FFFFFF"/>
                <w:sz w:val="19"/>
              </w:rPr>
              <w:t>Operational result</w:t>
            </w:r>
          </w:p>
        </w:tc>
      </w:tr>
      <w:tr>
        <w:tc>
          <w:tcPr>
            <w:tcW w:type="dxa" w:w="1224"/>
            <w:vAlign w:val="center"/>
            <w:tcMar>
              <w:top w:w="100" w:type="dxa"/>
              <w:start w:w="120" w:type="dxa"/>
              <w:bottom w:w="100" w:type="dxa"/>
              <w:end w:w="120" w:type="dxa"/>
            </w:tcMar>
          </w:tcPr>
          <w:p>
            <w:pPr>
              <w:keepLines/>
              <w:spacing w:after="0"/>
            </w:pPr>
            <w:r>
              <w:rPr>
                <w:rFonts w:ascii="Aptos" w:hAnsi="Aptos"/>
                <w:color w:val="163229"/>
                <w:sz w:val="18"/>
              </w:rPr>
              <w:t>Parent</w:t>
            </w:r>
          </w:p>
        </w:tc>
        <w:tc>
          <w:tcPr>
            <w:tcW w:type="dxa" w:w="2376"/>
            <w:vAlign w:val="center"/>
            <w:tcMar>
              <w:top w:w="100" w:type="dxa"/>
              <w:start w:w="120" w:type="dxa"/>
              <w:bottom w:w="100" w:type="dxa"/>
              <w:end w:w="120" w:type="dxa"/>
            </w:tcMar>
          </w:tcPr>
          <w:p>
            <w:pPr>
              <w:keepLines/>
              <w:spacing w:after="0"/>
            </w:pPr>
            <w:r>
              <w:rPr>
                <w:rFonts w:ascii="Aptos" w:hAnsi="Aptos"/>
                <w:color w:val="163229"/>
                <w:sz w:val="18"/>
              </w:rPr>
              <w:t>Initial programme interest for the family</w:t>
            </w:r>
          </w:p>
        </w:tc>
        <w:tc>
          <w:tcPr>
            <w:tcW w:type="dxa" w:w="3240"/>
            <w:vAlign w:val="center"/>
            <w:tcMar>
              <w:top w:w="100" w:type="dxa"/>
              <w:start w:w="120" w:type="dxa"/>
              <w:bottom w:w="100" w:type="dxa"/>
              <w:end w:w="120" w:type="dxa"/>
            </w:tcMar>
          </w:tcPr>
          <w:p>
            <w:pPr>
              <w:keepLines/>
              <w:spacing w:after="0"/>
            </w:pPr>
            <w:r>
              <w:rPr>
                <w:rFonts w:ascii="Aptos" w:hAnsi="Aptos"/>
                <w:color w:val="163229"/>
                <w:sz w:val="18"/>
              </w:rPr>
              <w:t>Learner-by-learner enrolment eligibility and requests</w:t>
            </w:r>
          </w:p>
        </w:tc>
        <w:tc>
          <w:tcPr>
            <w:tcW w:type="dxa" w:w="2736"/>
            <w:vAlign w:val="center"/>
            <w:tcMar>
              <w:top w:w="100" w:type="dxa"/>
              <w:start w:w="120" w:type="dxa"/>
              <w:bottom w:w="100" w:type="dxa"/>
              <w:end w:w="120" w:type="dxa"/>
            </w:tcMar>
          </w:tcPr>
          <w:p>
            <w:pPr>
              <w:keepLines/>
              <w:spacing w:after="0"/>
            </w:pPr>
            <w:r>
              <w:rPr>
                <w:rFonts w:ascii="Aptos" w:hAnsi="Aptos"/>
                <w:color w:val="163229"/>
                <w:sz w:val="18"/>
              </w:rPr>
              <w:t>A child may become enrolled and later assigned to a class</w:t>
            </w:r>
          </w:p>
        </w:tc>
      </w:tr>
      <w:tr>
        <w:tc>
          <w:tcPr>
            <w:tcW w:type="dxa" w:w="1224"/>
            <w:vAlign w:val="center"/>
            <w:tcMar>
              <w:top w:w="100" w:type="dxa"/>
              <w:start w:w="120" w:type="dxa"/>
              <w:bottom w:w="100" w:type="dxa"/>
              <w:end w:w="120" w:type="dxa"/>
            </w:tcMar>
            <w:shd w:fill="F4FAF7"/>
          </w:tcPr>
          <w:p>
            <w:pPr>
              <w:keepLines/>
              <w:spacing w:after="0"/>
            </w:pPr>
            <w:r>
              <w:rPr>
                <w:rFonts w:ascii="Aptos" w:hAnsi="Aptos"/>
                <w:color w:val="163229"/>
                <w:sz w:val="18"/>
              </w:rPr>
              <w:t>Volunteer</w:t>
            </w:r>
          </w:p>
        </w:tc>
        <w:tc>
          <w:tcPr>
            <w:tcW w:type="dxa" w:w="2376"/>
            <w:vAlign w:val="center"/>
            <w:tcMar>
              <w:top w:w="100" w:type="dxa"/>
              <w:start w:w="120" w:type="dxa"/>
              <w:bottom w:w="100" w:type="dxa"/>
              <w:end w:w="120" w:type="dxa"/>
            </w:tcMar>
            <w:shd w:fill="F4FAF7"/>
          </w:tcPr>
          <w:p>
            <w:pPr>
              <w:keepLines/>
              <w:spacing w:after="0"/>
            </w:pPr>
            <w:r>
              <w:rPr>
                <w:rFonts w:ascii="Aptos" w:hAnsi="Aptos"/>
                <w:color w:val="163229"/>
                <w:sz w:val="18"/>
              </w:rPr>
              <w:t>Programmes they would like to support</w:t>
            </w:r>
          </w:p>
        </w:tc>
        <w:tc>
          <w:tcPr>
            <w:tcW w:type="dxa" w:w="3240"/>
            <w:vAlign w:val="center"/>
            <w:tcMar>
              <w:top w:w="100" w:type="dxa"/>
              <w:start w:w="120" w:type="dxa"/>
              <w:bottom w:w="100" w:type="dxa"/>
              <w:end w:w="120" w:type="dxa"/>
            </w:tcMar>
            <w:shd w:fill="F4FAF7"/>
          </w:tcPr>
          <w:p>
            <w:pPr>
              <w:keepLines/>
              <w:spacing w:after="0"/>
            </w:pPr>
            <w:r>
              <w:rPr>
                <w:rFonts w:ascii="Aptos" w:hAnsi="Aptos"/>
                <w:color w:val="163229"/>
                <w:sz w:val="18"/>
              </w:rPr>
              <w:t>Interest, training, approval and matching eligibility</w:t>
            </w:r>
          </w:p>
        </w:tc>
        <w:tc>
          <w:tcPr>
            <w:tcW w:type="dxa" w:w="2736"/>
            <w:vAlign w:val="center"/>
            <w:tcMar>
              <w:top w:w="100" w:type="dxa"/>
              <w:start w:w="120" w:type="dxa"/>
              <w:bottom w:w="100" w:type="dxa"/>
              <w:end w:w="120" w:type="dxa"/>
            </w:tcMar>
            <w:shd w:fill="F4FAF7"/>
          </w:tcPr>
          <w:p>
            <w:pPr>
              <w:keepLines/>
              <w:spacing w:after="0"/>
            </w:pPr>
            <w:r>
              <w:rPr>
                <w:rFonts w:ascii="Aptos" w:hAnsi="Aptos"/>
                <w:color w:val="163229"/>
                <w:sz w:val="18"/>
              </w:rPr>
              <w:t>An approved volunteer becomes eligible for class assignment</w:t>
            </w:r>
          </w:p>
        </w:tc>
      </w:tr>
      <w:tr>
        <w:tc>
          <w:tcPr>
            <w:tcW w:type="dxa" w:w="1224"/>
            <w:vAlign w:val="center"/>
            <w:tcMar>
              <w:top w:w="100" w:type="dxa"/>
              <w:start w:w="120" w:type="dxa"/>
              <w:bottom w:w="100" w:type="dxa"/>
              <w:end w:w="120" w:type="dxa"/>
            </w:tcMar>
          </w:tcPr>
          <w:p>
            <w:pPr>
              <w:keepLines/>
              <w:spacing w:after="0"/>
            </w:pPr>
            <w:r>
              <w:rPr>
                <w:rFonts w:ascii="Aptos" w:hAnsi="Aptos"/>
                <w:color w:val="163229"/>
                <w:sz w:val="18"/>
              </w:rPr>
              <w:t>Hub admin</w:t>
            </w:r>
          </w:p>
        </w:tc>
        <w:tc>
          <w:tcPr>
            <w:tcW w:type="dxa" w:w="2376"/>
            <w:vAlign w:val="center"/>
            <w:tcMar>
              <w:top w:w="100" w:type="dxa"/>
              <w:start w:w="120" w:type="dxa"/>
              <w:bottom w:w="100" w:type="dxa"/>
              <w:end w:w="120" w:type="dxa"/>
            </w:tcMar>
          </w:tcPr>
          <w:p>
            <w:pPr>
              <w:keepLines/>
              <w:spacing w:after="0"/>
            </w:pPr>
            <w:r>
              <w:rPr>
                <w:rFonts w:ascii="Aptos" w:hAnsi="Aptos"/>
                <w:color w:val="163229"/>
                <w:sz w:val="18"/>
              </w:rPr>
              <w:t>Programmes the hub intends to run</w:t>
            </w:r>
          </w:p>
        </w:tc>
        <w:tc>
          <w:tcPr>
            <w:tcW w:type="dxa" w:w="3240"/>
            <w:vAlign w:val="center"/>
            <w:tcMar>
              <w:top w:w="100" w:type="dxa"/>
              <w:start w:w="120" w:type="dxa"/>
              <w:bottom w:w="100" w:type="dxa"/>
              <w:end w:w="120" w:type="dxa"/>
            </w:tcMar>
          </w:tcPr>
          <w:p>
            <w:pPr>
              <w:keepLines/>
              <w:spacing w:after="0"/>
            </w:pPr>
            <w:r>
              <w:rPr>
                <w:rFonts w:ascii="Aptos" w:hAnsi="Aptos"/>
                <w:color w:val="163229"/>
                <w:sz w:val="18"/>
              </w:rPr>
              <w:t>Approval, readiness, activation and capacity</w:t>
            </w:r>
          </w:p>
        </w:tc>
        <w:tc>
          <w:tcPr>
            <w:tcW w:type="dxa" w:w="2736"/>
            <w:vAlign w:val="center"/>
            <w:tcMar>
              <w:top w:w="100" w:type="dxa"/>
              <w:start w:w="120" w:type="dxa"/>
              <w:bottom w:w="100" w:type="dxa"/>
              <w:end w:w="120" w:type="dxa"/>
            </w:tcMar>
          </w:tcPr>
          <w:p>
            <w:pPr>
              <w:keepLines/>
              <w:spacing w:after="0"/>
            </w:pPr>
            <w:r>
              <w:rPr>
                <w:rFonts w:ascii="Aptos" w:hAnsi="Aptos"/>
                <w:color w:val="163229"/>
                <w:sz w:val="18"/>
              </w:rPr>
              <w:t>An approved and ready programme becomes active at the hub</w:t>
            </w:r>
          </w:p>
        </w:tc>
      </w:tr>
      <w:tr>
        <w:tc>
          <w:tcPr>
            <w:tcW w:type="dxa" w:w="1224"/>
            <w:vAlign w:val="center"/>
            <w:tcMar>
              <w:top w:w="100" w:type="dxa"/>
              <w:start w:w="120" w:type="dxa"/>
              <w:bottom w:w="100" w:type="dxa"/>
              <w:end w:w="120" w:type="dxa"/>
            </w:tcMar>
            <w:shd w:fill="F4FAF7"/>
          </w:tcPr>
          <w:p>
            <w:pPr>
              <w:keepLines/>
              <w:spacing w:after="0"/>
            </w:pPr>
            <w:r>
              <w:rPr>
                <w:rFonts w:ascii="Aptos" w:hAnsi="Aptos"/>
                <w:color w:val="163229"/>
                <w:sz w:val="18"/>
              </w:rPr>
              <w:t>Administrator</w:t>
            </w:r>
          </w:p>
        </w:tc>
        <w:tc>
          <w:tcPr>
            <w:tcW w:type="dxa" w:w="2376"/>
            <w:vAlign w:val="center"/>
            <w:tcMar>
              <w:top w:w="100" w:type="dxa"/>
              <w:start w:w="120" w:type="dxa"/>
              <w:bottom w:w="100" w:type="dxa"/>
              <w:end w:w="120" w:type="dxa"/>
            </w:tcMar>
            <w:shd w:fill="F4FAF7"/>
          </w:tcPr>
          <w:p>
            <w:pPr>
              <w:keepLines/>
              <w:spacing w:after="0"/>
            </w:pPr>
            <w:r>
              <w:rPr>
                <w:rFonts w:ascii="Aptos" w:hAnsi="Aptos"/>
                <w:color w:val="163229"/>
                <w:sz w:val="18"/>
              </w:rPr>
              <w:t>Not an enrolment role</w:t>
            </w:r>
          </w:p>
        </w:tc>
        <w:tc>
          <w:tcPr>
            <w:tcW w:type="dxa" w:w="3240"/>
            <w:vAlign w:val="center"/>
            <w:tcMar>
              <w:top w:w="100" w:type="dxa"/>
              <w:start w:w="120" w:type="dxa"/>
              <w:bottom w:w="100" w:type="dxa"/>
              <w:end w:w="120" w:type="dxa"/>
            </w:tcMar>
            <w:shd w:fill="F4FAF7"/>
          </w:tcPr>
          <w:p>
            <w:pPr>
              <w:keepLines/>
              <w:spacing w:after="0"/>
            </w:pPr>
            <w:r>
              <w:rPr>
                <w:rFonts w:ascii="Aptos" w:hAnsi="Aptos"/>
                <w:color w:val="163229"/>
                <w:sz w:val="18"/>
              </w:rPr>
              <w:t>Review, approval, capacity and matching</w:t>
            </w:r>
          </w:p>
        </w:tc>
        <w:tc>
          <w:tcPr>
            <w:tcW w:type="dxa" w:w="2736"/>
            <w:vAlign w:val="center"/>
            <w:tcMar>
              <w:top w:w="100" w:type="dxa"/>
              <w:start w:w="120" w:type="dxa"/>
              <w:bottom w:w="100" w:type="dxa"/>
              <w:end w:w="120" w:type="dxa"/>
            </w:tcMar>
            <w:shd w:fill="F4FAF7"/>
          </w:tcPr>
          <w:p>
            <w:pPr>
              <w:keepLines/>
              <w:spacing w:after="0"/>
            </w:pPr>
            <w:r>
              <w:rPr>
                <w:rFonts w:ascii="Aptos" w:hAnsi="Aptos"/>
                <w:color w:val="163229"/>
                <w:sz w:val="18"/>
              </w:rPr>
              <w:t>Relationships become operational after checks</w:t>
            </w:r>
          </w:p>
        </w:tc>
      </w:tr>
    </w:tbl>
    <w:p>
      <w:pPr>
        <w:spacing w:after="20"/>
      </w:pPr>
    </w:p>
    <w:p>
      <w:pPr>
        <w:pStyle w:val="Heading2"/>
      </w:pPr>
      <w:r>
        <w:t>Parent Programme Dashboard</w:t>
      </w:r>
    </w:p>
    <w:p>
      <w:pPr>
        <w:pStyle w:val="ListBullet"/>
      </w:pPr>
      <w:r>
        <w:t>A programme expands to show every learner attached to the parent account.</w:t>
      </w:r>
    </w:p>
    <w:p>
      <w:pPr>
        <w:pStyle w:val="ListBullet"/>
      </w:pPr>
      <w:r>
        <w:t>Each learner has a status: Enrolled, Eligible, Pending, Waitlisted, Not eligible or Removal requested.</w:t>
      </w:r>
    </w:p>
    <w:p>
      <w:pPr>
        <w:pStyle w:val="ListBullet"/>
      </w:pPr>
      <w:r>
        <w:t>Parents select one or more eligible learners before requesting enrolment.</w:t>
      </w:r>
    </w:p>
    <w:p>
      <w:pPr>
        <w:pStyle w:val="ListBullet"/>
      </w:pPr>
      <w:r>
        <w:t>Enrolled learners can have a removal request submitted.</w:t>
      </w:r>
    </w:p>
    <w:p>
      <w:pPr>
        <w:pStyle w:val="ListBullet"/>
      </w:pPr>
      <w:r>
        <w:t>This replaces the inaccurate idea that the parent account itself is enrolled.</w:t>
      </w:r>
    </w:p>
    <w:p>
      <w:pPr>
        <w:pStyle w:val="Heading2"/>
      </w:pPr>
      <w:r>
        <w:t>Volunteer Programme Dashboard</w:t>
      </w:r>
    </w:p>
    <w:p>
      <w:pPr>
        <w:pStyle w:val="ListBullet"/>
      </w:pPr>
      <w:r>
        <w:t>Eligible: training and safeguarding requirements are complete.</w:t>
      </w:r>
    </w:p>
    <w:p>
      <w:pPr>
        <w:pStyle w:val="ListBullet"/>
      </w:pPr>
      <w:r>
        <w:t>Training required: interest exists, but programme requirements are incomplete.</w:t>
      </w:r>
    </w:p>
    <w:p>
      <w:pPr>
        <w:pStyle w:val="ListBullet"/>
      </w:pPr>
      <w:r>
        <w:t>Under review: interest has been submitted and approval is progressing.</w:t>
      </w:r>
    </w:p>
    <w:p>
      <w:pPr>
        <w:pStyle w:val="ListBullet"/>
      </w:pPr>
      <w:r>
        <w:t>Available: the volunteer may register interest.</w:t>
      </w:r>
    </w:p>
    <w:p>
      <w:pPr>
        <w:pStyle w:val="ListBullet"/>
      </w:pPr>
      <w:r>
        <w:t>Approval does not assign a class; confirmed assignments remain under My Classes.</w:t>
      </w:r>
    </w:p>
    <w:p>
      <w:pPr>
        <w:pStyle w:val="Heading2"/>
      </w:pPr>
      <w:r>
        <w:t>Hub Programme Dashboard</w:t>
      </w:r>
    </w:p>
    <w:p>
      <w:pPr>
        <w:pStyle w:val="ListBullet"/>
      </w:pPr>
      <w:r>
        <w:t>Active: currently running at the hub.</w:t>
      </w:r>
    </w:p>
    <w:p>
      <w:pPr>
        <w:pStyle w:val="ListBullet"/>
      </w:pPr>
      <w:r>
        <w:t>Approved: permitted but not yet launched.</w:t>
      </w:r>
    </w:p>
    <w:p>
      <w:pPr>
        <w:pStyle w:val="ListBullet"/>
      </w:pPr>
      <w:r>
        <w:t>Pending review: a programme request is being assessed.</w:t>
      </w:r>
    </w:p>
    <w:p>
      <w:pPr>
        <w:pStyle w:val="ListBullet"/>
      </w:pPr>
      <w:r>
        <w:t>Setup required: operational requirements remain incomplete.</w:t>
      </w:r>
    </w:p>
    <w:p>
      <w:pPr>
        <w:pStyle w:val="ListBullet"/>
      </w:pPr>
      <w:r>
        <w:t>Available: the hub can submit a programme request.</w:t>
      </w:r>
    </w:p>
    <w:p>
      <w:r>
        <w:br w:type="page"/>
      </w:r>
    </w:p>
    <w:p>
      <w:pPr>
        <w:pStyle w:val="Heading1"/>
      </w:pPr>
      <w:r>
        <w:t>6. Hub Profile and Programme Requests</w:t>
      </w:r>
    </w:p>
    <w:p>
      <w:pPr>
        <w:pStyle w:val="Heading2"/>
      </w:pPr>
      <w:r>
        <w:t>The Duplication Problem</w:t>
      </w:r>
    </w:p>
    <w:p>
      <w:r>
        <w:t>Hub onboarding already collects programme choices, infrastructure, session preferences and support needs. Repeating all of these fields during every programme request would create friction and inconsistent data.</w:t>
      </w:r>
    </w:p>
    <w:p>
      <w:pPr>
        <w:pStyle w:val="Heading2"/>
      </w:pPr>
      <w:r>
        <w:t>Refined Ownership</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4680"/>
            <w:shd w:fill="0B6B3A"/>
            <w:vAlign w:val="center"/>
            <w:tcMar>
              <w:top w:w="100" w:type="dxa"/>
              <w:start w:w="120" w:type="dxa"/>
              <w:bottom w:w="100" w:type="dxa"/>
              <w:end w:w="120" w:type="dxa"/>
            </w:tcMar>
          </w:tcPr>
          <w:p>
            <w:pPr>
              <w:keepLines/>
              <w:spacing w:after="0"/>
            </w:pPr>
            <w:r>
              <w:rPr>
                <w:rFonts w:ascii="Aptos" w:hAnsi="Aptos"/>
                <w:b/>
                <w:color w:val="FFFFFF"/>
                <w:sz w:val="19"/>
              </w:rPr>
              <w:t>Hub Profile owns</w:t>
            </w:r>
          </w:p>
        </w:tc>
        <w:tc>
          <w:tcPr>
            <w:tcW w:type="dxa" w:w="4896"/>
            <w:shd w:fill="0B6B3A"/>
            <w:vAlign w:val="center"/>
            <w:tcMar>
              <w:top w:w="100" w:type="dxa"/>
              <w:start w:w="120" w:type="dxa"/>
              <w:bottom w:w="100" w:type="dxa"/>
              <w:end w:w="120" w:type="dxa"/>
            </w:tcMar>
          </w:tcPr>
          <w:p>
            <w:pPr>
              <w:keepLines/>
              <w:spacing w:after="0"/>
            </w:pPr>
            <w:r>
              <w:rPr>
                <w:rFonts w:ascii="Aptos" w:hAnsi="Aptos"/>
                <w:b/>
                <w:color w:val="FFFFFF"/>
                <w:sz w:val="19"/>
              </w:rPr>
              <w:t>Programme request owns</w:t>
            </w:r>
          </w:p>
        </w:tc>
      </w:tr>
      <w:tr>
        <w:tc>
          <w:tcPr>
            <w:tcW w:type="dxa" w:w="4680"/>
            <w:vAlign w:val="center"/>
            <w:tcMar>
              <w:top w:w="100" w:type="dxa"/>
              <w:start w:w="120" w:type="dxa"/>
              <w:bottom w:w="100" w:type="dxa"/>
              <w:end w:w="120" w:type="dxa"/>
            </w:tcMar>
          </w:tcPr>
          <w:p>
            <w:pPr>
              <w:keepLines/>
              <w:spacing w:after="0"/>
            </w:pPr>
            <w:r>
              <w:rPr>
                <w:rFonts w:ascii="Aptos" w:hAnsi="Aptos"/>
                <w:color w:val="163229"/>
                <w:sz w:val="18"/>
              </w:rPr>
              <w:t>Internet reliability and power supply</w:t>
            </w:r>
          </w:p>
        </w:tc>
        <w:tc>
          <w:tcPr>
            <w:tcW w:type="dxa" w:w="4896"/>
            <w:vAlign w:val="center"/>
            <w:tcMar>
              <w:top w:w="100" w:type="dxa"/>
              <w:start w:w="120" w:type="dxa"/>
              <w:bottom w:w="100" w:type="dxa"/>
              <w:end w:w="120" w:type="dxa"/>
            </w:tcMar>
          </w:tcPr>
          <w:p>
            <w:pPr>
              <w:keepLines/>
              <w:spacing w:after="0"/>
            </w:pPr>
            <w:r>
              <w:rPr>
                <w:rFonts w:ascii="Aptos" w:hAnsi="Aptos"/>
                <w:color w:val="163229"/>
                <w:sz w:val="18"/>
              </w:rPr>
              <w:t>Expected learners for this programme</w:t>
            </w:r>
          </w:p>
        </w:tc>
      </w:tr>
      <w:tr>
        <w:tc>
          <w:tcPr>
            <w:tcW w:type="dxa" w:w="4680"/>
            <w:vAlign w:val="center"/>
            <w:tcMar>
              <w:top w:w="100" w:type="dxa"/>
              <w:start w:w="120" w:type="dxa"/>
              <w:bottom w:w="100" w:type="dxa"/>
              <w:end w:w="120" w:type="dxa"/>
            </w:tcMar>
            <w:shd w:fill="F4FAF7"/>
          </w:tcPr>
          <w:p>
            <w:pPr>
              <w:keepLines/>
              <w:spacing w:after="0"/>
            </w:pPr>
            <w:r>
              <w:rPr>
                <w:rFonts w:ascii="Aptos" w:hAnsi="Aptos"/>
                <w:color w:val="163229"/>
                <w:sz w:val="18"/>
              </w:rPr>
              <w:t>Number of available computers/devices</w:t>
            </w:r>
          </w:p>
        </w:tc>
        <w:tc>
          <w:tcPr>
            <w:tcW w:type="dxa" w:w="4896"/>
            <w:vAlign w:val="center"/>
            <w:tcMar>
              <w:top w:w="100" w:type="dxa"/>
              <w:start w:w="120" w:type="dxa"/>
              <w:bottom w:w="100" w:type="dxa"/>
              <w:end w:w="120" w:type="dxa"/>
            </w:tcMar>
            <w:shd w:fill="F4FAF7"/>
          </w:tcPr>
          <w:p>
            <w:pPr>
              <w:keepLines/>
              <w:spacing w:after="0"/>
            </w:pPr>
            <w:r>
              <w:rPr>
                <w:rFonts w:ascii="Aptos" w:hAnsi="Aptos"/>
                <w:color w:val="163229"/>
                <w:sz w:val="18"/>
              </w:rPr>
              <w:t>Target age group</w:t>
            </w:r>
          </w:p>
        </w:tc>
      </w:tr>
      <w:tr>
        <w:tc>
          <w:tcPr>
            <w:tcW w:type="dxa" w:w="4680"/>
            <w:vAlign w:val="center"/>
            <w:tcMar>
              <w:top w:w="100" w:type="dxa"/>
              <w:start w:w="120" w:type="dxa"/>
              <w:bottom w:w="100" w:type="dxa"/>
              <w:end w:w="120" w:type="dxa"/>
            </w:tcMar>
          </w:tcPr>
          <w:p>
            <w:pPr>
              <w:keepLines/>
              <w:spacing w:after="0"/>
            </w:pPr>
            <w:r>
              <w:rPr>
                <w:rFonts w:ascii="Aptos" w:hAnsi="Aptos"/>
                <w:color w:val="163229"/>
                <w:sz w:val="18"/>
              </w:rPr>
              <w:t>Overall learner capacity</w:t>
            </w:r>
          </w:p>
        </w:tc>
        <w:tc>
          <w:tcPr>
            <w:tcW w:type="dxa" w:w="4896"/>
            <w:vAlign w:val="center"/>
            <w:tcMar>
              <w:top w:w="100" w:type="dxa"/>
              <w:start w:w="120" w:type="dxa"/>
              <w:bottom w:w="100" w:type="dxa"/>
              <w:end w:w="120" w:type="dxa"/>
            </w:tcMar>
          </w:tcPr>
          <w:p>
            <w:pPr>
              <w:keepLines/>
              <w:spacing w:after="0"/>
            </w:pPr>
            <w:r>
              <w:rPr>
                <w:rFonts w:ascii="Aptos" w:hAnsi="Aptos"/>
                <w:color w:val="163229"/>
                <w:sz w:val="18"/>
              </w:rPr>
              <w:t>Preferred programme start month</w:t>
            </w:r>
          </w:p>
        </w:tc>
      </w:tr>
      <w:tr>
        <w:tc>
          <w:tcPr>
            <w:tcW w:type="dxa" w:w="4680"/>
            <w:vAlign w:val="center"/>
            <w:tcMar>
              <w:top w:w="100" w:type="dxa"/>
              <w:start w:w="120" w:type="dxa"/>
              <w:bottom w:w="100" w:type="dxa"/>
              <w:end w:w="120" w:type="dxa"/>
            </w:tcMar>
            <w:shd w:fill="F4FAF7"/>
          </w:tcPr>
          <w:p>
            <w:pPr>
              <w:keepLines/>
              <w:spacing w:after="0"/>
            </w:pPr>
            <w:r>
              <w:rPr>
                <w:rFonts w:ascii="Aptos" w:hAnsi="Aptos"/>
                <w:color w:val="163229"/>
                <w:sz w:val="18"/>
              </w:rPr>
              <w:t>Supported age groups</w:t>
            </w:r>
          </w:p>
        </w:tc>
        <w:tc>
          <w:tcPr>
            <w:tcW w:type="dxa" w:w="4896"/>
            <w:vAlign w:val="center"/>
            <w:tcMar>
              <w:top w:w="100" w:type="dxa"/>
              <w:start w:w="120" w:type="dxa"/>
              <w:bottom w:w="100" w:type="dxa"/>
              <w:end w:w="120" w:type="dxa"/>
            </w:tcMar>
            <w:shd w:fill="F4FAF7"/>
          </w:tcPr>
          <w:p>
            <w:pPr>
              <w:keepLines/>
              <w:spacing w:after="0"/>
            </w:pPr>
            <w:r>
              <w:rPr>
                <w:rFonts w:ascii="Aptos" w:hAnsi="Aptos"/>
                <w:color w:val="163229"/>
                <w:sz w:val="18"/>
              </w:rPr>
              <w:t>Programme-specific schedule</w:t>
            </w:r>
          </w:p>
        </w:tc>
      </w:tr>
      <w:tr>
        <w:tc>
          <w:tcPr>
            <w:tcW w:type="dxa" w:w="4680"/>
            <w:vAlign w:val="center"/>
            <w:tcMar>
              <w:top w:w="100" w:type="dxa"/>
              <w:start w:w="120" w:type="dxa"/>
              <w:bottom w:w="100" w:type="dxa"/>
              <w:end w:w="120" w:type="dxa"/>
            </w:tcMar>
          </w:tcPr>
          <w:p>
            <w:pPr>
              <w:keepLines/>
              <w:spacing w:after="0"/>
            </w:pPr>
            <w:r>
              <w:rPr>
                <w:rFonts w:ascii="Aptos" w:hAnsi="Aptos"/>
                <w:color w:val="163229"/>
                <w:sz w:val="18"/>
              </w:rPr>
              <w:t>General operating days and time slots</w:t>
            </w:r>
          </w:p>
        </w:tc>
        <w:tc>
          <w:tcPr>
            <w:tcW w:type="dxa" w:w="4896"/>
            <w:vAlign w:val="center"/>
            <w:tcMar>
              <w:top w:w="100" w:type="dxa"/>
              <w:start w:w="120" w:type="dxa"/>
              <w:bottom w:w="100" w:type="dxa"/>
              <w:end w:w="120" w:type="dxa"/>
            </w:tcMar>
          </w:tcPr>
          <w:p>
            <w:pPr>
              <w:keepLines/>
              <w:spacing w:after="0"/>
            </w:pPr>
            <w:r>
              <w:rPr>
                <w:rFonts w:ascii="Aptos" w:hAnsi="Aptos"/>
                <w:color w:val="163229"/>
                <w:sz w:val="18"/>
              </w:rPr>
              <w:t>Delivery preference</w:t>
            </w:r>
          </w:p>
        </w:tc>
      </w:tr>
      <w:tr>
        <w:tc>
          <w:tcPr>
            <w:tcW w:type="dxa" w:w="4680"/>
            <w:vAlign w:val="center"/>
            <w:tcMar>
              <w:top w:w="100" w:type="dxa"/>
              <w:start w:w="120" w:type="dxa"/>
              <w:bottom w:w="100" w:type="dxa"/>
              <w:end w:w="120" w:type="dxa"/>
            </w:tcMar>
            <w:shd w:fill="F4FAF7"/>
          </w:tcPr>
          <w:p>
            <w:pPr>
              <w:keepLines/>
              <w:spacing w:after="0"/>
            </w:pPr>
            <w:r>
              <w:rPr>
                <w:rFonts w:ascii="Aptos" w:hAnsi="Aptos"/>
                <w:color w:val="163229"/>
                <w:sz w:val="18"/>
              </w:rPr>
              <w:t>Timezone and ongoing support needs</w:t>
            </w:r>
          </w:p>
        </w:tc>
        <w:tc>
          <w:tcPr>
            <w:tcW w:type="dxa" w:w="4896"/>
            <w:vAlign w:val="center"/>
            <w:tcMar>
              <w:top w:w="100" w:type="dxa"/>
              <w:start w:w="120" w:type="dxa"/>
              <w:bottom w:w="100" w:type="dxa"/>
              <w:end w:w="120" w:type="dxa"/>
            </w:tcMar>
            <w:shd w:fill="F4FAF7"/>
          </w:tcPr>
          <w:p>
            <w:pPr>
              <w:keepLines/>
              <w:spacing w:after="0"/>
            </w:pPr>
            <w:r>
              <w:rPr>
                <w:rFonts w:ascii="Aptos" w:hAnsi="Aptos"/>
                <w:color w:val="163229"/>
                <w:sz w:val="18"/>
              </w:rPr>
              <w:t>Programme-specific support or accessibility needs</w:t>
            </w:r>
          </w:p>
        </w:tc>
      </w:tr>
    </w:tbl>
    <w:p>
      <w:pPr>
        <w:spacing w:after="20"/>
      </w:pPr>
    </w:p>
    <w:p>
      <w:pPr>
        <w:pStyle w:val="Heading2"/>
      </w:pPr>
      <w:r>
        <w:t>Implemented Hub Operations Editor</w:t>
      </w:r>
    </w:p>
    <w:p>
      <w:pPr>
        <w:pStyle w:val="ListBullet"/>
      </w:pPr>
      <w:r>
        <w:t>Hub administrators can update internet, computers, power, learner capacity and timezone.</w:t>
      </w:r>
    </w:p>
    <w:p>
      <w:pPr>
        <w:pStyle w:val="ListBullet"/>
      </w:pPr>
      <w:r>
        <w:t>They can add or remove age groups, operating days, time slots and support needs.</w:t>
      </w:r>
    </w:p>
    <w:p>
      <w:pPr>
        <w:pStyle w:val="ListBullet"/>
      </w:pPr>
      <w:r>
        <w:t>Changes persist locally in the current prototype.</w:t>
      </w:r>
    </w:p>
    <w:p>
      <w:pPr>
        <w:pStyle w:val="ListBullet"/>
      </w:pPr>
      <w:r>
        <w:t>Programme requests display a read-only readiness summary sourced from Hub Profile.</w:t>
      </w:r>
    </w:p>
    <w:tbl>
      <w:tblPr>
        <w:tblW w:type="auto" w:w="0"/>
        <w:tblLayout w:type="fixed"/>
        <w:tblLook w:firstColumn="1" w:firstRow="1" w:lastColumn="0" w:lastRow="0" w:noHBand="0" w:noVBand="1" w:val="04A0"/>
      </w:tblPr>
      <w:tblGrid>
        <w:gridCol w:w="9576"/>
      </w:tblGrid>
      <w:tr>
        <w:tc>
          <w:tcPr>
            <w:tcW w:type="dxa" w:w="9936"/>
            <w:shd w:fill="E6F4ED"/>
            <w:tcMar>
              <w:top w:w="150" w:type="dxa"/>
              <w:start w:w="180" w:type="dxa"/>
              <w:bottom w:w="150" w:type="dxa"/>
              <w:end w:w="180" w:type="dxa"/>
            </w:tcMar>
            <w:vAlign w:val="center"/>
          </w:tcPr>
          <w:p>
            <w:pPr>
              <w:pStyle w:val="Callout"/>
              <w:keepLines/>
              <w:spacing w:after="0"/>
            </w:pPr>
            <w:r>
              <w:rPr>
                <w:b/>
              </w:rPr>
              <w:t xml:space="preserve">Practical example: </w:t>
            </w:r>
            <w:r>
              <w:rPr>
                <w:b w:val="0"/>
              </w:rPr>
              <w:t>If a hub adds solar power, acquires more computers or starts opening on Sundays, the administrator updates Hub Profile once. New programme requests immediately use the revised readiness context.</w:t>
            </w:r>
          </w:p>
        </w:tc>
      </w:tr>
    </w:tbl>
    <w:p>
      <w:pPr>
        <w:spacing w:after="20"/>
      </w:pPr>
    </w:p>
    <w:p>
      <w:pPr>
        <w:pStyle w:val="Heading1"/>
      </w:pPr>
      <w:r>
        <w:t>7. User Journeys After Refinement</w:t>
      </w:r>
    </w:p>
    <w:p>
      <w:pPr>
        <w:pStyle w:val="Heading2"/>
      </w:pPr>
      <w:r>
        <w:t>Parent requests a programme</w:t>
      </w:r>
    </w:p>
    <w:p>
      <w:pPr>
        <w:pStyle w:val="ListNumber"/>
      </w:pPr>
      <w:r>
        <w:t>Open Programmes and select a programme.</w:t>
      </w:r>
    </w:p>
    <w:p>
      <w:pPr>
        <w:pStyle w:val="ListNumber"/>
      </w:pPr>
      <w:r>
        <w:t>Review each learner's current eligibility and status.</w:t>
      </w:r>
    </w:p>
    <w:p>
      <w:pPr>
        <w:pStyle w:val="ListNumber"/>
      </w:pPr>
      <w:r>
        <w:t>Select one or more eligible learners.</w:t>
      </w:r>
    </w:p>
    <w:p>
      <w:pPr>
        <w:pStyle w:val="ListNumber"/>
      </w:pPr>
      <w:r>
        <w:t>Submit an enrolment request.</w:t>
      </w:r>
    </w:p>
    <w:p>
      <w:pPr>
        <w:pStyle w:val="ListNumber"/>
      </w:pPr>
      <w:r>
        <w:t>Track pending, waitlisted or enrolled status.</w:t>
      </w:r>
    </w:p>
    <w:p>
      <w:pPr>
        <w:pStyle w:val="Heading2"/>
      </w:pPr>
      <w:r>
        <w:t>Volunteer becomes eligible</w:t>
      </w:r>
    </w:p>
    <w:p>
      <w:pPr>
        <w:pStyle w:val="ListNumber"/>
      </w:pPr>
      <w:r>
        <w:t>Open Programmes and register interest.</w:t>
      </w:r>
    </w:p>
    <w:p>
      <w:pPr>
        <w:pStyle w:val="ListNumber"/>
      </w:pPr>
      <w:r>
        <w:t>Complete programme-specific training and safeguarding requirements.</w:t>
      </w:r>
    </w:p>
    <w:p>
      <w:pPr>
        <w:pStyle w:val="ListNumber"/>
      </w:pPr>
      <w:r>
        <w:t>Track the approval review.</w:t>
      </w:r>
    </w:p>
    <w:p>
      <w:pPr>
        <w:pStyle w:val="ListNumber"/>
      </w:pPr>
      <w:r>
        <w:t>Become eligible for matching.</w:t>
      </w:r>
    </w:p>
    <w:p>
      <w:pPr>
        <w:pStyle w:val="ListNumber"/>
      </w:pPr>
      <w:r>
        <w:t>Receive a confirmed class assignment under My Classes.</w:t>
      </w:r>
    </w:p>
    <w:p>
      <w:pPr>
        <w:pStyle w:val="Heading2"/>
      </w:pPr>
      <w:r>
        <w:t>Hub requests a programme</w:t>
      </w:r>
    </w:p>
    <w:p>
      <w:pPr>
        <w:pStyle w:val="ListNumber"/>
      </w:pPr>
      <w:r>
        <w:t>Keep Hub Profile operational information current.</w:t>
      </w:r>
    </w:p>
    <w:p>
      <w:pPr>
        <w:pStyle w:val="ListNumber"/>
      </w:pPr>
      <w:r>
        <w:t>Open Programmes and select an available programme.</w:t>
      </w:r>
    </w:p>
    <w:p>
      <w:pPr>
        <w:pStyle w:val="ListNumber"/>
      </w:pPr>
      <w:r>
        <w:t>Review the readiness summary sourced from Hub Profile.</w:t>
      </w:r>
    </w:p>
    <w:p>
      <w:pPr>
        <w:pStyle w:val="ListNumber"/>
      </w:pPr>
      <w:r>
        <w:t>Provide only programme-specific learner, age, schedule and support information.</w:t>
      </w:r>
    </w:p>
    <w:p>
      <w:pPr>
        <w:pStyle w:val="ListNumber"/>
      </w:pPr>
      <w:r>
        <w:t>Track review, setup, approval and activation.</w:t>
      </w:r>
    </w:p>
    <w:p>
      <w:r>
        <w:br w:type="page"/>
      </w:r>
    </w:p>
    <w:p>
      <w:pPr>
        <w:pStyle w:val="Heading1"/>
      </w:pPr>
      <w:r>
        <w:t>8. Prototype Status and Backend Requirements</w:t>
      </w:r>
    </w:p>
    <w:p>
      <w:r>
        <w:t>The current implementation establishes the front-end workflows and expected data relationships. Mock state is intentionally used so the product logic can be reviewed before backend contracts are finalised.</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4536"/>
            <w:shd w:fill="0B6B3A"/>
            <w:vAlign w:val="center"/>
            <w:tcMar>
              <w:top w:w="100" w:type="dxa"/>
              <w:start w:w="120" w:type="dxa"/>
              <w:bottom w:w="100" w:type="dxa"/>
              <w:end w:w="120" w:type="dxa"/>
            </w:tcMar>
          </w:tcPr>
          <w:p>
            <w:pPr>
              <w:keepLines/>
              <w:spacing w:after="0"/>
            </w:pPr>
            <w:r>
              <w:rPr>
                <w:rFonts w:ascii="Aptos" w:hAnsi="Aptos"/>
                <w:b/>
                <w:color w:val="FFFFFF"/>
                <w:sz w:val="19"/>
              </w:rPr>
              <w:t>Implemented in UI</w:t>
            </w:r>
          </w:p>
        </w:tc>
        <w:tc>
          <w:tcPr>
            <w:tcW w:type="dxa" w:w="5040"/>
            <w:shd w:fill="0B6B3A"/>
            <w:vAlign w:val="center"/>
            <w:tcMar>
              <w:top w:w="100" w:type="dxa"/>
              <w:start w:w="120" w:type="dxa"/>
              <w:bottom w:w="100" w:type="dxa"/>
              <w:end w:w="120" w:type="dxa"/>
            </w:tcMar>
          </w:tcPr>
          <w:p>
            <w:pPr>
              <w:keepLines/>
              <w:spacing w:after="0"/>
            </w:pPr>
            <w:r>
              <w:rPr>
                <w:rFonts w:ascii="Aptos" w:hAnsi="Aptos"/>
                <w:b/>
                <w:color w:val="FFFFFF"/>
                <w:sz w:val="19"/>
              </w:rPr>
              <w:t>Required from backend</w:t>
            </w:r>
          </w:p>
        </w:tc>
      </w:tr>
      <w:tr>
        <w:tc>
          <w:tcPr>
            <w:tcW w:type="dxa" w:w="4536"/>
            <w:vAlign w:val="center"/>
            <w:tcMar>
              <w:top w:w="100" w:type="dxa"/>
              <w:start w:w="120" w:type="dxa"/>
              <w:bottom w:w="100" w:type="dxa"/>
              <w:end w:w="120" w:type="dxa"/>
            </w:tcMar>
          </w:tcPr>
          <w:p>
            <w:pPr>
              <w:keepLines/>
              <w:spacing w:after="0"/>
            </w:pPr>
            <w:r>
              <w:rPr>
                <w:rFonts w:ascii="Aptos" w:hAnsi="Aptos"/>
                <w:color w:val="163229"/>
                <w:sz w:val="18"/>
              </w:rPr>
              <w:t>Role-specific Programme pages and actions</w:t>
            </w:r>
          </w:p>
        </w:tc>
        <w:tc>
          <w:tcPr>
            <w:tcW w:type="dxa" w:w="5040"/>
            <w:vAlign w:val="center"/>
            <w:tcMar>
              <w:top w:w="100" w:type="dxa"/>
              <w:start w:w="120" w:type="dxa"/>
              <w:bottom w:w="100" w:type="dxa"/>
              <w:end w:w="120" w:type="dxa"/>
            </w:tcMar>
          </w:tcPr>
          <w:p>
            <w:pPr>
              <w:keepLines/>
              <w:spacing w:after="0"/>
            </w:pPr>
            <w:r>
              <w:rPr>
                <w:rFonts w:ascii="Aptos" w:hAnsi="Aptos"/>
                <w:color w:val="163229"/>
                <w:sz w:val="18"/>
              </w:rPr>
              <w:t>Persistent role-programme relationships</w:t>
            </w:r>
          </w:p>
        </w:tc>
      </w:tr>
      <w:tr>
        <w:tc>
          <w:tcPr>
            <w:tcW w:type="dxa" w:w="4536"/>
            <w:vAlign w:val="center"/>
            <w:tcMar>
              <w:top w:w="100" w:type="dxa"/>
              <w:start w:w="120" w:type="dxa"/>
              <w:bottom w:w="100" w:type="dxa"/>
              <w:end w:w="120" w:type="dxa"/>
            </w:tcMar>
            <w:shd w:fill="F4FAF7"/>
          </w:tcPr>
          <w:p>
            <w:pPr>
              <w:keepLines/>
              <w:spacing w:after="0"/>
            </w:pPr>
            <w:r>
              <w:rPr>
                <w:rFonts w:ascii="Aptos" w:hAnsi="Aptos"/>
                <w:color w:val="163229"/>
                <w:sz w:val="18"/>
              </w:rPr>
              <w:t>Learner eligibility and request states</w:t>
            </w:r>
          </w:p>
        </w:tc>
        <w:tc>
          <w:tcPr>
            <w:tcW w:type="dxa" w:w="5040"/>
            <w:vAlign w:val="center"/>
            <w:tcMar>
              <w:top w:w="100" w:type="dxa"/>
              <w:start w:w="120" w:type="dxa"/>
              <w:bottom w:w="100" w:type="dxa"/>
              <w:end w:w="120" w:type="dxa"/>
            </w:tcMar>
            <w:shd w:fill="F4FAF7"/>
          </w:tcPr>
          <w:p>
            <w:pPr>
              <w:keepLines/>
              <w:spacing w:after="0"/>
            </w:pPr>
            <w:r>
              <w:rPr>
                <w:rFonts w:ascii="Aptos" w:hAnsi="Aptos"/>
                <w:color w:val="163229"/>
                <w:sz w:val="18"/>
              </w:rPr>
              <w:t>Real age, prerequisite, geography and capacity checks</w:t>
            </w:r>
          </w:p>
        </w:tc>
      </w:tr>
      <w:tr>
        <w:tc>
          <w:tcPr>
            <w:tcW w:type="dxa" w:w="4536"/>
            <w:vAlign w:val="center"/>
            <w:tcMar>
              <w:top w:w="100" w:type="dxa"/>
              <w:start w:w="120" w:type="dxa"/>
              <w:bottom w:w="100" w:type="dxa"/>
              <w:end w:w="120" w:type="dxa"/>
            </w:tcMar>
          </w:tcPr>
          <w:p>
            <w:pPr>
              <w:keepLines/>
              <w:spacing w:after="0"/>
            </w:pPr>
            <w:r>
              <w:rPr>
                <w:rFonts w:ascii="Aptos" w:hAnsi="Aptos"/>
                <w:color w:val="163229"/>
                <w:sz w:val="18"/>
              </w:rPr>
              <w:t>Volunteer training and approval states</w:t>
            </w:r>
          </w:p>
        </w:tc>
        <w:tc>
          <w:tcPr>
            <w:tcW w:type="dxa" w:w="5040"/>
            <w:vAlign w:val="center"/>
            <w:tcMar>
              <w:top w:w="100" w:type="dxa"/>
              <w:start w:w="120" w:type="dxa"/>
              <w:bottom w:w="100" w:type="dxa"/>
              <w:end w:w="120" w:type="dxa"/>
            </w:tcMar>
          </w:tcPr>
          <w:p>
            <w:pPr>
              <w:keepLines/>
              <w:spacing w:after="0"/>
            </w:pPr>
            <w:r>
              <w:rPr>
                <w:rFonts w:ascii="Aptos" w:hAnsi="Aptos"/>
                <w:color w:val="163229"/>
                <w:sz w:val="18"/>
              </w:rPr>
              <w:t>Training completion, safeguarding verification and approval workflow</w:t>
            </w:r>
          </w:p>
        </w:tc>
      </w:tr>
      <w:tr>
        <w:tc>
          <w:tcPr>
            <w:tcW w:type="dxa" w:w="4536"/>
            <w:vAlign w:val="center"/>
            <w:tcMar>
              <w:top w:w="100" w:type="dxa"/>
              <w:start w:w="120" w:type="dxa"/>
              <w:bottom w:w="100" w:type="dxa"/>
              <w:end w:w="120" w:type="dxa"/>
            </w:tcMar>
            <w:shd w:fill="F4FAF7"/>
          </w:tcPr>
          <w:p>
            <w:pPr>
              <w:keepLines/>
              <w:spacing w:after="0"/>
            </w:pPr>
            <w:r>
              <w:rPr>
                <w:rFonts w:ascii="Aptos" w:hAnsi="Aptos"/>
                <w:color w:val="163229"/>
                <w:sz w:val="18"/>
              </w:rPr>
              <w:t>Hub readiness summary and editable operations</w:t>
            </w:r>
          </w:p>
        </w:tc>
        <w:tc>
          <w:tcPr>
            <w:tcW w:type="dxa" w:w="5040"/>
            <w:vAlign w:val="center"/>
            <w:tcMar>
              <w:top w:w="100" w:type="dxa"/>
              <w:start w:w="120" w:type="dxa"/>
              <w:bottom w:w="100" w:type="dxa"/>
              <w:end w:w="120" w:type="dxa"/>
            </w:tcMar>
            <w:shd w:fill="F4FAF7"/>
          </w:tcPr>
          <w:p>
            <w:pPr>
              <w:keepLines/>
              <w:spacing w:after="0"/>
            </w:pPr>
            <w:r>
              <w:rPr>
                <w:rFonts w:ascii="Aptos" w:hAnsi="Aptos"/>
                <w:color w:val="163229"/>
                <w:sz w:val="18"/>
              </w:rPr>
              <w:t>Persisted hub profile, audit history and administrator review</w:t>
            </w:r>
          </w:p>
        </w:tc>
      </w:tr>
      <w:tr>
        <w:tc>
          <w:tcPr>
            <w:tcW w:type="dxa" w:w="4536"/>
            <w:vAlign w:val="center"/>
            <w:tcMar>
              <w:top w:w="100" w:type="dxa"/>
              <w:start w:w="120" w:type="dxa"/>
              <w:bottom w:w="100" w:type="dxa"/>
              <w:end w:w="120" w:type="dxa"/>
            </w:tcMar>
          </w:tcPr>
          <w:p>
            <w:pPr>
              <w:keepLines/>
              <w:spacing w:after="0"/>
            </w:pPr>
            <w:r>
              <w:rPr>
                <w:rFonts w:ascii="Aptos" w:hAnsi="Aptos"/>
                <w:color w:val="163229"/>
                <w:sz w:val="18"/>
              </w:rPr>
              <w:t>Focused session query links</w:t>
            </w:r>
          </w:p>
        </w:tc>
        <w:tc>
          <w:tcPr>
            <w:tcW w:type="dxa" w:w="5040"/>
            <w:vAlign w:val="center"/>
            <w:tcMar>
              <w:top w:w="100" w:type="dxa"/>
              <w:start w:w="120" w:type="dxa"/>
              <w:bottom w:w="100" w:type="dxa"/>
              <w:end w:w="120" w:type="dxa"/>
            </w:tcMar>
          </w:tcPr>
          <w:p>
            <w:pPr>
              <w:keepLines/>
              <w:spacing w:after="0"/>
            </w:pPr>
            <w:r>
              <w:rPr>
                <w:rFonts w:ascii="Aptos" w:hAnsi="Aptos"/>
                <w:color w:val="163229"/>
                <w:sz w:val="18"/>
              </w:rPr>
              <w:t>Session API filters and stable session identifiers</w:t>
            </w:r>
          </w:p>
        </w:tc>
      </w:tr>
      <w:tr>
        <w:tc>
          <w:tcPr>
            <w:tcW w:type="dxa" w:w="4536"/>
            <w:vAlign w:val="center"/>
            <w:tcMar>
              <w:top w:w="100" w:type="dxa"/>
              <w:start w:w="120" w:type="dxa"/>
              <w:bottom w:w="100" w:type="dxa"/>
              <w:end w:w="120" w:type="dxa"/>
            </w:tcMar>
            <w:shd w:fill="F4FAF7"/>
          </w:tcPr>
          <w:p>
            <w:pPr>
              <w:keepLines/>
              <w:spacing w:after="0"/>
            </w:pPr>
            <w:r>
              <w:rPr>
                <w:rFonts w:ascii="Aptos" w:hAnsi="Aptos"/>
                <w:color w:val="163229"/>
                <w:sz w:val="18"/>
              </w:rPr>
              <w:t>Mock request and withdrawal actions</w:t>
            </w:r>
          </w:p>
        </w:tc>
        <w:tc>
          <w:tcPr>
            <w:tcW w:type="dxa" w:w="5040"/>
            <w:vAlign w:val="center"/>
            <w:tcMar>
              <w:top w:w="100" w:type="dxa"/>
              <w:start w:w="120" w:type="dxa"/>
              <w:bottom w:w="100" w:type="dxa"/>
              <w:end w:w="120" w:type="dxa"/>
            </w:tcMar>
            <w:shd w:fill="F4FAF7"/>
          </w:tcPr>
          <w:p>
            <w:pPr>
              <w:keepLines/>
              <w:spacing w:after="0"/>
            </w:pPr>
            <w:r>
              <w:rPr>
                <w:rFonts w:ascii="Aptos" w:hAnsi="Aptos"/>
                <w:color w:val="163229"/>
                <w:sz w:val="18"/>
              </w:rPr>
              <w:t>Notifications, approvals, waitlists and status transitions</w:t>
            </w:r>
          </w:p>
        </w:tc>
      </w:tr>
    </w:tbl>
    <w:p>
      <w:pPr>
        <w:spacing w:after="20"/>
      </w:pPr>
    </w:p>
    <w:p>
      <w:pPr>
        <w:pStyle w:val="Heading1"/>
      </w:pPr>
      <w:r>
        <w:t>9. Key Presentation Messages</w:t>
      </w:r>
    </w:p>
    <w:p>
      <w:pPr>
        <w:pStyle w:val="ListBullet"/>
      </w:pPr>
      <w:r>
        <w:t>The redesign corrects the product model before backend complexity is added.</w:t>
      </w:r>
    </w:p>
    <w:p>
      <w:pPr>
        <w:pStyle w:val="ListBullet"/>
      </w:pPr>
      <w:r>
        <w:t>Classes and sessions are no longer treated as interchangeable.</w:t>
      </w:r>
    </w:p>
    <w:p>
      <w:pPr>
        <w:pStyle w:val="ListBullet"/>
      </w:pPr>
      <w:r>
        <w:t>Programme participation is now expressed at the correct level: child, volunteer eligibility or hub activation.</w:t>
      </w:r>
    </w:p>
    <w:p>
      <w:pPr>
        <w:pStyle w:val="ListBullet"/>
      </w:pPr>
      <w:r>
        <w:t>Registration remains the starting point; dashboards support change over time.</w:t>
      </w:r>
    </w:p>
    <w:p>
      <w:pPr>
        <w:pStyle w:val="ListBullet"/>
      </w:pPr>
      <w:r>
        <w:t>Hub operational data has one editable source of truth instead of being repeatedly collected.</w:t>
      </w:r>
    </w:p>
    <w:p>
      <w:pPr>
        <w:pStyle w:val="ListBullet"/>
      </w:pPr>
      <w:r>
        <w:t>The prototype now exposes the backend contracts the product will need.</w:t>
      </w:r>
    </w:p>
    <w:p>
      <w:pPr>
        <w:pStyle w:val="Heading1"/>
      </w:pPr>
      <w:r>
        <w:t>10. Recommended Next Steps</w:t>
      </w:r>
    </w:p>
    <w:p>
      <w:pPr>
        <w:pStyle w:val="ListNumber"/>
      </w:pPr>
      <w:r>
        <w:t>Define API contracts for learner-programme, volunteer-programme and hub-programme statuses.</w:t>
      </w:r>
    </w:p>
    <w:p>
      <w:pPr>
        <w:pStyle w:val="ListNumber"/>
      </w:pPr>
      <w:r>
        <w:t>Connect Hub Profile operations to persistent backend storage and administrator review.</w:t>
      </w:r>
    </w:p>
    <w:p>
      <w:pPr>
        <w:pStyle w:val="ListNumber"/>
      </w:pPr>
      <w:r>
        <w:t>Add administrator queues for enrolment, volunteer approval and hub activation requests.</w:t>
      </w:r>
    </w:p>
    <w:p>
      <w:pPr>
        <w:pStyle w:val="ListNumber"/>
      </w:pPr>
      <w:r>
        <w:t>Replace mock eligibility with real capacity, age and prerequisite checks.</w:t>
      </w:r>
    </w:p>
    <w:p>
      <w:pPr>
        <w:pStyle w:val="ListNumber"/>
      </w:pPr>
      <w:r>
        <w:t>Add notifications and audit history for request status changes.</w:t>
      </w:r>
    </w:p>
    <w:p>
      <w:pPr>
        <w:pStyle w:val="ListNumber"/>
      </w:pPr>
      <w:r>
        <w:t>Run usability testing with one parent, one volunteer and one hub administrator journey.</w:t>
      </w:r>
    </w:p>
    <w:tbl>
      <w:tblPr>
        <w:tblW w:type="auto" w:w="0"/>
        <w:tblLayout w:type="fixed"/>
        <w:tblLook w:firstColumn="1" w:firstRow="1" w:lastColumn="0" w:lastRow="0" w:noHBand="0" w:noVBand="1" w:val="04A0"/>
      </w:tblPr>
      <w:tblGrid>
        <w:gridCol w:w="9576"/>
      </w:tblGrid>
      <w:tr>
        <w:tc>
          <w:tcPr>
            <w:tcW w:type="dxa" w:w="9936"/>
            <w:shd w:fill="E6F4ED"/>
            <w:tcMar>
              <w:top w:w="150" w:type="dxa"/>
              <w:start w:w="180" w:type="dxa"/>
              <w:bottom w:w="150" w:type="dxa"/>
              <w:end w:w="180" w:type="dxa"/>
            </w:tcMar>
            <w:vAlign w:val="center"/>
          </w:tcPr>
          <w:p>
            <w:pPr>
              <w:pStyle w:val="Callout"/>
              <w:keepLines/>
              <w:spacing w:after="0"/>
            </w:pPr>
            <w:r>
              <w:rPr>
                <w:b/>
              </w:rPr>
              <w:t xml:space="preserve">Final position: </w:t>
            </w:r>
            <w:r>
              <w:rPr>
                <w:b w:val="0"/>
              </w:rPr>
              <w:t>The interface is now structured around real operational relationships. The next phase is to make those relationships persistent, reviewable and automated.</w:t>
            </w:r>
          </w:p>
        </w:tc>
      </w:tr>
    </w:tbl>
    <w:p>
      <w:pPr>
        <w:spacing w:after="20"/>
      </w:pP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66"/>
        <w:sz w:val="16"/>
      </w:rPr>
      <w:t>Nurture Roots - Presentation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66"/>
        <w:sz w:val="16"/>
      </w:rPr>
      <w:t>HOUR OF AI  |  PRODUCT UI REFINEMENT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632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6B3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6322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6B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F6B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3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3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pPr>
    <w:rPr>
      <w:rFonts w:ascii="Aptos" w:hAnsi="Aptos"/>
      <w:b/>
      <w:color w:val="0B6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Hour of AI UI Refinement Presentation Brief</dc:title>
  <dc:subject>Product structure, routing, role-based programmes and hub operations</dc:subject>
  <dc:creator>Nurture Roots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