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240" w:lineRule="auto"/>
        <w:ind w:firstLine="0" w:left="0"/>
        <w:jc w:val="left"/>
      </w:pPr>
      <w:r>
        <w:rPr>
          <w:rFonts w:ascii="Times New Roman" w:hAnsi="Times New Roman" w:cs="Times New Roman" w:eastAsia="Times New Roman"/>
          <w:b/>
          <w:i w:val="0"/>
          <w:sz w:val="22"/>
        </w:rPr>
        <w:t>DOI: [assigned by editorial team]</w:t>
      </w:r>
    </w:p>
    <w:p>
      <w:pPr>
        <w:spacing w:before="0" w:after="0" w:line="240" w:lineRule="auto"/>
        <w:ind w:firstLine="0" w:left="0"/>
        <w:jc w:val="left"/>
      </w:pPr>
      <w:r>
        <w:rPr>
          <w:rFonts w:ascii="Times New Roman" w:hAnsi="Times New Roman" w:cs="Times New Roman" w:eastAsia="Times New Roman"/>
          <w:b/>
          <w:i w:val="0"/>
          <w:sz w:val="22"/>
        </w:rPr>
        <w:t>UDC 004.932:004.94:796.352</w:t>
      </w:r>
    </w:p>
    <w:p>
      <w:pPr>
        <w:spacing w:before="0" w:after="0" w:line="240" w:lineRule="auto"/>
        <w:ind w:firstLine="0"/>
        <w:jc w:val="center"/>
      </w:pPr>
    </w:p>
    <w:p>
      <w:pPr>
        <w:spacing w:before="0" w:after="0" w:line="240" w:lineRule="auto"/>
        <w:ind w:firstLine="0"/>
        <w:jc w:val="center"/>
      </w:pPr>
      <w:r>
        <w:rPr>
          <w:rFonts w:ascii="Times New Roman" w:hAnsi="Times New Roman" w:cs="Times New Roman" w:eastAsia="Times New Roman"/>
          <w:b/>
          <w:i w:val="0"/>
          <w:sz w:val="32"/>
        </w:rPr>
        <w:t>Diagnostic Evaluation of a Markerless Golf-Club Motion-Analysis Workflow: Reference-Based 2D Agreement and Perturbation Sensitivity</w:t>
      </w:r>
    </w:p>
    <w:p>
      <w:pPr>
        <w:spacing w:before="0" w:after="0" w:line="240" w:lineRule="auto"/>
        <w:ind w:firstLine="0"/>
        <w:jc w:val="center"/>
      </w:pPr>
    </w:p>
    <w:p>
      <w:pPr>
        <w:spacing w:before="0" w:after="0" w:line="240" w:lineRule="auto"/>
        <w:ind w:firstLine="0"/>
        <w:jc w:val="right"/>
      </w:pPr>
      <w:r>
        <w:rPr>
          <w:rFonts w:ascii="Times New Roman" w:hAnsi="Times New Roman" w:cs="Times New Roman" w:eastAsia="Times New Roman"/>
          <w:b/>
          <w:i w:val="0"/>
          <w:sz w:val="22"/>
        </w:rPr>
        <w:t>Ivan M. Syniuk</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https://orcid.org/0009-0000-4141-0135; i.syniuk@gmail.com</w:t>
      </w:r>
    </w:p>
    <w:p>
      <w:pPr>
        <w:spacing w:before="0" w:after="0" w:line="240" w:lineRule="auto"/>
        <w:ind w:firstLine="0"/>
        <w:jc w:val="right"/>
      </w:pPr>
      <w:r>
        <w:rPr>
          <w:rFonts w:ascii="Times New Roman" w:hAnsi="Times New Roman" w:cs="Times New Roman" w:eastAsia="Times New Roman"/>
          <w:b/>
          <w:i w:val="0"/>
          <w:sz w:val="22"/>
        </w:rPr>
        <w:t>Maksym V. Maksymov</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https://orcid.org/0000-0002-7536-2570; prof.maksimov@gmail.com. Scopus Author ID: 7005088554</w:t>
      </w:r>
    </w:p>
    <w:p>
      <w:pPr>
        <w:spacing w:before="0" w:after="0" w:line="240" w:lineRule="auto"/>
        <w:ind w:firstLine="0"/>
        <w:jc w:val="right"/>
      </w:pPr>
      <w:r>
        <w:rPr>
          <w:rFonts w:ascii="Times New Roman" w:hAnsi="Times New Roman" w:cs="Times New Roman" w:eastAsia="Times New Roman"/>
          <w:b/>
          <w:i w:val="0"/>
          <w:sz w:val="22"/>
        </w:rPr>
        <w:t>Oleksii M. Maksymov</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https://orcid.org/0000-0003-2504-0853; oleksii.maksymov@op.edu.ua. Scopus Author ID: 57220057510</w:t>
      </w:r>
    </w:p>
    <w:p>
      <w:pPr>
        <w:spacing w:before="0" w:after="0" w:line="240" w:lineRule="auto"/>
        <w:ind w:firstLine="0"/>
        <w:jc w:val="right"/>
      </w:pPr>
      <w:r>
        <w:rPr>
          <w:rFonts w:ascii="Times New Roman" w:hAnsi="Times New Roman" w:cs="Times New Roman" w:eastAsia="Times New Roman"/>
          <w:b/>
          <w:i w:val="0"/>
          <w:sz w:val="22"/>
        </w:rPr>
        <w:t>Karthik Iyer</w:t>
      </w:r>
      <w:r>
        <w:rPr>
          <w:rFonts w:ascii="Times New Roman" w:hAnsi="Times New Roman" w:cs="Times New Roman" w:eastAsia="Times New Roman"/>
          <w:b/>
          <w:i w:val="0"/>
          <w:sz w:val="22"/>
          <w:vertAlign w:val="superscript"/>
        </w:rPr>
        <w:t>2)</w:t>
      </w:r>
    </w:p>
    <w:p>
      <w:pPr>
        <w:spacing w:before="0" w:after="0" w:line="240" w:lineRule="auto"/>
        <w:ind w:firstLine="0"/>
        <w:jc w:val="right"/>
      </w:pPr>
      <w:r>
        <w:rPr>
          <w:rFonts w:ascii="Times New Roman" w:hAnsi="Times New Roman" w:cs="Times New Roman" w:eastAsia="Times New Roman"/>
          <w:b w:val="0"/>
          <w:i w:val="0"/>
          <w:sz w:val="18"/>
        </w:rPr>
        <w:t>ORCID: https://orcid.org/0009-0003-2520-1810; ki2406@columbia.edu</w:t>
      </w:r>
    </w:p>
    <w:p>
      <w:pPr>
        <w:spacing w:before="0" w:after="0" w:line="240" w:lineRule="auto"/>
        <w:ind w:firstLine="0"/>
        <w:jc w:val="right"/>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 xml:space="preserve"> Odesa Polytechnic National University, 1, Shevchenko Ave. Odesa, 65044, Ukraine</w:t>
      </w:r>
    </w:p>
    <w:p>
      <w:pPr>
        <w:spacing w:before="0" w:after="0" w:line="240" w:lineRule="auto"/>
        <w:ind w:firstLine="0"/>
        <w:jc w:val="right"/>
      </w:pPr>
      <w:r>
        <w:rPr>
          <w:rFonts w:ascii="Times New Roman" w:hAnsi="Times New Roman" w:cs="Times New Roman" w:eastAsia="Times New Roman"/>
          <w:b w:val="0"/>
          <w:i w:val="0"/>
          <w:sz w:val="18"/>
          <w:vertAlign w:val="superscript"/>
        </w:rPr>
        <w:t>2)</w:t>
      </w:r>
      <w:r>
        <w:rPr>
          <w:rFonts w:ascii="Times New Roman" w:hAnsi="Times New Roman" w:cs="Times New Roman" w:eastAsia="Times New Roman"/>
          <w:b w:val="0"/>
          <w:i w:val="0"/>
          <w:sz w:val="18"/>
        </w:rPr>
        <w:t xml:space="preserve"> Columbia University, 116th and Broadway. New York, 10027, USA</w:t>
      </w:r>
    </w:p>
    <w:p>
      <w:pPr>
        <w:spacing w:before="240" w:after="240" w:line="240" w:lineRule="auto"/>
        <w:ind w:firstLine="0"/>
        <w:jc w:val="center"/>
      </w:pPr>
      <w:r>
        <w:rPr>
          <w:rFonts w:ascii="Times New Roman" w:hAnsi="Times New Roman" w:cs="Times New Roman" w:eastAsia="Times New Roman"/>
          <w:b/>
          <w:i w:val="0"/>
          <w:sz w:val="24"/>
        </w:rPr>
        <w:t>ABSTRACT</w:t>
      </w:r>
    </w:p>
    <w:p>
      <w:pPr>
        <w:spacing w:before="0" w:after="0" w:line="240" w:lineRule="auto"/>
        <w:ind w:firstLine="425"/>
        <w:jc w:val="both"/>
      </w:pPr>
      <w:r>
        <w:rPr>
          <w:rFonts w:ascii="Times New Roman" w:hAnsi="Times New Roman" w:cs="Times New Roman"/>
          <w:b/>
          <w:i w:val="0"/>
          <w:sz w:val="18"/>
        </w:rPr>
        <w:t xml:space="preserve">Relevance. </w:t>
      </w:r>
      <w:r>
        <w:rPr>
          <w:rFonts w:ascii="Times New Roman" w:hAnsi="Times New Roman" w:cs="Times New Roman"/>
          <w:b w:val="0"/>
          <w:i w:val="0"/>
          <w:sz w:val="18"/>
        </w:rPr>
        <w:t xml:space="preserve">Markerless video analysis can broaden access to golf-swing measurement, but visual plausibility does not establish measurement validity, and a single annotator cannot show how precise a manual reference is. </w:t>
      </w:r>
      <w:r>
        <w:rPr>
          <w:rFonts w:ascii="Times New Roman" w:hAnsi="Times New Roman" w:cs="Times New Roman"/>
          <w:b/>
          <w:i w:val="0"/>
          <w:sz w:val="18"/>
        </w:rPr>
        <w:t xml:space="preserve">Aim of the article. </w:t>
      </w:r>
      <w:r>
        <w:rPr>
          <w:rFonts w:ascii="Times New Roman" w:hAnsi="Times New Roman" w:cs="Times New Roman"/>
          <w:b w:val="0"/>
          <w:i w:val="0"/>
          <w:sz w:val="18"/>
        </w:rPr>
        <w:t xml:space="preserve">To diagnostically evaluate an implemented monocular golf-club motion-analysis workflow against a multi-rater visual reference whose own uncertainty is quantified first. </w:t>
      </w:r>
      <w:r>
        <w:rPr>
          <w:rFonts w:ascii="Times New Roman" w:hAnsi="Times New Roman" w:cs="Times New Roman"/>
          <w:b/>
          <w:i w:val="0"/>
          <w:sz w:val="18"/>
        </w:rPr>
        <w:t xml:space="preserve">Objectives. </w:t>
      </w:r>
      <w:r>
        <w:rPr>
          <w:rFonts w:ascii="Times New Roman" w:hAnsi="Times New Roman" w:cs="Times New Roman"/>
          <w:b w:val="0"/>
          <w:i w:val="0"/>
          <w:sz w:val="18"/>
        </w:rPr>
        <w:t xml:space="preserve">To quantify inter- and intra-rater agreement for events and selected-frame clubhead clicks; to audit time-base consistency before interpreting event errors; to measure algorithm-consensus agreement for events and clubhead localization; to stress-test exported metrics under controlled perturbations; and to inspect production-stage ablation behaviour. </w:t>
      </w:r>
      <w:r>
        <w:rPr>
          <w:rFonts w:ascii="Times New Roman" w:hAnsi="Times New Roman" w:cs="Times New Roman"/>
          <w:b/>
          <w:i w:val="0"/>
          <w:sz w:val="18"/>
        </w:rPr>
        <w:t xml:space="preserve">Methods. </w:t>
      </w:r>
      <w:r>
        <w:rPr>
          <w:rFonts w:ascii="Times New Roman" w:hAnsi="Times New Roman" w:cs="Times New Roman"/>
          <w:b w:val="0"/>
          <w:i w:val="0"/>
          <w:sz w:val="18"/>
        </w:rPr>
        <w:t xml:space="preserve">From 71 heterogeneous sessions, 25 were stratified by viewpoint, capture-speed class, and quality. Two annotators marked address, top of backswing, downswing transition, and impact, and clicked the clubhead on 150 shared frames; one annotator repeated 10 sessions under blinding. A disclosed mean rule formed the consensus used for all algorithm comparisons. Agreement summaries, image-diagonal-normalized localization errors, twelve perturbation scenarios, and nested production-stage ablation were analysed. </w:t>
      </w:r>
      <w:r>
        <w:rPr>
          <w:rFonts w:ascii="Times New Roman" w:hAnsi="Times New Roman" w:cs="Times New Roman"/>
          <w:b/>
          <w:i w:val="0"/>
          <w:sz w:val="18"/>
        </w:rPr>
        <w:t xml:space="preserve">Scientific novelty. </w:t>
      </w:r>
      <w:r>
        <w:rPr>
          <w:rFonts w:ascii="Times New Roman" w:hAnsi="Times New Roman" w:cs="Times New Roman"/>
          <w:b w:val="0"/>
          <w:i w:val="0"/>
          <w:sz w:val="18"/>
        </w:rPr>
        <w:t xml:space="preserve">A diagnostic evaluation framework that measures reference precision before algorithm comparison and separates time-base, agreement, perturbation, and stage-level evidence boundaries for an implemented markerless workflow. </w:t>
      </w:r>
      <w:r>
        <w:rPr>
          <w:rFonts w:ascii="Times New Roman" w:hAnsi="Times New Roman" w:cs="Times New Roman"/>
          <w:b/>
          <w:i w:val="0"/>
          <w:sz w:val="18"/>
        </w:rPr>
        <w:t xml:space="preserve">Practical significance. </w:t>
      </w:r>
      <w:r>
        <w:rPr>
          <w:rFonts w:ascii="Times New Roman" w:hAnsi="Times New Roman" w:cs="Times New Roman"/>
          <w:b w:val="0"/>
          <w:i w:val="0"/>
          <w:sz w:val="18"/>
        </w:rPr>
        <w:t xml:space="preserve">The results identify which metrics and stages are comparatively stable or fragile under heterogeneous video and thereby guide redesign before coaching or virtual-reality deployment claims. </w:t>
      </w:r>
      <w:r>
        <w:rPr>
          <w:rFonts w:ascii="Times New Roman" w:hAnsi="Times New Roman" w:cs="Times New Roman"/>
          <w:b/>
          <w:i w:val="0"/>
          <w:sz w:val="18"/>
        </w:rPr>
        <w:t xml:space="preserve">Results. </w:t>
      </w:r>
      <w:r>
        <w:rPr>
          <w:rFonts w:ascii="Times New Roman" w:hAnsi="Times New Roman" w:cs="Times New Roman"/>
          <w:b w:val="0"/>
          <w:i w:val="0"/>
          <w:sz w:val="18"/>
        </w:rPr>
        <w:t xml:space="preserve">Between annotators, event frames agreed to a median of 4 frames (80 ms), whereas clubhead clicks disagreed by a median 4.03% of the image diagonal. Automatic events fired a median 38 to 40 frames early versus consensus. The median of session-level clubhead discrepancies was 2.54% of the image diagonal, below inter-rater click disagreement, with a heavy error tail. Path efficiency and smoothness index showed the lowest perturbation response, while tempo and peak-speed metrics were far more sensitive. Ablation after a process-noise correction showed large residual path deviation after smoothing and restored root-mean-square jerk after bounded reconstruction. </w:t>
      </w:r>
      <w:r>
        <w:rPr>
          <w:rFonts w:ascii="Times New Roman" w:hAnsi="Times New Roman" w:cs="Times New Roman"/>
          <w:b/>
          <w:i w:val="0"/>
          <w:sz w:val="18"/>
        </w:rPr>
        <w:t xml:space="preserve">Conclusions. </w:t>
      </w:r>
      <w:r>
        <w:rPr>
          <w:rFonts w:ascii="Times New Roman" w:hAnsi="Times New Roman" w:cs="Times New Roman"/>
          <w:b w:val="0"/>
          <w:i w:val="0"/>
          <w:sz w:val="18"/>
        </w:rPr>
        <w:t xml:space="preserve">The study establishes a reproducible diagnostic baseline and failure-mode map for the current workflow; it does not claim external biomechanical validity, athlete test-retest reliability, or application-level adequacy. </w:t>
      </w:r>
    </w:p>
    <w:p>
      <w:pPr>
        <w:spacing w:before="120" w:after="0" w:line="240" w:lineRule="auto"/>
        <w:ind w:firstLine="425"/>
        <w:jc w:val="both"/>
      </w:pPr>
      <w:r>
        <w:rPr>
          <w:rFonts w:ascii="Times New Roman" w:hAnsi="Times New Roman" w:cs="Times New Roman"/>
          <w:b/>
          <w:i w:val="0"/>
          <w:sz w:val="18"/>
        </w:rPr>
        <w:t xml:space="preserve">Keywords: </w:t>
      </w:r>
      <w:r>
        <w:rPr>
          <w:rFonts w:ascii="Times New Roman" w:hAnsi="Times New Roman" w:cs="Times New Roman"/>
          <w:b w:val="0"/>
          <w:i w:val="0"/>
          <w:sz w:val="18"/>
        </w:rPr>
        <w:t>markerless motion analysis; golf swing; clubhead tracking; inter-rater agreement; perturbation analysis; measurement agreement</w:t>
      </w:r>
    </w:p>
    <w:p>
      <w:pPr>
        <w:spacing w:before="120" w:after="0" w:line="240" w:lineRule="auto"/>
        <w:ind w:firstLine="0"/>
        <w:jc w:val="both"/>
      </w:pPr>
    </w:p>
    <w:p>
      <w:pPr>
        <w:spacing w:before="0" w:after="0" w:line="240" w:lineRule="auto"/>
        <w:ind w:firstLine="0"/>
        <w:jc w:val="both"/>
      </w:pPr>
      <w:r>
        <w:rPr>
          <w:rFonts w:ascii="Times New Roman" w:hAnsi="Times New Roman" w:cs="Times New Roman"/>
          <w:b/>
          <w:i/>
          <w:sz w:val="16"/>
        </w:rPr>
        <w:t xml:space="preserve">For citation: </w:t>
      </w:r>
      <w:r>
        <w:rPr>
          <w:rFonts w:ascii="Times New Roman" w:hAnsi="Times New Roman" w:cs="Times New Roman"/>
          <w:b w:val="0"/>
          <w:i w:val="0"/>
          <w:sz w:val="16"/>
        </w:rPr>
        <w:t>Syniuk I. M., Maksymov M. V., Maksymov O. M., Iyer K. "Diagnostic evaluation of a markerless golf-club motion-analysis workflow: reference-based 2D agreement and perturbation sensitivity". Herald of Advanced Information Technology. - [Year]. - Vol. [..]. - No. [..]. - Pp. [..-..]. DOI: [assigned by editorial team]</w:t>
      </w:r>
    </w:p>
    <w:p>
      <w:pPr>
        <w:spacing w:before="240" w:after="0" w:line="240" w:lineRule="auto"/>
        <w:ind w:firstLine="0"/>
        <w:jc w:val="left"/>
        <w:pBdr>
          <w:top w:val="single" w:sz="8" w:space="1" w:color="000000"/>
        </w:pBdr>
      </w:pPr>
      <w:r>
        <w:rPr>
          <w:rFonts w:ascii="Times New Roman" w:hAnsi="Times New Roman" w:cs="Times New Roman" w:eastAsia="Times New Roman"/>
          <w:b/>
          <w:i w:val="0"/>
          <w:sz w:val="20"/>
        </w:rPr>
        <w:t xml:space="preserve">© </w:t>
      </w:r>
      <w:r>
        <w:rPr>
          <w:rFonts w:ascii="Times New Roman" w:hAnsi="Times New Roman" w:cs="Times New Roman" w:eastAsia="Times New Roman"/>
          <w:b w:val="0"/>
          <w:i w:val="0"/>
          <w:sz w:val="20"/>
        </w:rPr>
        <w:t>Syniuk I. M., Maksymov M. V., Maksymov O. M., Iyer K., 2026</w:t>
      </w:r>
    </w:p>
    <w:p>
      <w:pPr>
        <w:spacing w:before="60" w:after="120" w:line="240" w:lineRule="auto"/>
        <w:ind w:firstLine="0"/>
        <w:jc w:val="both"/>
        <w:sectPr w:rsidR="00E0199E">
          <w:headerReference w:type="default" r:id="rId17"/>
          <w:headerReference w:type="even" r:id="rId18"/>
          <w:headerReference w:type="first" r:id="rId19"/>
          <w:footerReference w:type="default" r:id="rId20"/>
          <w:footerReference w:type="even" r:id="rId21"/>
          <w:footerReference w:type="first" r:id="rId22"/>
          <w:pgSz w:w="11906" w:h="16838"/>
          <w:pgMar w:top="1134" w:right="1134" w:bottom="1417" w:left="1134" w:header="720" w:footer="720" w:gutter="0"/>
          <w:cols w:space="720" w:num="1"/>
          <w:docGrid w:linePitch="360"/>
        </w:sectPr>
      </w:pPr>
      <w:r>
        <w:rPr>
          <w:rFonts w:ascii="Times New Roman" w:hAnsi="Times New Roman" w:cs="Times New Roman" w:eastAsia="Times New Roman"/>
          <w:b w:val="0"/>
          <w:i w:val="0"/>
          <w:sz w:val="18"/>
        </w:rPr>
        <w:t>This is an open access article under the CC BY license (http://creativecommons.org/licenses/by/4.0/deed.en)</w:t>
      </w:r>
    </w:p>
    <w:p>
      <w:pPr>
        <w:keepNext/>
        <w:spacing w:before="120" w:after="120" w:line="240" w:lineRule="auto"/>
        <w:ind w:firstLine="0"/>
        <w:jc w:val="center"/>
      </w:pPr>
      <w:r>
        <w:rPr>
          <w:rFonts w:ascii="Times New Roman" w:hAnsi="Times New Roman" w:cs="Times New Roman"/>
          <w:b/>
          <w:i w:val="0"/>
          <w:sz w:val="22"/>
        </w:rPr>
        <w:t>INTRODUCTION</w:t>
      </w:r>
    </w:p>
    <w:p>
      <w:pPr>
        <w:spacing w:before="0" w:after="0" w:line="240" w:lineRule="auto"/>
        <w:ind w:firstLine="425"/>
        <w:jc w:val="both"/>
      </w:pPr>
      <w:r>
        <w:rPr>
          <w:rFonts w:ascii="Times New Roman" w:hAnsi="Times New Roman" w:cs="Times New Roman"/>
          <w:b w:val="0"/>
          <w:i w:val="0"/>
          <w:sz w:val="22"/>
        </w:rPr>
        <w:t>Quantitative golf-swing assessment supports technique research, coaching, and the development of interactive training systems. Laboratory optical motion capture can resolve segment and club kinematics with controlled calibration, but it requires synchronized cameras, markers, and specialist operation [1], [2]. Golf biomechanics has therefore been studied through laboratory kinematics, clubhead-speed and power analysis, and segment sequencing [8], [9], [10], [11], [23]. These methods establish what can be measured under controlled conditions but do not by themselves solve the problem of low-cost field acquisition.</w:t>
      </w:r>
    </w:p>
    <w:p>
      <w:pPr>
        <w:spacing w:before="0" w:after="0" w:line="240" w:lineRule="auto"/>
        <w:ind w:firstLine="425"/>
        <w:jc w:val="both"/>
      </w:pPr>
      <w:r>
        <w:rPr>
          <w:rFonts w:ascii="Times New Roman" w:hAnsi="Times New Roman" w:cs="Times New Roman"/>
          <w:b w:val="0"/>
          <w:i w:val="0"/>
          <w:sz w:val="22"/>
        </w:rPr>
        <w:t>Portable inertial measurement units and ordinary video lower the acquisition burden. Golf-specific inertial systems have been compared with three-dimensional motion capture, while single-camera studies have combined pose estimation and object detection to examine golfer posture and clubhead trajectories [24], [31]. General pose-estimation frameworks such as OpenPose, BlazePose, and MediaPipe make markerless processing accessible [3], [4], [5]. Nevertheless, accessibility is not equivalent to accuracy, and a visually smooth trajectory can remain temporally misaligned, geometrically biased, or unstable under small changes in the input.</w:t>
      </w:r>
    </w:p>
    <w:p>
      <w:pPr>
        <w:spacing w:before="0" w:after="0" w:line="240" w:lineRule="auto"/>
        <w:ind w:firstLine="425"/>
        <w:jc w:val="both"/>
      </w:pPr>
      <w:r>
        <w:rPr>
          <w:rFonts w:ascii="Times New Roman" w:hAnsi="Times New Roman" w:cs="Times New Roman"/>
          <w:b w:val="0"/>
          <w:i w:val="0"/>
          <w:sz w:val="22"/>
        </w:rPr>
        <w:t>Validation literature distinguishes agreement with an explicit reference from reliability across repeated measurements, and it also requires that the reference itself be characterized. Markerless estimates are affected by viewpoint, occlusion, motion blur, training-domain mismatch, and monocular projection [12], [13], [25], [26], [27], [28]. Golf-specific evidence is especially cautionary: monocular three-dimensional pose models that look convincing after reprojection can still be unsuitable for kinematic analysis when compared with synchronized marker-based data [30]. Derivatives amplify coordinate noise, and impact-like, non-stationary motion creates additional filtering problems [6], [7], [19].</w:t>
      </w:r>
    </w:p>
    <w:p>
      <w:pPr>
        <w:spacing w:before="0" w:after="0" w:line="240" w:lineRule="auto"/>
        <w:ind w:firstLine="425"/>
        <w:jc w:val="both"/>
      </w:pPr>
      <w:r>
        <w:rPr>
          <w:rFonts w:ascii="Times New Roman" w:hAnsi="Times New Roman" w:cs="Times New Roman"/>
          <w:b w:val="0"/>
          <w:i w:val="0"/>
          <w:sz w:val="22"/>
        </w:rPr>
        <w:t>The workflow evaluated here was introduced in a companion methodological manuscript and combines median pre-filtering, confidence-aware Kalman tracking, Rauch-Tung-Striebel smoothing, trajectory despiking, bounded polynomial reconstruction, and dynamic scaling [32]. The present work asks a narrower question: what agreement and numerical sensitivity can be demonstrated with the available data, once the precision of the manual reference is measured rather than assumed? The evidence is deliberately limited to manual two-dimensional annotations from two annotators, decoded video timing, synthetic perturbations, and production-stage ablation. Figure 1 summarizes the study design and its evidence boundary.</w:t>
      </w:r>
    </w:p>
    <w:p>
      <w:pPr>
        <w:spacing w:before="0" w:after="0" w:line="240" w:lineRule="auto"/>
        <w:ind w:firstLine="425"/>
        <w:jc w:val="both"/>
      </w:pPr>
      <w:r>
        <w:rPr>
          <w:rFonts w:ascii="Times New Roman" w:hAnsi="Times New Roman" w:cs="Times New Roman"/>
          <w:b w:val="0"/>
          <w:i w:val="0"/>
          <w:sz w:val="22"/>
        </w:rPr>
        <w:t>The implemented production workflow, rather than an idealized or post-retuned version, is intentionally treated as the object of evaluation. This choice is methodologically important because a visually plausible end-to-end trajectory can conceal compensating or inactive internal stages. Evaluating the production configuration therefore allows the study to determine not only how closely the final output agrees with the available reference, but also where the workflow loses evidential support and which internal behaviours require redesign. In this study, a negative stage-level result is consequently treated as diagnostic evidence produced by the evaluation protocol, not as a reason to exclude that stage from the analysis.</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80"/>
        <w:ind w:firstLine="0"/>
        <w:jc w:val="center"/>
      </w:pPr>
      <w:r>
        <w:drawing>
          <wp:inline xmlns:a="http://schemas.openxmlformats.org/drawingml/2006/main" xmlns:pic="http://schemas.openxmlformats.org/drawingml/2006/picture">
            <wp:extent cx="3251612" cy="6299998"/>
            <wp:docPr id="10" name="Picture 10"/>
            <wp:cNvGraphicFramePr>
              <a:graphicFrameLocks noChangeAspect="1"/>
            </wp:cNvGraphicFramePr>
            <a:graphic>
              <a:graphicData uri="http://schemas.openxmlformats.org/drawingml/2006/picture">
                <pic:pic>
                  <pic:nvPicPr>
                    <pic:cNvPr id="0" name="fig_study_design.png"/>
                    <pic:cNvPicPr/>
                  </pic:nvPicPr>
                  <pic:blipFill>
                    <a:blip r:embed="rId23"/>
                    <a:stretch>
                      <a:fillRect/>
                    </a:stretch>
                  </pic:blipFill>
                  <pic:spPr>
                    <a:xfrm>
                      <a:off x="0" y="0"/>
                      <a:ext cx="3251612" cy="6299998"/>
                    </a:xfrm>
                    <a:prstGeom prst="rect"/>
                  </pic:spPr>
                </pic:pic>
              </a:graphicData>
            </a:graphic>
          </wp:inline>
        </w:drawing>
      </w:r>
    </w:p>
    <w:p>
      <w:pPr>
        <w:keepNext/>
        <w:ind w:firstLine="0"/>
        <w:jc w:val="center"/>
      </w:pPr>
      <w:r>
        <w:rPr>
          <w:rFonts w:ascii="Times New Roman" w:hAnsi="Times New Roman" w:cs="Times New Roman"/>
          <w:b w:val="0"/>
          <w:i/>
          <w:sz w:val="22"/>
        </w:rPr>
        <w:t xml:space="preserve">Fig. 1. </w:t>
      </w:r>
      <w:r>
        <w:rPr>
          <w:rFonts w:ascii="Times New Roman" w:hAnsi="Times New Roman" w:cs="Times New Roman"/>
          <w:b/>
          <w:i w:val="0"/>
          <w:sz w:val="22"/>
        </w:rPr>
        <w:t>Study design and evidence scope</w:t>
      </w:r>
    </w:p>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120" w:after="120" w:line="240" w:lineRule="auto"/>
        <w:ind w:firstLine="0"/>
        <w:jc w:val="center"/>
      </w:pPr>
      <w:r>
        <w:rPr>
          <w:rFonts w:ascii="Times New Roman" w:hAnsi="Times New Roman" w:cs="Times New Roman"/>
          <w:b/>
          <w:i w:val="0"/>
          <w:sz w:val="22"/>
        </w:rPr>
        <w:t>LITERATURE REVIEW AND PROBLEM STATEMENT</w:t>
      </w:r>
    </w:p>
    <w:p>
      <w:pPr>
        <w:spacing w:before="0" w:after="0" w:line="240" w:lineRule="auto"/>
        <w:ind w:firstLine="425"/>
        <w:jc w:val="both"/>
      </w:pPr>
      <w:r>
        <w:rPr>
          <w:rFonts w:ascii="Times New Roman" w:hAnsi="Times New Roman" w:cs="Times New Roman"/>
          <w:b w:val="0"/>
          <w:i w:val="0"/>
          <w:sz w:val="22"/>
        </w:rPr>
        <w:t>Markerless sports analysis spans general human-pose estimation, sport-specific movement recognition, and task-specific object tracking [3], [4], [5], [29]. In golf, Yamamoto et al. used a single sagittal camera, human-pose estimation, and DeepLabCut clubhead tracking to study proficiency and individual swing characteristics [31]. Ingwersen et al. compared monocular pose models with synchronized marker-based golf data and found substantial quantitative error despite plausible visual reconstructions [30]. Together these studies show that golf-specific validation must report the reference standard, camera geometry, event definitions, and failure tails rather than relying on representative images.</w:t>
      </w:r>
    </w:p>
    <w:p>
      <w:pPr>
        <w:spacing w:before="0" w:after="0" w:line="240" w:lineRule="auto"/>
        <w:ind w:firstLine="425"/>
        <w:jc w:val="both"/>
      </w:pPr>
      <w:r>
        <w:rPr>
          <w:rFonts w:ascii="Times New Roman" w:hAnsi="Times New Roman" w:cs="Times New Roman"/>
          <w:b w:val="0"/>
          <w:i w:val="0"/>
          <w:sz w:val="22"/>
        </w:rPr>
        <w:t>Signal conditioning changes both geometry and derived metrics. Median filters suppress isolated outliers [14]; Kalman filtering combines a dynamic model with noisy measurements [15], [16]; Rauch-Tung-Striebel smoothing uses later observations to refine earlier states [17]; and local polynomial methods can reduce noise while preserving trajectory shape [18]. For rapidly changing motion, however, the filter that best suppresses coordinate noise may attenuate true motion or create endpoint and derivative artefacts [7]. Smoothness measures based on jerk are consequently sensitive to the derivative definition and to the time interval used across missing samples [19].</w:t>
      </w:r>
    </w:p>
    <w:p>
      <w:pPr>
        <w:spacing w:before="0" w:after="0" w:line="240" w:lineRule="auto"/>
        <w:ind w:firstLine="425"/>
        <w:jc w:val="both"/>
      </w:pPr>
      <w:r>
        <w:rPr>
          <w:rFonts w:ascii="Times New Roman" w:hAnsi="Times New Roman" w:cs="Times New Roman"/>
          <w:b w:val="0"/>
          <w:i w:val="0"/>
          <w:sz w:val="22"/>
        </w:rPr>
        <w:t>Measurement terminology is also consequential. Test-retest reliability, intraclass correlation, standard error of measurement, and minimal detectable change require repeated observations with an identifiable grouping structure [20], [21]. Between-session dispersion in a heterogeneous corpus does not meet that definition. Bland-Altman bias and limits of agreement describe paired differences, and they apply equally to two human annotators and to an algorithm compared with a human consensus [22]. Robust summaries such as medians are useful for skewed error distributions [14], but they must be accompanied by uncertainty and failure-tail reporting.</w:t>
      </w:r>
    </w:p>
    <w:p>
      <w:pPr>
        <w:spacing w:before="0" w:after="0" w:line="240" w:lineRule="auto"/>
        <w:ind w:firstLine="425"/>
        <w:jc w:val="both"/>
      </w:pPr>
      <w:r>
        <w:rPr>
          <w:rFonts w:ascii="Times New Roman" w:hAnsi="Times New Roman" w:cs="Times New Roman"/>
          <w:b w:val="0"/>
          <w:i w:val="0"/>
          <w:sz w:val="22"/>
        </w:rPr>
        <w:t>Three gaps motivate this study. First, the available workflow had not been compared with manually selected clubhead positions and visually defined events, and the manual reference had never been repeated by a second observer, so its own precision was unknown. Second, the alignment of video frames, landmark indices, and annotation times had not been audited before interpreting large timing errors. Third, previous sensitivity and ablation summaries used unstable random seeds, percentage changes unsuitable near zero, a non-production smoothing variant, and cross-session coefficients of variation mislabeled as reliability. The problem addressed here is to correct those design and reporting weaknesses without claiming evidence that the dataset cannot provide.</w:t>
      </w:r>
    </w:p>
    <w:p>
      <w:pPr>
        <w:spacing w:before="0" w:after="0" w:line="240" w:lineRule="auto"/>
        <w:ind w:firstLine="425"/>
        <w:jc w:val="both"/>
      </w:pPr>
      <w:r>
        <w:rPr>
          <w:rFonts w:ascii="Times New Roman" w:hAnsi="Times New Roman" w:cs="Times New Roman"/>
          <w:b w:val="0"/>
          <w:i w:val="0"/>
          <w:sz w:val="22"/>
        </w:rPr>
        <w:t>Accordingly, the scientific problem addressed here is not how to certify a finished markerless system, but how to evaluate an implemented workflow without allowing plausible final output to mask uncertainty in the reference, time-base disagreement, numerical sensitivity, or stage-specific failure. A useful evaluation must therefore separate reference precision, algorithm-reference agreement, perturbation response, and internal production-stage behaviour. This separation provides an evidence boundary for the current implementation and a reproducible baseline against which later algorithmic redesign can be judged.</w:t>
      </w:r>
    </w:p>
    <w:p>
      <w:pPr>
        <w:keepNext/>
        <w:spacing w:before="120" w:after="120" w:line="240" w:lineRule="auto"/>
        <w:ind w:firstLine="0"/>
        <w:jc w:val="center"/>
      </w:pPr>
      <w:r>
        <w:rPr>
          <w:rFonts w:ascii="Times New Roman" w:hAnsi="Times New Roman" w:cs="Times New Roman"/>
          <w:b/>
          <w:i w:val="0"/>
          <w:sz w:val="22"/>
        </w:rPr>
        <w:t>RESEARCH AIM AND OBJECTIVES</w:t>
      </w:r>
    </w:p>
    <w:p>
      <w:pPr>
        <w:spacing w:before="0" w:after="0" w:line="240" w:lineRule="auto"/>
        <w:ind w:firstLine="425"/>
        <w:jc w:val="both"/>
      </w:pPr>
      <w:r>
        <w:rPr>
          <w:rFonts w:ascii="Times New Roman" w:hAnsi="Times New Roman" w:cs="Times New Roman"/>
          <w:b w:val="0"/>
          <w:i w:val="0"/>
          <w:sz w:val="22"/>
        </w:rPr>
        <w:t>The aim is to diagnostically evaluate an implemented markerless video-based golf-club motion-analysis workflow under heterogeneous recording conditions by quantifying manual-reference precision, algorithm-reference agreement, time-base consistency, perturbation sensitivity, and production-stage behaviour, and thereby to establish the evidence boundary and redesign targets of the current configuration.</w:t>
      </w:r>
    </w:p>
    <w:p>
      <w:pPr>
        <w:spacing w:before="0" w:after="0" w:line="240" w:lineRule="auto"/>
        <w:ind w:firstLine="425"/>
        <w:jc w:val="both"/>
      </w:pPr>
      <w:r>
        <w:rPr>
          <w:rFonts w:ascii="Times New Roman" w:hAnsi="Times New Roman" w:cs="Times New Roman"/>
          <w:b w:val="0"/>
          <w:i w:val="0"/>
          <w:sz w:val="22"/>
        </w:rPr>
        <w:t>The research objectives are:</w:t>
      </w:r>
    </w:p>
    <w:p>
      <w:pPr>
        <w:spacing w:line="240" w:lineRule="auto"/>
        <w:ind w:firstLine="425"/>
        <w:jc w:val="both"/>
      </w:pPr>
      <w:r>
        <w:rPr>
          <w:rFonts w:ascii="Times New Roman" w:hAnsi="Times New Roman" w:cs="Times New Roman"/>
          <w:b w:val="0"/>
          <w:i w:val="0"/>
          <w:sz w:val="22"/>
        </w:rPr>
        <w:t>1. To define a blinded multi-rater selected-frame annotation protocol and to quantify inter-rater and intra-rater agreement before any algorithm comparison.</w:t>
      </w:r>
    </w:p>
    <w:p>
      <w:pPr>
        <w:spacing w:line="240" w:lineRule="auto"/>
        <w:ind w:firstLine="425"/>
        <w:jc w:val="both"/>
      </w:pPr>
      <w:r>
        <w:rPr>
          <w:rFonts w:ascii="Times New Roman" w:hAnsi="Times New Roman" w:cs="Times New Roman"/>
          <w:b w:val="0"/>
          <w:i w:val="0"/>
          <w:sz w:val="22"/>
        </w:rPr>
        <w:t>2. To construct a consensus reference from the raw rater rounds under a rule disclosed in advance, keeping the raw rounds immutable.</w:t>
      </w:r>
    </w:p>
    <w:p>
      <w:pPr>
        <w:spacing w:line="240" w:lineRule="auto"/>
        <w:ind w:firstLine="425"/>
        <w:jc w:val="both"/>
      </w:pPr>
      <w:r>
        <w:rPr>
          <w:rFonts w:ascii="Times New Roman" w:hAnsi="Times New Roman" w:cs="Times New Roman"/>
          <w:b w:val="0"/>
          <w:i w:val="0"/>
          <w:sz w:val="22"/>
        </w:rPr>
        <w:t>3. To audit video presentation timestamps, landmark times, frame counts, and event-definition mapping before interpreting event disagreement.</w:t>
      </w:r>
    </w:p>
    <w:p>
      <w:pPr>
        <w:spacing w:line="240" w:lineRule="auto"/>
        <w:ind w:firstLine="425"/>
        <w:jc w:val="both"/>
      </w:pPr>
      <w:r>
        <w:rPr>
          <w:rFonts w:ascii="Times New Roman" w:hAnsi="Times New Roman" w:cs="Times New Roman"/>
          <w:b w:val="0"/>
          <w:i w:val="0"/>
          <w:sz w:val="22"/>
        </w:rPr>
        <w:t>4. To estimate session-level clubhead localization agreement with the consensus in pixels and image-diagonal-normalized units, to quantify large-error tails, and to compare the result with the precision of the reference itself.</w:t>
      </w:r>
    </w:p>
    <w:p>
      <w:pPr>
        <w:spacing w:line="240" w:lineRule="auto"/>
        <w:ind w:firstLine="425"/>
        <w:jc w:val="both"/>
      </w:pPr>
      <w:r>
        <w:rPr>
          <w:rFonts w:ascii="Times New Roman" w:hAnsi="Times New Roman" w:cs="Times New Roman"/>
          <w:b w:val="0"/>
          <w:i w:val="0"/>
          <w:sz w:val="22"/>
        </w:rPr>
        <w:t>5. To characterize metric response to 12 controlled perturbation scenarios using deterministic simulation and symmetric relative change.</w:t>
      </w:r>
    </w:p>
    <w:p>
      <w:pPr>
        <w:spacing w:line="240" w:lineRule="auto"/>
        <w:ind w:firstLine="425"/>
        <w:jc w:val="both"/>
      </w:pPr>
      <w:r>
        <w:rPr>
          <w:rFonts w:ascii="Times New Roman" w:hAnsi="Times New Roman" w:cs="Times New Roman"/>
          <w:b w:val="0"/>
          <w:i w:val="0"/>
          <w:sz w:val="22"/>
        </w:rPr>
        <w:t>6. To compare the actual nested production stages and identify inactive, unstable, or compensating stages whose behaviour may be masked by the final reconstructed output.</w:t>
      </w:r>
    </w:p>
    <w:p>
      <w:pPr>
        <w:spacing w:line="240" w:lineRule="auto"/>
        <w:ind w:firstLine="425"/>
        <w:jc w:val="both"/>
      </w:pPr>
      <w:r>
        <w:rPr>
          <w:rFonts w:ascii="Times New Roman" w:hAnsi="Times New Roman" w:cs="Times New Roman"/>
          <w:b w:val="0"/>
          <w:i w:val="0"/>
          <w:sz w:val="22"/>
        </w:rPr>
        <w:t>7. To distinguish demonstrated findings from untested biomechanical validity, reliability, and application-level usefulness.</w:t>
      </w:r>
    </w:p>
    <w:p>
      <w:pPr>
        <w:spacing w:before="0" w:after="0" w:line="240" w:lineRule="auto"/>
        <w:ind w:firstLine="425"/>
        <w:jc w:val="both"/>
      </w:pPr>
      <w:r>
        <w:rPr>
          <w:rFonts w:ascii="Times New Roman" w:hAnsi="Times New Roman" w:cs="Times New Roman"/>
          <w:b w:val="0"/>
          <w:i w:val="0"/>
          <w:sz w:val="22"/>
        </w:rPr>
        <w:t>The scientific contribution is a diagnostic evaluation structure that explicitly separates four evidence layers: the precision of the visual reference, agreement of the implemented algorithm with that reference, sensitivity of derived outputs to controlled perturbations, and behaviour of the nested production stages. This structure makes it possible to identify cases in which an apparently acceptable final trajectory is produced despite unacceptable or inactive internal-stage behaviour. The study therefore contributes a reproducible way to locate evidence boundaries and failure modes before external biomechanical validation, rather than a claim that the current workflow is a finalized measurement instrument.</w:t>
      </w:r>
    </w:p>
    <w:p>
      <w:pPr>
        <w:keepNext/>
        <w:spacing w:before="120" w:after="120" w:line="240" w:lineRule="auto"/>
        <w:ind w:firstLine="0"/>
        <w:jc w:val="center"/>
      </w:pPr>
      <w:r>
        <w:rPr>
          <w:rFonts w:ascii="Times New Roman" w:hAnsi="Times New Roman" w:cs="Times New Roman"/>
          <w:b/>
          <w:i w:val="0"/>
          <w:sz w:val="22"/>
        </w:rPr>
        <w:t>MATERIALS AND METHODS</w:t>
      </w:r>
    </w:p>
    <w:p>
      <w:pPr>
        <w:keepNext/>
        <w:spacing w:before="60" w:after="60" w:line="240" w:lineRule="auto"/>
        <w:ind w:firstLine="425"/>
        <w:jc w:val="both"/>
      </w:pPr>
      <w:r>
        <w:rPr>
          <w:rFonts w:ascii="Times New Roman" w:hAnsi="Times New Roman" w:cs="Times New Roman"/>
          <w:b/>
          <w:i/>
          <w:sz w:val="22"/>
        </w:rPr>
        <w:t>Dataset, sampling, and available metadata</w:t>
      </w:r>
    </w:p>
    <w:p>
      <w:pPr>
        <w:spacing w:before="0" w:after="0" w:line="240" w:lineRule="auto"/>
        <w:ind w:firstLine="425"/>
        <w:jc w:val="both"/>
      </w:pPr>
      <w:r>
        <w:rPr>
          <w:rFonts w:ascii="Times New Roman" w:hAnsi="Times New Roman" w:cs="Times New Roman"/>
          <w:b w:val="0"/>
          <w:i w:val="0"/>
          <w:sz w:val="22"/>
        </w:rPr>
        <w:t>The corpus contained 71 processed golf-swing sessions. Frame rates ranged from 23.98 to 60.00 frames/s, and nine distinct resolutions ranged from 480 x 706 to 1920 x 1080 pixels. Viewpoint was predominantly down-the-line (59 sessions), with 10 face-on and 2 other views; club type was driver in 32 sessions, iron in 23, and unknown in 16. The selection algorithm formed strata from viewpoint, capture-speed class, and quality grade, then sampled 25 sessions with a fixed seed. Frame-rate and resolution distributions were summarized after selection but were not sampling strata. The selected set contained 21 down-the-line, 3 face-on, and 1 other view (Table 1). The export did not encode participant identity, number of sessions per participant, age, skill, device, camera distance or height, shutter speed, lighting, codec settings, or whether slow-motion interpolation had been applied. These omissions prevent participant-level generalization and test-retest analysis.</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1. </w:t>
      </w:r>
      <w:r>
        <w:rPr>
          <w:rFonts w:ascii="Times New Roman" w:hAnsi="Times New Roman" w:cs="Times New Roman"/>
          <w:b/>
          <w:i w:val="0"/>
          <w:sz w:val="22"/>
        </w:rPr>
        <w:t>Dataset and reference-subset characteristics</w:t>
      </w:r>
    </w:p>
    <w:tbl>
      <w:tblPr>
        <w:tblStyle w:val="aff2"/>
        <w:tblW w:type="auto" w:w="0"/>
        <w:jc w:val="center"/>
        <w:tblLayout w:type="fixed"/>
        <w:tblLook w:firstColumn="1" w:firstRow="1" w:lastColumn="0" w:lastRow="0" w:noHBand="0" w:noVBand="1" w:val="04A0"/>
      </w:tblPr>
      <w:tblGrid>
        <w:gridCol w:w="2551"/>
        <w:gridCol w:w="3515"/>
        <w:gridCol w:w="3515"/>
      </w:tblGrid>
      <w:tr>
        <w:trPr>
          <w:tblHeader/>
        </w:trPr>
        <w:tc>
          <w:tcPr>
            <w:tcW w:type="dxa" w:w="2551"/>
          </w:tcPr>
          <w:p>
            <w:pPr>
              <w:spacing w:before="0" w:after="0" w:line="240" w:lineRule="auto"/>
            </w:pPr>
            <w:r/>
            <w:r>
              <w:rPr>
                <w:rFonts w:ascii="Times New Roman" w:hAnsi="Times New Roman" w:cs="Times New Roman"/>
                <w:b/>
                <w:i w:val="0"/>
                <w:sz w:val="22"/>
              </w:rPr>
              <w:t>Characteristic</w:t>
            </w:r>
          </w:p>
        </w:tc>
        <w:tc>
          <w:tcPr>
            <w:tcW w:type="dxa" w:w="3515"/>
          </w:tcPr>
          <w:p>
            <w:pPr>
              <w:spacing w:before="0" w:after="0" w:line="240" w:lineRule="auto"/>
            </w:pPr>
            <w:r/>
            <w:r>
              <w:rPr>
                <w:rFonts w:ascii="Times New Roman" w:hAnsi="Times New Roman" w:cs="Times New Roman"/>
                <w:b/>
                <w:i w:val="0"/>
                <w:sz w:val="22"/>
              </w:rPr>
              <w:t>Full dataset</w:t>
            </w:r>
          </w:p>
        </w:tc>
        <w:tc>
          <w:tcPr>
            <w:tcW w:type="dxa" w:w="3515"/>
          </w:tcPr>
          <w:p>
            <w:pPr>
              <w:spacing w:before="0" w:after="0" w:line="240" w:lineRule="auto"/>
            </w:pPr>
            <w:r/>
            <w:r>
              <w:rPr>
                <w:rFonts w:ascii="Times New Roman" w:hAnsi="Times New Roman" w:cs="Times New Roman"/>
                <w:b/>
                <w:i w:val="0"/>
                <w:sz w:val="22"/>
              </w:rPr>
              <w:t>Annotated subset</w:t>
            </w:r>
          </w:p>
        </w:tc>
      </w:tr>
      <w:tr>
        <w:tc>
          <w:tcPr>
            <w:tcW w:type="dxa" w:w="2551"/>
          </w:tcPr>
          <w:p>
            <w:pPr>
              <w:spacing w:before="0" w:after="0" w:line="240" w:lineRule="auto"/>
            </w:pPr>
            <w:r/>
            <w:r>
              <w:rPr>
                <w:rFonts w:ascii="Times New Roman" w:hAnsi="Times New Roman" w:cs="Times New Roman"/>
                <w:b w:val="0"/>
                <w:i w:val="0"/>
                <w:sz w:val="22"/>
              </w:rPr>
              <w:t>Sessions, n</w:t>
            </w:r>
          </w:p>
        </w:tc>
        <w:tc>
          <w:tcPr>
            <w:tcW w:type="dxa" w:w="3515"/>
          </w:tcPr>
          <w:p>
            <w:pPr>
              <w:spacing w:before="0" w:after="0" w:line="240" w:lineRule="auto"/>
            </w:pPr>
            <w:r/>
            <w:r>
              <w:rPr>
                <w:rFonts w:ascii="Times New Roman" w:hAnsi="Times New Roman" w:cs="Times New Roman"/>
                <w:b w:val="0"/>
                <w:i w:val="0"/>
                <w:sz w:val="22"/>
              </w:rPr>
              <w:t>71</w:t>
            </w:r>
          </w:p>
        </w:tc>
        <w:tc>
          <w:tcPr>
            <w:tcW w:type="dxa" w:w="3515"/>
          </w:tcPr>
          <w:p>
            <w:pPr>
              <w:spacing w:before="0" w:after="0" w:line="240" w:lineRule="auto"/>
            </w:pPr>
            <w:r/>
            <w:r>
              <w:rPr>
                <w:rFonts w:ascii="Times New Roman" w:hAnsi="Times New Roman" w:cs="Times New Roman"/>
                <w:b w:val="0"/>
                <w:i w:val="0"/>
                <w:sz w:val="22"/>
              </w:rPr>
              <w:t>25</w:t>
            </w:r>
          </w:p>
        </w:tc>
      </w:tr>
      <w:tr>
        <w:tc>
          <w:tcPr>
            <w:tcW w:type="dxa" w:w="2551"/>
          </w:tcPr>
          <w:p>
            <w:pPr>
              <w:spacing w:before="0" w:after="0" w:line="240" w:lineRule="auto"/>
            </w:pPr>
            <w:r/>
            <w:r>
              <w:rPr>
                <w:rFonts w:ascii="Times New Roman" w:hAnsi="Times New Roman" w:cs="Times New Roman"/>
                <w:b w:val="0"/>
                <w:i w:val="0"/>
                <w:sz w:val="22"/>
              </w:rPr>
              <w:t>Camera viewpoint</w:t>
            </w:r>
          </w:p>
        </w:tc>
        <w:tc>
          <w:tcPr>
            <w:tcW w:type="dxa" w:w="3515"/>
          </w:tcPr>
          <w:p>
            <w:pPr>
              <w:spacing w:before="0" w:after="0" w:line="240" w:lineRule="auto"/>
            </w:pPr>
            <w:r/>
            <w:r>
              <w:rPr>
                <w:rFonts w:ascii="Times New Roman" w:hAnsi="Times New Roman" w:cs="Times New Roman"/>
                <w:b w:val="0"/>
                <w:i w:val="0"/>
                <w:sz w:val="22"/>
              </w:rPr>
              <w:t>down-the-line: 59; face-on: 10; other: 2</w:t>
            </w:r>
          </w:p>
        </w:tc>
        <w:tc>
          <w:tcPr>
            <w:tcW w:type="dxa" w:w="3515"/>
          </w:tcPr>
          <w:p>
            <w:pPr>
              <w:spacing w:before="0" w:after="0" w:line="240" w:lineRule="auto"/>
            </w:pPr>
            <w:r/>
            <w:r>
              <w:rPr>
                <w:rFonts w:ascii="Times New Roman" w:hAnsi="Times New Roman" w:cs="Times New Roman"/>
                <w:b w:val="0"/>
                <w:i w:val="0"/>
                <w:sz w:val="22"/>
              </w:rPr>
              <w:t>down-the-line: 21; face-on: 3; other: 1</w:t>
            </w:r>
          </w:p>
        </w:tc>
      </w:tr>
      <w:tr>
        <w:tc>
          <w:tcPr>
            <w:tcW w:type="dxa" w:w="2551"/>
          </w:tcPr>
          <w:p>
            <w:pPr>
              <w:spacing w:before="0" w:after="0" w:line="240" w:lineRule="auto"/>
            </w:pPr>
            <w:r/>
            <w:r>
              <w:rPr>
                <w:rFonts w:ascii="Times New Roman" w:hAnsi="Times New Roman" w:cs="Times New Roman"/>
                <w:b w:val="0"/>
                <w:i w:val="0"/>
                <w:sz w:val="22"/>
              </w:rPr>
              <w:t>Capture speed class</w:t>
            </w:r>
          </w:p>
        </w:tc>
        <w:tc>
          <w:tcPr>
            <w:tcW w:type="dxa" w:w="3515"/>
          </w:tcPr>
          <w:p>
            <w:pPr>
              <w:spacing w:before="0" w:after="0" w:line="240" w:lineRule="auto"/>
            </w:pPr>
            <w:r/>
            <w:r>
              <w:rPr>
                <w:rFonts w:ascii="Times New Roman" w:hAnsi="Times New Roman" w:cs="Times New Roman"/>
                <w:b w:val="0"/>
                <w:i w:val="0"/>
                <w:sz w:val="22"/>
              </w:rPr>
              <w:t>regular: 47; slow: 23; super slow motion: 1</w:t>
            </w:r>
          </w:p>
        </w:tc>
        <w:tc>
          <w:tcPr>
            <w:tcW w:type="dxa" w:w="3515"/>
          </w:tcPr>
          <w:p>
            <w:pPr>
              <w:spacing w:before="0" w:after="0" w:line="240" w:lineRule="auto"/>
            </w:pPr>
            <w:r/>
            <w:r>
              <w:rPr>
                <w:rFonts w:ascii="Times New Roman" w:hAnsi="Times New Roman" w:cs="Times New Roman"/>
                <w:b w:val="0"/>
                <w:i w:val="0"/>
                <w:sz w:val="22"/>
              </w:rPr>
              <w:t>regular: 17; slow: 8</w:t>
            </w:r>
          </w:p>
        </w:tc>
      </w:tr>
      <w:tr>
        <w:tc>
          <w:tcPr>
            <w:tcW w:type="dxa" w:w="2551"/>
          </w:tcPr>
          <w:p>
            <w:pPr>
              <w:spacing w:before="0" w:after="0" w:line="240" w:lineRule="auto"/>
            </w:pPr>
            <w:r/>
            <w:r>
              <w:rPr>
                <w:rFonts w:ascii="Times New Roman" w:hAnsi="Times New Roman" w:cs="Times New Roman"/>
                <w:b w:val="0"/>
                <w:i w:val="0"/>
                <w:sz w:val="22"/>
              </w:rPr>
              <w:t>Frame-rate bucket, fps</w:t>
            </w:r>
          </w:p>
        </w:tc>
        <w:tc>
          <w:tcPr>
            <w:tcW w:type="dxa" w:w="3515"/>
          </w:tcPr>
          <w:p>
            <w:pPr>
              <w:spacing w:before="0" w:after="0" w:line="240" w:lineRule="auto"/>
            </w:pPr>
            <w:r/>
            <w:r>
              <w:rPr>
                <w:rFonts w:ascii="Times New Roman" w:hAnsi="Times New Roman" w:cs="Times New Roman"/>
                <w:b w:val="0"/>
                <w:i w:val="0"/>
                <w:sz w:val="22"/>
              </w:rPr>
              <w:t>31–60: 41; ≤30: 30</w:t>
            </w:r>
          </w:p>
        </w:tc>
        <w:tc>
          <w:tcPr>
            <w:tcW w:type="dxa" w:w="3515"/>
          </w:tcPr>
          <w:p>
            <w:pPr>
              <w:spacing w:before="0" w:after="0" w:line="240" w:lineRule="auto"/>
            </w:pPr>
            <w:r/>
            <w:r>
              <w:rPr>
                <w:rFonts w:ascii="Times New Roman" w:hAnsi="Times New Roman" w:cs="Times New Roman"/>
                <w:b w:val="0"/>
                <w:i w:val="0"/>
                <w:sz w:val="22"/>
              </w:rPr>
              <w:t>31–60: 18; ≤30: 7</w:t>
            </w:r>
          </w:p>
        </w:tc>
      </w:tr>
      <w:tr>
        <w:tc>
          <w:tcPr>
            <w:tcW w:type="dxa" w:w="2551"/>
          </w:tcPr>
          <w:p>
            <w:pPr>
              <w:spacing w:before="0" w:after="0" w:line="240" w:lineRule="auto"/>
            </w:pPr>
            <w:r/>
            <w:r>
              <w:rPr>
                <w:rFonts w:ascii="Times New Roman" w:hAnsi="Times New Roman" w:cs="Times New Roman"/>
                <w:b w:val="0"/>
                <w:i w:val="0"/>
                <w:sz w:val="22"/>
              </w:rPr>
              <w:t>Resolution bucket</w:t>
            </w:r>
          </w:p>
        </w:tc>
        <w:tc>
          <w:tcPr>
            <w:tcW w:type="dxa" w:w="3515"/>
          </w:tcPr>
          <w:p>
            <w:pPr>
              <w:spacing w:before="0" w:after="0" w:line="240" w:lineRule="auto"/>
            </w:pPr>
            <w:r/>
            <w:r>
              <w:rPr>
                <w:rFonts w:ascii="Times New Roman" w:hAnsi="Times New Roman" w:cs="Times New Roman"/>
                <w:b w:val="0"/>
                <w:i w:val="0"/>
                <w:sz w:val="22"/>
              </w:rPr>
              <w:t>≥1080 p: 43; &lt;720 p: 14; 720–1080 p: 14</w:t>
            </w:r>
          </w:p>
        </w:tc>
        <w:tc>
          <w:tcPr>
            <w:tcW w:type="dxa" w:w="3515"/>
          </w:tcPr>
          <w:p>
            <w:pPr>
              <w:spacing w:before="0" w:after="0" w:line="240" w:lineRule="auto"/>
            </w:pPr>
            <w:r/>
            <w:r>
              <w:rPr>
                <w:rFonts w:ascii="Times New Roman" w:hAnsi="Times New Roman" w:cs="Times New Roman"/>
                <w:b w:val="0"/>
                <w:i w:val="0"/>
                <w:sz w:val="22"/>
              </w:rPr>
              <w:t>≥1080 p: 17; 720–1080 p: 5; &lt;720 p: 3</w:t>
            </w:r>
          </w:p>
        </w:tc>
      </w:tr>
      <w:tr>
        <w:tc>
          <w:tcPr>
            <w:tcW w:type="dxa" w:w="2551"/>
          </w:tcPr>
          <w:p>
            <w:pPr>
              <w:spacing w:before="0" w:after="0" w:line="240" w:lineRule="auto"/>
            </w:pPr>
            <w:r/>
            <w:r>
              <w:rPr>
                <w:rFonts w:ascii="Times New Roman" w:hAnsi="Times New Roman" w:cs="Times New Roman"/>
                <w:b w:val="0"/>
                <w:i w:val="0"/>
                <w:sz w:val="22"/>
              </w:rPr>
              <w:t>Quality grade</w:t>
            </w:r>
          </w:p>
        </w:tc>
        <w:tc>
          <w:tcPr>
            <w:tcW w:type="dxa" w:w="3515"/>
          </w:tcPr>
          <w:p>
            <w:pPr>
              <w:spacing w:before="0" w:after="0" w:line="240" w:lineRule="auto"/>
            </w:pPr>
            <w:r/>
            <w:r>
              <w:rPr>
                <w:rFonts w:ascii="Times New Roman" w:hAnsi="Times New Roman" w:cs="Times New Roman"/>
                <w:b w:val="0"/>
                <w:i w:val="0"/>
                <w:sz w:val="22"/>
              </w:rPr>
              <w:t>medium: 47; good: 12; difficult: 12</w:t>
            </w:r>
          </w:p>
        </w:tc>
        <w:tc>
          <w:tcPr>
            <w:tcW w:type="dxa" w:w="3515"/>
          </w:tcPr>
          <w:p>
            <w:pPr>
              <w:spacing w:before="0" w:after="0" w:line="240" w:lineRule="auto"/>
            </w:pPr>
            <w:r/>
            <w:r>
              <w:rPr>
                <w:rFonts w:ascii="Times New Roman" w:hAnsi="Times New Roman" w:cs="Times New Roman"/>
                <w:b w:val="0"/>
                <w:i w:val="0"/>
                <w:sz w:val="22"/>
              </w:rPr>
              <w:t>medium: 17; difficult: 4; good: 4</w:t>
            </w:r>
          </w:p>
        </w:tc>
      </w:tr>
      <w:tr>
        <w:tc>
          <w:tcPr>
            <w:tcW w:type="dxa" w:w="2551"/>
          </w:tcPr>
          <w:p>
            <w:pPr>
              <w:spacing w:before="0" w:after="0" w:line="240" w:lineRule="auto"/>
            </w:pPr>
            <w:r/>
            <w:r>
              <w:rPr>
                <w:rFonts w:ascii="Times New Roman" w:hAnsi="Times New Roman" w:cs="Times New Roman"/>
                <w:b w:val="0"/>
                <w:i w:val="0"/>
                <w:sz w:val="22"/>
              </w:rPr>
              <w:t>Club type</w:t>
            </w:r>
          </w:p>
        </w:tc>
        <w:tc>
          <w:tcPr>
            <w:tcW w:type="dxa" w:w="3515"/>
          </w:tcPr>
          <w:p>
            <w:pPr>
              <w:spacing w:before="0" w:after="0" w:line="240" w:lineRule="auto"/>
            </w:pPr>
            <w:r/>
            <w:r>
              <w:rPr>
                <w:rFonts w:ascii="Times New Roman" w:hAnsi="Times New Roman" w:cs="Times New Roman"/>
                <w:b w:val="0"/>
                <w:i w:val="0"/>
                <w:sz w:val="22"/>
              </w:rPr>
              <w:t>driver: 32; iron: 23; unknown: 16</w:t>
            </w:r>
          </w:p>
        </w:tc>
        <w:tc>
          <w:tcPr>
            <w:tcW w:type="dxa" w:w="3515"/>
          </w:tcPr>
          <w:p>
            <w:pPr>
              <w:spacing w:before="0" w:after="0" w:line="240" w:lineRule="auto"/>
            </w:pPr>
            <w:r/>
            <w:r>
              <w:rPr>
                <w:rFonts w:ascii="Times New Roman" w:hAnsi="Times New Roman" w:cs="Times New Roman"/>
                <w:b w:val="0"/>
                <w:i w:val="0"/>
                <w:sz w:val="22"/>
              </w:rPr>
              <w:t>driver: 12; iron: 7; unknown: 6</w:t>
            </w:r>
          </w:p>
        </w:tc>
      </w:tr>
      <w:tr>
        <w:tc>
          <w:tcPr>
            <w:tcW w:type="dxa" w:w="2551"/>
          </w:tcPr>
          <w:p>
            <w:pPr>
              <w:spacing w:before="0" w:after="0" w:line="240" w:lineRule="auto"/>
            </w:pPr>
            <w:r/>
            <w:r>
              <w:rPr>
                <w:rFonts w:ascii="Times New Roman" w:hAnsi="Times New Roman" w:cs="Times New Roman"/>
                <w:b w:val="0"/>
                <w:i w:val="0"/>
                <w:sz w:val="22"/>
              </w:rPr>
              <w:t>Clubhead control points, n</w:t>
            </w:r>
          </w:p>
        </w:tc>
        <w:tc>
          <w:tcPr>
            <w:tcW w:type="dxa" w:w="3515"/>
          </w:tcPr>
          <w:p>
            <w:pPr>
              <w:spacing w:before="0" w:after="0" w:line="240" w:lineRule="auto"/>
            </w:pPr>
            <w:r/>
            <w:r>
              <w:rPr>
                <w:rFonts w:ascii="Times New Roman" w:hAnsi="Times New Roman" w:cs="Times New Roman"/>
                <w:b w:val="0"/>
                <w:i w:val="0"/>
                <w:sz w:val="22"/>
              </w:rPr>
              <w:t>-</w:t>
            </w:r>
          </w:p>
        </w:tc>
        <w:tc>
          <w:tcPr>
            <w:tcW w:type="dxa" w:w="3515"/>
          </w:tcPr>
          <w:p>
            <w:pPr>
              <w:spacing w:before="0" w:after="0" w:line="240" w:lineRule="auto"/>
            </w:pPr>
            <w:r/>
            <w:r>
              <w:rPr>
                <w:rFonts w:ascii="Times New Roman" w:hAnsi="Times New Roman" w:cs="Times New Roman"/>
                <w:b w:val="0"/>
                <w:i w:val="0"/>
                <w:sz w:val="22"/>
              </w:rPr>
              <w:t>150 (in 25 sessions)</w:t>
            </w:r>
          </w:p>
        </w:tc>
      </w:tr>
    </w:tbl>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60" w:after="60" w:line="240" w:lineRule="auto"/>
        <w:ind w:firstLine="425"/>
        <w:jc w:val="both"/>
      </w:pPr>
      <w:r>
        <w:rPr>
          <w:rFonts w:ascii="Times New Roman" w:hAnsi="Times New Roman" w:cs="Times New Roman"/>
          <w:b/>
          <w:i/>
          <w:sz w:val="22"/>
        </w:rPr>
        <w:t>Ethics, consent, and data provenance</w:t>
      </w:r>
    </w:p>
    <w:p>
      <w:pPr>
        <w:spacing w:before="0" w:after="0" w:line="240" w:lineRule="auto"/>
        <w:ind w:firstLine="425"/>
        <w:jc w:val="both"/>
      </w:pPr>
      <w:r>
        <w:rPr>
          <w:rFonts w:ascii="Times New Roman" w:hAnsi="Times New Roman" w:cs="Times New Roman"/>
          <w:b w:val="0"/>
          <w:i w:val="0"/>
          <w:sz w:val="22"/>
        </w:rPr>
        <w:t>No ethics-committee approval was required for this study. The analysed recordings are anonymized public demonstration footage used for algorithmic evaluation; they do not constitute identifiable human-participant research data for the purposes reported here. Session folders were stored locally and identified by universally unique identifiers. No participant image is reproduced in the article. The schematic in Fig. 2 is retained for annotation-definition illustration rather than as a subject photograph.</w:t>
      </w:r>
    </w:p>
    <w:p>
      <w:pPr>
        <w:keepNext/>
        <w:spacing w:before="60" w:after="60" w:line="240" w:lineRule="auto"/>
        <w:ind w:firstLine="425"/>
        <w:jc w:val="both"/>
      </w:pPr>
      <w:r>
        <w:rPr>
          <w:rFonts w:ascii="Times New Roman" w:hAnsi="Times New Roman" w:cs="Times New Roman"/>
          <w:b/>
          <w:i/>
          <w:sz w:val="22"/>
        </w:rPr>
        <w:t>Manual annotation protocol and rater design</w:t>
      </w:r>
    </w:p>
    <w:p>
      <w:pPr>
        <w:spacing w:before="0" w:after="0" w:line="240" w:lineRule="auto"/>
        <w:ind w:firstLine="425"/>
        <w:jc w:val="both"/>
      </w:pPr>
      <w:r>
        <w:rPr>
          <w:rFonts w:ascii="Times New Roman" w:hAnsi="Times New Roman" w:cs="Times New Roman"/>
          <w:b w:val="0"/>
          <w:i w:val="0"/>
          <w:sz w:val="22"/>
        </w:rPr>
        <w:t>Two annotators contributed independent rounds. Ivan Syniuk (annotator A) completed all 25 sessions, recording four events and 8-14 clubhead points per session, for 100 event labels and 260 points. Daria Plokhotniuk (annotator B), a different person, independently completed all 25 sessions, recording the same four events and one clubhead click on each frame of a shared plan of 150 frames, giving 100 event labels and 150 points. The plan assigned six frames per session, chosen deterministically and spread over annotator A's ordered control frames so that difficult mid-swing frames were included rather than only early ones; it exported session and frame indices only, never coordinates. Annotator A then repeated 10 of the 25 sessions as a second round, selected by a stored deterministic plan stratified as far as possible by viewpoint, frame-rate group, resolution, capture speed, and quality, giving 40 event labels and 60 points for intra-rater analysis. The interval between annotator A's two rounds is not recorded in the export and is therefore not reported.</w:t>
      </w:r>
    </w:p>
    <w:p>
      <w:pPr>
        <w:spacing w:before="0" w:after="0" w:line="240" w:lineRule="auto"/>
        <w:ind w:firstLine="425"/>
        <w:jc w:val="both"/>
      </w:pPr>
      <w:r>
        <w:rPr>
          <w:rFonts w:ascii="Times New Roman" w:hAnsi="Times New Roman" w:cs="Times New Roman"/>
          <w:b w:val="0"/>
          <w:i w:val="0"/>
          <w:sz w:val="22"/>
        </w:rPr>
        <w:t>The annotation interface displayed decoded video frames without automatic event markers or processed clubhead coordinates, and no annotator saw another annotator's event frames or coordinates, or their own earlier round, before all raw rounds were locked. Clicks were captured at full resolution in original video pixel coordinates. Operational definitions are given in Table 2 and illustrated schematically in Fig. 2. Control points were deliberately placed along visible portions of the swing arc; consequently, the sample favours frames where a visual click was possible and cannot estimate whole-video tracking availability. The reference is therefore a sparsely sampled, two-dimensional visual reference from two observers, not a continuous or external biomechanical ground truth.</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2. </w:t>
      </w:r>
      <w:r>
        <w:rPr>
          <w:rFonts w:ascii="Times New Roman" w:hAnsi="Times New Roman" w:cs="Times New Roman"/>
          <w:b/>
          <w:i w:val="0"/>
          <w:sz w:val="22"/>
        </w:rPr>
        <w:t>Operational definitions of manually annotated events</w:t>
      </w:r>
    </w:p>
    <w:tbl>
      <w:tblPr>
        <w:tblStyle w:val="aff2"/>
        <w:tblW w:type="auto" w:w="0"/>
        <w:jc w:val="center"/>
        <w:tblLayout w:type="fixed"/>
        <w:tblLook w:firstColumn="1" w:firstRow="1" w:lastColumn="0" w:lastRow="0" w:noHBand="0" w:noVBand="1" w:val="04A0"/>
      </w:tblPr>
      <w:tblGrid>
        <w:gridCol w:w="2041"/>
        <w:gridCol w:w="4365"/>
        <w:gridCol w:w="3175"/>
      </w:tblGrid>
      <w:tr>
        <w:trPr>
          <w:tblHeader/>
        </w:trPr>
        <w:tc>
          <w:tcPr>
            <w:tcW w:type="dxa" w:w="2041"/>
          </w:tcPr>
          <w:p>
            <w:pPr>
              <w:spacing w:before="0" w:after="0" w:line="240" w:lineRule="auto"/>
            </w:pPr>
            <w:r/>
            <w:r>
              <w:rPr>
                <w:rFonts w:ascii="Times New Roman" w:hAnsi="Times New Roman" w:cs="Times New Roman"/>
                <w:b/>
                <w:i w:val="0"/>
                <w:sz w:val="22"/>
              </w:rPr>
              <w:t>Event</w:t>
            </w:r>
          </w:p>
        </w:tc>
        <w:tc>
          <w:tcPr>
            <w:tcW w:type="dxa" w:w="4365"/>
          </w:tcPr>
          <w:p>
            <w:pPr>
              <w:spacing w:before="0" w:after="0" w:line="240" w:lineRule="auto"/>
            </w:pPr>
            <w:r/>
            <w:r>
              <w:rPr>
                <w:rFonts w:ascii="Times New Roman" w:hAnsi="Times New Roman" w:cs="Times New Roman"/>
                <w:b/>
                <w:i w:val="0"/>
                <w:sz w:val="22"/>
              </w:rPr>
              <w:t>Visual criterion</w:t>
            </w:r>
          </w:p>
        </w:tc>
        <w:tc>
          <w:tcPr>
            <w:tcW w:type="dxa" w:w="3175"/>
          </w:tcPr>
          <w:p>
            <w:pPr>
              <w:spacing w:before="0" w:after="0" w:line="240" w:lineRule="auto"/>
            </w:pPr>
            <w:r/>
            <w:r>
              <w:rPr>
                <w:rFonts w:ascii="Times New Roman" w:hAnsi="Times New Roman" w:cs="Times New Roman"/>
                <w:b/>
                <w:i w:val="0"/>
                <w:sz w:val="22"/>
              </w:rPr>
              <w:t>Role</w:t>
            </w:r>
          </w:p>
        </w:tc>
      </w:tr>
      <w:tr>
        <w:tc>
          <w:tcPr>
            <w:tcW w:type="dxa" w:w="2041"/>
          </w:tcPr>
          <w:p>
            <w:pPr>
              <w:spacing w:before="0" w:after="0" w:line="240" w:lineRule="auto"/>
            </w:pPr>
            <w:r/>
            <w:r>
              <w:rPr>
                <w:rFonts w:ascii="Times New Roman" w:hAnsi="Times New Roman" w:cs="Times New Roman"/>
                <w:b w:val="0"/>
                <w:i w:val="0"/>
                <w:sz w:val="22"/>
              </w:rPr>
              <w:t>Address</w:t>
            </w:r>
          </w:p>
        </w:tc>
        <w:tc>
          <w:tcPr>
            <w:tcW w:type="dxa" w:w="4365"/>
          </w:tcPr>
          <w:p>
            <w:pPr>
              <w:spacing w:before="0" w:after="0" w:line="240" w:lineRule="auto"/>
            </w:pPr>
            <w:r/>
            <w:r>
              <w:rPr>
                <w:rFonts w:ascii="Times New Roman" w:hAnsi="Times New Roman" w:cs="Times New Roman"/>
                <w:b w:val="0"/>
                <w:i w:val="0"/>
                <w:sz w:val="22"/>
              </w:rPr>
              <w:t>Last stable frame before takeaway</w:t>
            </w:r>
          </w:p>
        </w:tc>
        <w:tc>
          <w:tcPr>
            <w:tcW w:type="dxa" w:w="3175"/>
          </w:tcPr>
          <w:p>
            <w:pPr>
              <w:spacing w:before="0" w:after="0" w:line="240" w:lineRule="auto"/>
            </w:pPr>
            <w:r/>
            <w:r>
              <w:rPr>
                <w:rFonts w:ascii="Times New Roman" w:hAnsi="Times New Roman" w:cs="Times New Roman"/>
                <w:b w:val="0"/>
                <w:i w:val="0"/>
                <w:sz w:val="22"/>
              </w:rPr>
              <w:t>Time-origin diagnostic</w:t>
            </w:r>
          </w:p>
        </w:tc>
      </w:tr>
      <w:tr>
        <w:tc>
          <w:tcPr>
            <w:tcW w:type="dxa" w:w="2041"/>
          </w:tcPr>
          <w:p>
            <w:pPr>
              <w:spacing w:before="0" w:after="0" w:line="240" w:lineRule="auto"/>
            </w:pPr>
            <w:r/>
            <w:r>
              <w:rPr>
                <w:rFonts w:ascii="Times New Roman" w:hAnsi="Times New Roman" w:cs="Times New Roman"/>
                <w:b w:val="0"/>
                <w:i w:val="0"/>
                <w:sz w:val="22"/>
              </w:rPr>
              <w:t>Top of backswing</w:t>
            </w:r>
          </w:p>
        </w:tc>
        <w:tc>
          <w:tcPr>
            <w:tcW w:type="dxa" w:w="4365"/>
          </w:tcPr>
          <w:p>
            <w:pPr>
              <w:spacing w:before="0" w:after="0" w:line="240" w:lineRule="auto"/>
            </w:pPr>
            <w:r/>
            <w:r>
              <w:rPr>
                <w:rFonts w:ascii="Times New Roman" w:hAnsi="Times New Roman" w:cs="Times New Roman"/>
                <w:b w:val="0"/>
                <w:i w:val="0"/>
                <w:sz w:val="22"/>
              </w:rPr>
              <w:t>Maximal backswing extent before reversal</w:t>
            </w:r>
          </w:p>
        </w:tc>
        <w:tc>
          <w:tcPr>
            <w:tcW w:type="dxa" w:w="3175"/>
          </w:tcPr>
          <w:p>
            <w:pPr>
              <w:spacing w:before="0" w:after="0" w:line="240" w:lineRule="auto"/>
            </w:pPr>
            <w:r/>
            <w:r>
              <w:rPr>
                <w:rFonts w:ascii="Times New Roman" w:hAnsi="Times New Roman" w:cs="Times New Roman"/>
                <w:b w:val="0"/>
                <w:i w:val="0"/>
                <w:sz w:val="22"/>
              </w:rPr>
              <w:t>Compared with transition proxy</w:t>
            </w:r>
          </w:p>
        </w:tc>
      </w:tr>
      <w:tr>
        <w:tc>
          <w:tcPr>
            <w:tcW w:type="dxa" w:w="2041"/>
          </w:tcPr>
          <w:p>
            <w:pPr>
              <w:spacing w:before="0" w:after="0" w:line="240" w:lineRule="auto"/>
            </w:pPr>
            <w:r/>
            <w:r>
              <w:rPr>
                <w:rFonts w:ascii="Times New Roman" w:hAnsi="Times New Roman" w:cs="Times New Roman"/>
                <w:b w:val="0"/>
                <w:i w:val="0"/>
                <w:sz w:val="22"/>
              </w:rPr>
              <w:t>Downswing transition</w:t>
            </w:r>
          </w:p>
        </w:tc>
        <w:tc>
          <w:tcPr>
            <w:tcW w:type="dxa" w:w="4365"/>
          </w:tcPr>
          <w:p>
            <w:pPr>
              <w:spacing w:before="0" w:after="0" w:line="240" w:lineRule="auto"/>
            </w:pPr>
            <w:r/>
            <w:r>
              <w:rPr>
                <w:rFonts w:ascii="Times New Roman" w:hAnsi="Times New Roman" w:cs="Times New Roman"/>
                <w:b w:val="0"/>
                <w:i w:val="0"/>
                <w:sz w:val="22"/>
              </w:rPr>
              <w:t>First sustained motion toward impact</w:t>
            </w:r>
          </w:p>
        </w:tc>
        <w:tc>
          <w:tcPr>
            <w:tcW w:type="dxa" w:w="3175"/>
          </w:tcPr>
          <w:p>
            <w:pPr>
              <w:spacing w:before="0" w:after="0" w:line="240" w:lineRule="auto"/>
            </w:pPr>
            <w:r/>
            <w:r>
              <w:rPr>
                <w:rFonts w:ascii="Times New Roman" w:hAnsi="Times New Roman" w:cs="Times New Roman"/>
                <w:b w:val="0"/>
                <w:i w:val="0"/>
                <w:sz w:val="22"/>
              </w:rPr>
              <w:t>Compared with transition proxy</w:t>
            </w:r>
          </w:p>
        </w:tc>
      </w:tr>
      <w:tr>
        <w:tc>
          <w:tcPr>
            <w:tcW w:type="dxa" w:w="2041"/>
          </w:tcPr>
          <w:p>
            <w:pPr>
              <w:spacing w:before="0" w:after="0" w:line="240" w:lineRule="auto"/>
            </w:pPr>
            <w:r/>
            <w:r>
              <w:rPr>
                <w:rFonts w:ascii="Times New Roman" w:hAnsi="Times New Roman" w:cs="Times New Roman"/>
                <w:b w:val="0"/>
                <w:i w:val="0"/>
                <w:sz w:val="22"/>
              </w:rPr>
              <w:t>Impact</w:t>
            </w:r>
          </w:p>
        </w:tc>
        <w:tc>
          <w:tcPr>
            <w:tcW w:type="dxa" w:w="4365"/>
          </w:tcPr>
          <w:p>
            <w:pPr>
              <w:spacing w:before="0" w:after="0" w:line="240" w:lineRule="auto"/>
            </w:pPr>
            <w:r/>
            <w:r>
              <w:rPr>
                <w:rFonts w:ascii="Times New Roman" w:hAnsi="Times New Roman" w:cs="Times New Roman"/>
                <w:b w:val="0"/>
                <w:i w:val="0"/>
                <w:sz w:val="22"/>
              </w:rPr>
              <w:t>Closest visible clubhead-ball contact</w:t>
            </w:r>
          </w:p>
        </w:tc>
        <w:tc>
          <w:tcPr>
            <w:tcW w:type="dxa" w:w="3175"/>
          </w:tcPr>
          <w:p>
            <w:pPr>
              <w:spacing w:before="0" w:after="0" w:line="240" w:lineRule="auto"/>
            </w:pPr>
            <w:r/>
            <w:r>
              <w:rPr>
                <w:rFonts w:ascii="Times New Roman" w:hAnsi="Times New Roman" w:cs="Times New Roman"/>
                <w:b w:val="0"/>
                <w:i w:val="0"/>
                <w:sz w:val="22"/>
              </w:rPr>
              <w:t>Compared with impact detector</w:t>
            </w:r>
          </w:p>
        </w:tc>
      </w:tr>
    </w:tbl>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80"/>
        <w:ind w:firstLine="0"/>
        <w:jc w:val="center"/>
      </w:pPr>
      <w:r>
        <w:drawing>
          <wp:inline xmlns:a="http://schemas.openxmlformats.org/drawingml/2006/main" xmlns:pic="http://schemas.openxmlformats.org/drawingml/2006/picture">
            <wp:extent cx="2951999" cy="3966749"/>
            <wp:docPr id="11" name="Picture 11"/>
            <wp:cNvGraphicFramePr>
              <a:graphicFrameLocks noChangeAspect="1"/>
            </wp:cNvGraphicFramePr>
            <a:graphic>
              <a:graphicData uri="http://schemas.openxmlformats.org/drawingml/2006/picture">
                <pic:pic>
                  <pic:nvPicPr>
                    <pic:cNvPr id="0" name="fig_annotated_frame.png"/>
                    <pic:cNvPicPr/>
                  </pic:nvPicPr>
                  <pic:blipFill>
                    <a:blip r:embed="rId24"/>
                    <a:stretch>
                      <a:fillRect/>
                    </a:stretch>
                  </pic:blipFill>
                  <pic:spPr>
                    <a:xfrm>
                      <a:off x="0" y="0"/>
                      <a:ext cx="2951999" cy="3966749"/>
                    </a:xfrm>
                    <a:prstGeom prst="rect"/>
                  </pic:spPr>
                </pic:pic>
              </a:graphicData>
            </a:graphic>
          </wp:inline>
        </w:drawing>
      </w:r>
    </w:p>
    <w:p>
      <w:pPr>
        <w:keepNext/>
        <w:ind w:firstLine="0"/>
        <w:jc w:val="center"/>
      </w:pPr>
      <w:r>
        <w:rPr>
          <w:rFonts w:ascii="Times New Roman" w:hAnsi="Times New Roman" w:cs="Times New Roman"/>
          <w:b w:val="0"/>
          <w:i/>
          <w:sz w:val="22"/>
        </w:rPr>
        <w:t xml:space="preserve">Fig. 2. </w:t>
      </w:r>
      <w:r>
        <w:rPr>
          <w:rFonts w:ascii="Times New Roman" w:hAnsi="Times New Roman" w:cs="Times New Roman"/>
          <w:b/>
          <w:i w:val="0"/>
          <w:sz w:val="22"/>
        </w:rPr>
        <w:t>Operational event and selected-frame clubhead annotations</w:t>
      </w:r>
    </w:p>
    <w:p>
      <w:pPr>
        <w:spacing w:after="120"/>
        <w:ind w:firstLine="0"/>
        <w:jc w:val="center"/>
      </w:pPr>
      <w:r>
        <w:rPr>
          <w:rFonts w:ascii="Times New Roman" w:hAnsi="Times New Roman" w:cs="Times New Roman"/>
          <w:b/>
          <w:i/>
          <w:sz w:val="16"/>
        </w:rPr>
        <w:t>Source: compiled by the authors</w:t>
      </w:r>
    </w:p>
    <w:p>
      <w:pPr>
        <w:keepNext/>
        <w:spacing w:before="60" w:after="60" w:line="240" w:lineRule="auto"/>
        <w:ind w:firstLine="425"/>
        <w:jc w:val="both"/>
      </w:pPr>
      <w:r>
        <w:rPr>
          <w:rFonts w:ascii="Times New Roman" w:hAnsi="Times New Roman" w:cs="Times New Roman"/>
          <w:b/>
          <w:i/>
          <w:sz w:val="22"/>
        </w:rPr>
        <w:t>Consensus reference construction</w:t>
      </w:r>
    </w:p>
    <w:p>
      <w:pPr>
        <w:spacing w:before="0" w:after="0" w:line="240" w:lineRule="auto"/>
        <w:ind w:firstLine="425"/>
        <w:jc w:val="both"/>
      </w:pPr>
      <w:r>
        <w:rPr>
          <w:rFonts w:ascii="Times New Roman" w:hAnsi="Times New Roman" w:cs="Times New Roman"/>
          <w:b w:val="0"/>
          <w:i w:val="0"/>
          <w:sz w:val="22"/>
        </w:rPr>
        <w:t>Raw rater rows were preserved unchanged and merged into a multi-rater archive; a merge check rejected duplicate rows for the same rater, round, session, event, or planned point frame. Every position where the two round-1 annotators differed was listed, and each was resolved by a single rule fixed before adjudication and disclosed here: the consensus event frame is the midpoint of the two annotators' frames, and the consensus clubhead position is the pixel mean of the two annotators' clicks. All 250 adjudication records - 100 events and 150 points - were resolved by that mean rule, and each consensus row carries the adjudication identifier, decision, and reason. The consensus reference therefore contains 25 sessions, 100 event rows, and 150 clubhead points. Because a mean is not an expert re-adjudication, the consensus inherits the annotators' disagreement rather than removing it, and the size of that inherited uncertainty is reported alongside the algorithm results. All algorithm comparisons in this article use the consensus reference only; raw rater rounds are used only for annotation agreement.</w:t>
      </w:r>
    </w:p>
    <w:p>
      <w:pPr>
        <w:keepNext/>
        <w:spacing w:before="60" w:after="60" w:line="240" w:lineRule="auto"/>
        <w:ind w:firstLine="425"/>
        <w:jc w:val="both"/>
      </w:pPr>
      <w:r>
        <w:rPr>
          <w:rFonts w:ascii="Times New Roman" w:hAnsi="Times New Roman" w:cs="Times New Roman"/>
          <w:b/>
          <w:i/>
          <w:sz w:val="22"/>
        </w:rPr>
        <w:t>Automatic workflow</w:t>
      </w:r>
    </w:p>
    <w:p>
      <w:pPr>
        <w:spacing w:before="0" w:after="0" w:line="240" w:lineRule="auto"/>
        <w:ind w:firstLine="425"/>
        <w:jc w:val="both"/>
      </w:pPr>
      <w:r>
        <w:rPr>
          <w:rFonts w:ascii="Times New Roman" w:hAnsi="Times New Roman" w:cs="Times New Roman"/>
          <w:b w:val="0"/>
          <w:i w:val="0"/>
          <w:sz w:val="22"/>
        </w:rPr>
        <w:t>Normalized landmark coordinates were converted to pixels. A running median preceded a confidence-aware constant-velocity Kalman filter with physical gating and adaptive measurement noise. Stored forward states were passed to the production Rauch-Tung-Striebel smoother, then to trajectory despiking and bounded polynomial/Laplacian reconstruction with blending and a maximum deviation from raw coordinates. During this revision a defect was corrected in the production smoother, whose predicted covariance had omitted the process-noise term used by the forward filter; the smoother now propagates the same process noise, and synthetic constant-velocity and missing-sample tests were added. No Kalman or despiking parameter was retuned. A running median of detected shaft length supplied the pixel-to-metre factor using an assumed physical club length of 1.0 m. The evaluated output was generated with the scientific profile described in the companion workflow [32].</w:t>
      </w:r>
    </w:p>
    <w:p>
      <w:pPr>
        <w:keepNext/>
        <w:spacing w:before="60" w:after="60" w:line="240" w:lineRule="auto"/>
        <w:ind w:firstLine="425"/>
        <w:jc w:val="both"/>
      </w:pPr>
      <w:r>
        <w:rPr>
          <w:rFonts w:ascii="Times New Roman" w:hAnsi="Times New Roman" w:cs="Times New Roman"/>
          <w:b/>
          <w:i/>
          <w:sz w:val="22"/>
        </w:rPr>
        <w:t>Time-base and event audit</w:t>
      </w:r>
    </w:p>
    <w:p>
      <w:pPr>
        <w:spacing w:before="0" w:after="0" w:line="240" w:lineRule="auto"/>
        <w:ind w:firstLine="425"/>
        <w:jc w:val="both"/>
      </w:pPr>
      <w:r>
        <w:rPr>
          <w:rFonts w:ascii="Times New Roman" w:hAnsi="Times New Roman" w:cs="Times New Roman"/>
          <w:b w:val="0"/>
          <w:i w:val="0"/>
          <w:sz w:val="22"/>
        </w:rPr>
        <w:t>Every selected processed video was decoded with presentation timestamps. For each session, decoded frame count, timestamp intervals, the landmark-array time field, and manual reference_frame/reference_time_s pairs were compared. An event scatter plot used manual and automatic frame indices with an identity line. The workflow exports one impact index and one transition index. The transition index was compared separately with the consensus top of backswing and the consensus downswing transition only as a definition diagnostic; the two rows share the same automatic output and are not independent detectors.</w:t>
      </w:r>
    </w:p>
    <w:p>
      <w:pPr>
        <w:keepNext/>
        <w:spacing w:before="60" w:after="60" w:line="240" w:lineRule="auto"/>
        <w:ind w:firstLine="425"/>
        <w:jc w:val="both"/>
      </w:pPr>
      <w:r>
        <w:rPr>
          <w:rFonts w:ascii="Times New Roman" w:hAnsi="Times New Roman" w:cs="Times New Roman"/>
          <w:b/>
          <w:i/>
          <w:sz w:val="22"/>
        </w:rPr>
        <w:t>Annotation agreement measures</w:t>
      </w:r>
    </w:p>
    <w:p>
      <w:pPr>
        <w:spacing w:before="0" w:after="0" w:line="240" w:lineRule="auto"/>
        <w:ind w:firstLine="425"/>
        <w:jc w:val="both"/>
      </w:pPr>
      <w:r>
        <w:rPr>
          <w:rFonts w:ascii="Times New Roman" w:hAnsi="Times New Roman" w:cs="Times New Roman"/>
          <w:b w:val="0"/>
          <w:i w:val="0"/>
          <w:sz w:val="22"/>
        </w:rPr>
        <w:t>Human-human agreement was computed from raw rater rows only, with no automatic input. For events, paired signed and absolute frame differences were summarized per event and overall by median, mean, standard deviation, 95th percentile, minimum, and maximum; by exact-frame, within-one-frame, and within-two-frame agreement; and by Bland-Altman bias and limits in frames and milliseconds [22]. Whether the two annotators could distinguish top of backswing from downswing transition was examined separately as the same-session absolute gap between those two labels for each annotator. For the shared 150 frames, click disagreement was the Euclidean pixel distance between the two annotators' coordinates, also expressed as a percentage of the image diagonal, summarized within each session and then across sessions with session-bootstrap intervals, together with counts above 10, 25, and 50 pixels. Inter-rater results and annotator A's intra-rater results are reported separately and are never pooled. No intraclass correlation is reported, because the design has no athlete or trial grouping; between-session dispersion of the corpus is not called reliability anywhere in this article.</w:t>
      </w:r>
    </w:p>
    <w:p>
      <w:pPr>
        <w:keepNext/>
        <w:spacing w:before="60" w:after="60" w:line="240" w:lineRule="auto"/>
        <w:ind w:firstLine="425"/>
        <w:jc w:val="both"/>
      </w:pPr>
      <w:r>
        <w:rPr>
          <w:rFonts w:ascii="Times New Roman" w:hAnsi="Times New Roman" w:cs="Times New Roman"/>
          <w:b/>
          <w:i/>
          <w:sz w:val="22"/>
        </w:rPr>
        <w:t>Event agreement measures</w:t>
      </w:r>
    </w:p>
    <w:p>
      <w:pPr>
        <w:spacing w:before="0" w:after="0" w:line="240" w:lineRule="auto"/>
        <w:ind w:firstLine="425"/>
        <w:jc w:val="both"/>
      </w:pPr>
      <w:r>
        <w:rPr>
          <w:rFonts w:ascii="Times New Roman" w:hAnsi="Times New Roman" w:cs="Times New Roman"/>
          <w:b w:val="0"/>
          <w:i w:val="0"/>
          <w:sz w:val="22"/>
        </w:rPr>
        <w:t>For session i and consensus definition e, signed frame error was E_frame(i,e) = frame_auto(i,e) - frame_consensus(i,e). Negative values indicate an early automatic output. Presentation-time error was E_time(i,e) = time_auto(i,e) - time_consensus(i,e) and was reported in milliseconds. Absolute error was the magnitude of the signed error. For each comparison, the median signed error, median absolute error, mean bias, standard deviation of paired differences, 95th percentile absolute error, and Bland-Altman limits bias +/- 1.96 x SD were calculated [22]. Session bootstrap intervals resampled the 25 paired sessions 10 000 times.</w:t>
      </w:r>
    </w:p>
    <w:p>
      <w:pPr>
        <w:keepNext/>
        <w:spacing w:before="60" w:after="60" w:line="240" w:lineRule="auto"/>
        <w:ind w:firstLine="425"/>
        <w:jc w:val="both"/>
      </w:pPr>
      <w:r>
        <w:rPr>
          <w:rFonts w:ascii="Times New Roman" w:hAnsi="Times New Roman" w:cs="Times New Roman"/>
          <w:b/>
          <w:i/>
          <w:sz w:val="22"/>
        </w:rPr>
        <w:t>Clubhead localization agreement</w:t>
      </w:r>
    </w:p>
    <w:p>
      <w:pPr>
        <w:spacing w:before="0" w:after="0" w:line="240" w:lineRule="auto"/>
        <w:ind w:firstLine="425"/>
        <w:jc w:val="both"/>
      </w:pPr>
      <w:r>
        <w:rPr>
          <w:rFonts w:ascii="Times New Roman" w:hAnsi="Times New Roman" w:cs="Times New Roman"/>
          <w:b w:val="0"/>
          <w:i w:val="0"/>
          <w:sz w:val="22"/>
        </w:rPr>
        <w:t>At every annotated frame, the Euclidean pixel discrepancy was D_px = sqrt[(x_auto - x_consensus)^2 + (y_auto - y_consensus)^2]. The primary resolution-normalized measure was D_diag = D_px / sqrt(width^2 + height^2). A secondary physical estimate used D_m = D_px x L_assumed / length_px, where L_assumed = 1.0 m and length_px was the workflow's running detected club length. Because this scale is generated by the evaluated workflow and actual club length is unavailable for 16 sessions, centimetre values are model-dependent and are not treated as independently calibrated accuracy. Points were assigned to phases from consensus events. To respect clustering, the median was first calculated within each session and phase; medians and 95% bootstrap intervals were then calculated across sessions. Point-level 95th percentiles, maxima, and counts above 100, 250, and 500 pixels describe the heavy tail. Because the consensus is a mean of two disagreeing observers, the resulting discrepancy is interpreted against the inter-rater disagreement measured on the same 150 frames, and a sensitivity check recomputed the same statistic against annotator A's round-1 clicks alone.</w:t>
      </w:r>
    </w:p>
    <w:p>
      <w:pPr>
        <w:keepNext/>
        <w:spacing w:before="60" w:after="60" w:line="240" w:lineRule="auto"/>
        <w:ind w:firstLine="425"/>
        <w:jc w:val="both"/>
      </w:pPr>
      <w:r>
        <w:rPr>
          <w:rFonts w:ascii="Times New Roman" w:hAnsi="Times New Roman" w:cs="Times New Roman"/>
          <w:b/>
          <w:i/>
          <w:sz w:val="22"/>
        </w:rPr>
        <w:t>Perturbation sensitivity</w:t>
      </w:r>
    </w:p>
    <w:p>
      <w:pPr>
        <w:spacing w:before="0" w:after="0" w:line="240" w:lineRule="auto"/>
        <w:ind w:firstLine="425"/>
        <w:jc w:val="both"/>
      </w:pPr>
      <w:r>
        <w:rPr>
          <w:rFonts w:ascii="Times New Roman" w:hAnsi="Times New Roman" w:cs="Times New Roman"/>
          <w:b w:val="0"/>
          <w:i w:val="0"/>
          <w:sz w:val="22"/>
        </w:rPr>
        <w:t>All 71 sessions were reprocessed under 12 scenarios: frame thinning by factors of 2 and 3; club-landmark dropout of 5%, 10%, and 20%; independent coordinate jitter with normalized standard deviations 0.004 and 0.008; scale changes of -10%, -5%, +5%, and +10%; and a combined case comprising twofold thinning, 10% dropout, and 0.004 jitter. Depending on frame size, the jitter doses correspond approximately to 2-8 and 5-15 pixels per coordinate. These are study-specific stress-test doses, not empirically estimated prevalence levels. Dropout and jitter used a process-independent seed derived from the session identifier and recorded with every run; one realization per session and dose was evaluated, so the reported spread reflects between-session variation rather than Monte Carlo uncertainty.</w:t>
      </w:r>
    </w:p>
    <w:p>
      <w:pPr>
        <w:spacing w:before="0" w:after="0" w:line="240" w:lineRule="auto"/>
        <w:ind w:firstLine="425"/>
        <w:jc w:val="both"/>
      </w:pPr>
      <w:r>
        <w:rPr>
          <w:rFonts w:ascii="Times New Roman" w:hAnsi="Times New Roman" w:cs="Times New Roman"/>
          <w:b w:val="0"/>
          <w:i w:val="0"/>
          <w:sz w:val="22"/>
        </w:rPr>
        <w:t>For baseline value m0 and perturbed value mp, absolute symmetric change was Delta_sym = 200 x |mp - m0| / (|mp| + |m0|). This bounded measure avoids the unbounded denominator problem of ordinary percentage change, although interpretation remains difficult near zero and for an index with an arbitrary origin. Spearman rank correlation quantified preservation of session ordering. Session bootstrap intervals used 2000 resamples for median change and 1000 for rank correlation. Each metric is summarized per scenario, and the tabulated figure is the median of the 12 scenario-level medians, not a pooled median over runs. For descriptive summaries only, scenario medians below 10%, from 10% to below 25%, and at least 25% were labelled low, moderate, and high response, and metrics were ordered by their median across scenarios; no composite score and no coefficient of variation enters this ordering. These author-defined operational bands are not coaching tolerances or measurement-validity thresholds. Phase-duration metrics were excluded because the event segmentation was not valid, and downswing peak speed was excluded because it duplicated maximum speed in these runs.</w:t>
      </w:r>
    </w:p>
    <w:p>
      <w:pPr>
        <w:keepNext/>
        <w:spacing w:before="60" w:after="60" w:line="240" w:lineRule="auto"/>
        <w:ind w:firstLine="425"/>
        <w:jc w:val="both"/>
      </w:pPr>
      <w:r>
        <w:rPr>
          <w:rFonts w:ascii="Times New Roman" w:hAnsi="Times New Roman" w:cs="Times New Roman"/>
          <w:b/>
          <w:i/>
          <w:sz w:val="22"/>
        </w:rPr>
        <w:t>Production-stage ablation and metric definitions</w:t>
      </w:r>
    </w:p>
    <w:p>
      <w:pPr>
        <w:spacing w:before="0" w:after="0" w:line="240" w:lineRule="auto"/>
        <w:ind w:firstLine="425"/>
        <w:jc w:val="both"/>
      </w:pPr>
      <w:r>
        <w:rPr>
          <w:rFonts w:ascii="Times New Roman" w:hAnsi="Times New Roman" w:cs="Times New Roman"/>
          <w:b w:val="0"/>
          <w:i w:val="0"/>
          <w:sz w:val="22"/>
        </w:rPr>
        <w:t>The nested ablation exposed the actual arrays produced after raw landmark extraction, median filtering, forward Kalman filtering, production Rauch-Tung-Striebel smoothing, despiking, and final bounded reconstruction. No corrected textbook smoother was substituted for the production implementation, so the variants differ by one production stage at a time. For every stage, the number of points changed relative to the preceding stage was counted before rounding. A common derivative calculation used the actual elapsed interval across missing samples. Scalar speed was displacement magnitude divided by elapsed time; scalar acceleration was the first difference of speed; scalar jerk was the first difference of acceleration; and RMS_jerk = sqrt[mean(jerk^2)]. The smoothness index was S = -log10[mean(jerk^2) + 10^-9], so larger values indicate lower RMS jerk only within this definition. Path efficiency was endpoint displacement divided by cumulative path length. Maximum angular velocity was the maximum absolute first difference of shaft angle per unit time, and curvature RMS was the root mean square of three-point planar curvature. Stability of these computed quantities does not establish that they measure swing quality.</w:t>
      </w:r>
    </w:p>
    <w:p>
      <w:pPr>
        <w:keepNext/>
        <w:spacing w:before="60" w:after="60" w:line="240" w:lineRule="auto"/>
        <w:ind w:firstLine="425"/>
        <w:jc w:val="both"/>
      </w:pPr>
      <w:r>
        <w:rPr>
          <w:rFonts w:ascii="Times New Roman" w:hAnsi="Times New Roman" w:cs="Times New Roman"/>
          <w:b/>
          <w:i/>
          <w:sz w:val="22"/>
        </w:rPr>
        <w:t>Statistical analysis</w:t>
      </w:r>
    </w:p>
    <w:p>
      <w:pPr>
        <w:spacing w:before="0" w:after="0" w:line="240" w:lineRule="auto"/>
        <w:ind w:firstLine="425"/>
        <w:jc w:val="both"/>
      </w:pPr>
      <w:r>
        <w:rPr>
          <w:rFonts w:ascii="Times New Roman" w:hAnsi="Times New Roman" w:cs="Times New Roman"/>
          <w:b w:val="0"/>
          <w:i w:val="0"/>
          <w:sz w:val="22"/>
        </w:rPr>
        <w:t>Sessions, rather than individual control points, were the resampling unit. Bootstrap confidence intervals used the percentile method with a fixed seed. Point-level distributions are additionally shown to expose rare failures, but no p-values are reported for the small and imbalanced viewpoint, frame-rate, resolution, quality, capture-speed, or club subgroups. Between-session coefficients of variation, repeatability coefficients, standard errors of measurement, minimal detectable changes, and intraclass correlations were not calculated, because athlete/trial repeated-measure grouping was unavailable [20], [21]. Results are reported only for methods explicitly shown in the tables, figures, or supplementary comma-separated files.</w:t>
      </w:r>
    </w:p>
    <w:p>
      <w:pPr>
        <w:keepNext/>
        <w:spacing w:before="120" w:after="120" w:line="240" w:lineRule="auto"/>
        <w:ind w:firstLine="0"/>
        <w:jc w:val="center"/>
      </w:pPr>
      <w:r>
        <w:rPr>
          <w:rFonts w:ascii="Times New Roman" w:hAnsi="Times New Roman" w:cs="Times New Roman"/>
          <w:b/>
          <w:i w:val="0"/>
          <w:sz w:val="22"/>
        </w:rPr>
        <w:t>RESEARCH RESULTS</w:t>
      </w:r>
    </w:p>
    <w:p>
      <w:pPr>
        <w:keepNext/>
        <w:spacing w:before="60" w:after="60" w:line="240" w:lineRule="auto"/>
        <w:ind w:firstLine="425"/>
        <w:jc w:val="both"/>
      </w:pPr>
      <w:r>
        <w:rPr>
          <w:rFonts w:ascii="Times New Roman" w:hAnsi="Times New Roman" w:cs="Times New Roman"/>
          <w:b/>
          <w:i/>
          <w:sz w:val="22"/>
        </w:rPr>
        <w:t>Reference subset and annotation completeness</w:t>
      </w:r>
    </w:p>
    <w:p>
      <w:pPr>
        <w:spacing w:before="0" w:after="0" w:line="240" w:lineRule="auto"/>
        <w:ind w:firstLine="425"/>
        <w:jc w:val="both"/>
      </w:pPr>
      <w:r>
        <w:rPr>
          <w:rFonts w:ascii="Times New Roman" w:hAnsi="Times New Roman" w:cs="Times New Roman"/>
          <w:b w:val="0"/>
          <w:i w:val="0"/>
          <w:sz w:val="22"/>
        </w:rPr>
        <w:t>The 25-session subset retained multiple frame-rate, resolution, capture-speed, club, and quality categories but remained dominated by down-the-line recordings (Table 1). Both round-1 annotators supplied four event labels in every session, and both clicked every frame of the shared 150-frame plan; annotator A's second round covered all four events and six planned frames in each of its 10 sessions. After adjudication, the consensus contained 100 event rows and 150 clubhead points. The consensus points were not uniformly distributed by phase: 60 fell in backswing, 8 in transition, 26 in downswing, 23 near impact, and 33 in follow-through, so the transition estimate is descriptive only.</w:t>
      </w:r>
    </w:p>
    <w:p>
      <w:pPr>
        <w:keepNext/>
        <w:spacing w:before="60" w:after="60" w:line="240" w:lineRule="auto"/>
        <w:ind w:firstLine="425"/>
        <w:jc w:val="both"/>
      </w:pPr>
      <w:r>
        <w:rPr>
          <w:rFonts w:ascii="Times New Roman" w:hAnsi="Times New Roman" w:cs="Times New Roman"/>
          <w:b/>
          <w:i/>
          <w:sz w:val="22"/>
        </w:rPr>
        <w:t>Annotation agreement between and within annotators</w:t>
      </w:r>
    </w:p>
    <w:p>
      <w:pPr>
        <w:spacing w:before="0" w:after="0" w:line="240" w:lineRule="auto"/>
        <w:ind w:firstLine="425"/>
        <w:jc w:val="both"/>
      </w:pPr>
      <w:r>
        <w:rPr>
          <w:rFonts w:ascii="Times New Roman" w:hAnsi="Times New Roman" w:cs="Times New Roman"/>
          <w:b w:val="0"/>
          <w:i w:val="0"/>
          <w:sz w:val="22"/>
        </w:rPr>
        <w:t>Event frames agreed moderately between annotators and better within one annotator (Table 3; Fig. 3). Across all 100 paired event labels the median absolute difference was 4 frames, or 80 ms, with a session-level median of 4 frames (95% CI 3.0-5.5). Exact agreement was reached for 13% of labels, 24% agreed within one frame, and 36% within two frames; the Bland-Altman bias was -0.08 frames with limits of agreement from -13.1 to +12.9 frames. Address was the most reproducible event (median 2 frames, 20% exact) and top of backswing the least (median 5 frames, 8% exact, bias +2.0 frames). Annotator A's repeat round agreed to a median of 2 frames, or 40 ms, with 60% of labels within two frames and limits from -8.6 to +7.4 frames, so about half of the between-annotator event disagreement is attributable to within-observer variability rather than to differing interpretations.</w:t>
      </w:r>
    </w:p>
    <w:p>
      <w:pPr>
        <w:spacing w:before="0" w:after="0" w:line="240" w:lineRule="auto"/>
        <w:ind w:firstLine="425"/>
        <w:jc w:val="both"/>
      </w:pPr>
      <w:r>
        <w:rPr>
          <w:rFonts w:ascii="Times New Roman" w:hAnsi="Times New Roman" w:cs="Times New Roman"/>
          <w:b w:val="0"/>
          <w:i w:val="0"/>
          <w:sz w:val="22"/>
        </w:rPr>
        <w:t>The two transition-related events were not clearly separable in the human data: the same-session gap between top of backswing and downswing transition had a median of 3 frames for both annotators, and it was two frames or less in 48% and 40% of sessions respectively. Comparing one automatic transition output with both definitions is therefore a definition diagnostic rather than two independent validations.</w:t>
      </w:r>
    </w:p>
    <w:p>
      <w:pPr>
        <w:spacing w:before="0" w:after="0" w:line="240" w:lineRule="auto"/>
        <w:ind w:firstLine="425"/>
        <w:jc w:val="both"/>
      </w:pPr>
      <w:r>
        <w:rPr>
          <w:rFonts w:ascii="Times New Roman" w:hAnsi="Times New Roman" w:cs="Times New Roman"/>
          <w:b w:val="0"/>
          <w:i w:val="0"/>
          <w:sz w:val="22"/>
        </w:rPr>
        <w:t>Clubhead clicks agreed much less closely than event frames. Over the 150 shared frames the median between-annotator disagreement was 77.1 pixels, or 4.03% of the image diagonal, with a 95th percentile of 183.3 pixels and a maximum of 219.4 pixels; the median of session medians was 73.3 pixels (95% CI 69.0-81.3). Every one of the 150 pairs differed by more than 10 pixels, 145 by more than 25 pixels, and 104 by more than 50 pixels. Annotator A's repeat round was no more precise, with a median of 78.5 pixels, or 3.85% of the diagonal, and 43 of 60 pairs above 50 pixels. Because within-observer repetition is as dispersed as between-observer comparison, the limiting factor is the operational definition of the clubhead point on blurred, fast-moving frames rather than observer disagreement about the swing. The manual reference consequently localizes the clubhead only to a few per cent of the image diagonal, and no geometric conclusion in this study can be finer than that.</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3. </w:t>
      </w:r>
      <w:r>
        <w:rPr>
          <w:rFonts w:ascii="Times New Roman" w:hAnsi="Times New Roman" w:cs="Times New Roman"/>
          <w:b/>
          <w:i w:val="0"/>
          <w:sz w:val="22"/>
        </w:rPr>
        <w:t>Annotation agreement between and within annotators</w:t>
      </w:r>
    </w:p>
    <w:tbl>
      <w:tblPr>
        <w:tblStyle w:val="aff2"/>
        <w:tblW w:type="auto" w:w="0"/>
        <w:jc w:val="center"/>
        <w:tblLayout w:type="fixed"/>
        <w:tblLook w:firstColumn="1" w:firstRow="1" w:lastColumn="0" w:lastRow="0" w:noHBand="0" w:noVBand="1" w:val="04A0"/>
      </w:tblPr>
      <w:tblGrid>
        <w:gridCol w:w="2494"/>
        <w:gridCol w:w="510"/>
        <w:gridCol w:w="1531"/>
        <w:gridCol w:w="1247"/>
        <w:gridCol w:w="964"/>
        <w:gridCol w:w="1077"/>
        <w:gridCol w:w="1757"/>
      </w:tblGrid>
      <w:tr>
        <w:trPr>
          <w:tblHeader/>
        </w:trPr>
        <w:tc>
          <w:tcPr>
            <w:tcW w:type="dxa" w:w="2494"/>
          </w:tcPr>
          <w:p>
            <w:pPr>
              <w:spacing w:before="0" w:after="0" w:line="240" w:lineRule="auto"/>
            </w:pPr>
            <w:r/>
            <w:r>
              <w:rPr>
                <w:rFonts w:ascii="Times New Roman" w:hAnsi="Times New Roman" w:cs="Times New Roman"/>
                <w:b/>
                <w:i w:val="0"/>
                <w:sz w:val="22"/>
              </w:rPr>
              <w:t>Comparison and measure</w:t>
            </w:r>
          </w:p>
        </w:tc>
        <w:tc>
          <w:tcPr>
            <w:tcW w:type="dxa" w:w="510"/>
          </w:tcPr>
          <w:p>
            <w:pPr>
              <w:spacing w:before="0" w:after="0" w:line="240" w:lineRule="auto"/>
            </w:pPr>
            <w:r/>
            <w:r>
              <w:rPr>
                <w:rFonts w:ascii="Times New Roman" w:hAnsi="Times New Roman" w:cs="Times New Roman"/>
                <w:b/>
                <w:i w:val="0"/>
                <w:sz w:val="22"/>
              </w:rPr>
              <w:t>n</w:t>
            </w:r>
          </w:p>
        </w:tc>
        <w:tc>
          <w:tcPr>
            <w:tcW w:type="dxa" w:w="1531"/>
          </w:tcPr>
          <w:p>
            <w:pPr>
              <w:spacing w:before="0" w:after="0" w:line="240" w:lineRule="auto"/>
            </w:pPr>
            <w:r/>
            <w:r>
              <w:rPr>
                <w:rFonts w:ascii="Times New Roman" w:hAnsi="Times New Roman" w:cs="Times New Roman"/>
                <w:b/>
                <w:i w:val="0"/>
                <w:sz w:val="22"/>
              </w:rPr>
              <w:t>Median (95% CI)</w:t>
            </w:r>
          </w:p>
        </w:tc>
        <w:tc>
          <w:tcPr>
            <w:tcW w:type="dxa" w:w="1247"/>
          </w:tcPr>
          <w:p>
            <w:pPr>
              <w:spacing w:before="0" w:after="0" w:line="240" w:lineRule="auto"/>
            </w:pPr>
            <w:r/>
            <w:r>
              <w:rPr>
                <w:rFonts w:ascii="Times New Roman" w:hAnsi="Times New Roman" w:cs="Times New Roman"/>
                <w:b/>
                <w:i w:val="0"/>
                <w:sz w:val="22"/>
              </w:rPr>
              <w:t>P95 / max</w:t>
            </w:r>
          </w:p>
        </w:tc>
        <w:tc>
          <w:tcPr>
            <w:tcW w:type="dxa" w:w="964"/>
          </w:tcPr>
          <w:p>
            <w:pPr>
              <w:spacing w:before="0" w:after="0" w:line="240" w:lineRule="auto"/>
            </w:pPr>
            <w:r/>
            <w:r>
              <w:rPr>
                <w:rFonts w:ascii="Times New Roman" w:hAnsi="Times New Roman" w:cs="Times New Roman"/>
                <w:b/>
                <w:i w:val="0"/>
                <w:sz w:val="22"/>
              </w:rPr>
              <w:t>Exact, %</w:t>
            </w:r>
          </w:p>
        </w:tc>
        <w:tc>
          <w:tcPr>
            <w:tcW w:type="dxa" w:w="1077"/>
          </w:tcPr>
          <w:p>
            <w:pPr>
              <w:spacing w:before="0" w:after="0" w:line="240" w:lineRule="auto"/>
            </w:pPr>
            <w:r/>
            <w:r>
              <w:rPr>
                <w:rFonts w:ascii="Times New Roman" w:hAnsi="Times New Roman" w:cs="Times New Roman"/>
                <w:b/>
                <w:i w:val="0"/>
                <w:sz w:val="22"/>
              </w:rPr>
              <w:t>Within 2, %</w:t>
            </w:r>
          </w:p>
        </w:tc>
        <w:tc>
          <w:tcPr>
            <w:tcW w:type="dxa" w:w="1757"/>
          </w:tcPr>
          <w:p>
            <w:pPr>
              <w:spacing w:before="0" w:after="0" w:line="240" w:lineRule="auto"/>
            </w:pPr>
            <w:r/>
            <w:r>
              <w:rPr>
                <w:rFonts w:ascii="Times New Roman" w:hAnsi="Times New Roman" w:cs="Times New Roman"/>
                <w:b/>
                <w:i w:val="0"/>
                <w:sz w:val="22"/>
              </w:rPr>
              <w:t>Bias (95% LoA)</w:t>
            </w:r>
          </w:p>
        </w:tc>
      </w:tr>
      <w:tr>
        <w:tc>
          <w:tcPr>
            <w:tcW w:type="dxa" w:w="2494"/>
          </w:tcPr>
          <w:p>
            <w:pPr>
              <w:spacing w:before="0" w:after="0" w:line="240" w:lineRule="auto"/>
            </w:pPr>
            <w:r/>
            <w:r>
              <w:rPr>
                <w:rFonts w:ascii="Times New Roman" w:hAnsi="Times New Roman" w:cs="Times New Roman"/>
                <w:b w:val="0"/>
                <w:i w:val="0"/>
                <w:sz w:val="22"/>
              </w:rPr>
              <w:t>Between annotators: address, frames</w:t>
            </w:r>
          </w:p>
        </w:tc>
        <w:tc>
          <w:tcPr>
            <w:tcW w:type="dxa" w:w="510"/>
          </w:tcPr>
          <w:p>
            <w:pPr>
              <w:spacing w:before="0" w:after="0" w:line="240" w:lineRule="auto"/>
            </w:pPr>
            <w:r/>
            <w:r>
              <w:rPr>
                <w:rFonts w:ascii="Times New Roman" w:hAnsi="Times New Roman" w:cs="Times New Roman"/>
                <w:b w:val="0"/>
                <w:i w:val="0"/>
                <w:sz w:val="22"/>
              </w:rPr>
              <w:t>25</w:t>
            </w:r>
          </w:p>
        </w:tc>
        <w:tc>
          <w:tcPr>
            <w:tcW w:type="dxa" w:w="1531"/>
          </w:tcPr>
          <w:p>
            <w:pPr>
              <w:spacing w:before="0" w:after="0" w:line="240" w:lineRule="auto"/>
            </w:pPr>
            <w:r/>
            <w:r>
              <w:rPr>
                <w:rFonts w:ascii="Times New Roman" w:hAnsi="Times New Roman" w:cs="Times New Roman"/>
                <w:b w:val="0"/>
                <w:i w:val="0"/>
                <w:sz w:val="22"/>
              </w:rPr>
              <w:t>2 (1-4)</w:t>
            </w:r>
          </w:p>
        </w:tc>
        <w:tc>
          <w:tcPr>
            <w:tcW w:type="dxa" w:w="1247"/>
          </w:tcPr>
          <w:p>
            <w:pPr>
              <w:spacing w:before="0" w:after="0" w:line="240" w:lineRule="auto"/>
            </w:pPr>
            <w:r/>
            <w:r>
              <w:rPr>
                <w:rFonts w:ascii="Times New Roman" w:hAnsi="Times New Roman" w:cs="Times New Roman"/>
                <w:b w:val="0"/>
                <w:i w:val="0"/>
                <w:sz w:val="22"/>
              </w:rPr>
              <w:t>8.8 / 12</w:t>
            </w:r>
          </w:p>
        </w:tc>
        <w:tc>
          <w:tcPr>
            <w:tcW w:type="dxa" w:w="964"/>
          </w:tcPr>
          <w:p>
            <w:pPr>
              <w:spacing w:before="0" w:after="0" w:line="240" w:lineRule="auto"/>
            </w:pPr>
            <w:r/>
            <w:r>
              <w:rPr>
                <w:rFonts w:ascii="Times New Roman" w:hAnsi="Times New Roman" w:cs="Times New Roman"/>
                <w:b w:val="0"/>
                <w:i w:val="0"/>
                <w:sz w:val="22"/>
              </w:rPr>
              <w:t>20</w:t>
            </w:r>
          </w:p>
        </w:tc>
        <w:tc>
          <w:tcPr>
            <w:tcW w:type="dxa" w:w="1077"/>
          </w:tcPr>
          <w:p>
            <w:pPr>
              <w:spacing w:before="0" w:after="0" w:line="240" w:lineRule="auto"/>
            </w:pPr>
            <w:r/>
            <w:r>
              <w:rPr>
                <w:rFonts w:ascii="Times New Roman" w:hAnsi="Times New Roman" w:cs="Times New Roman"/>
                <w:b w:val="0"/>
                <w:i w:val="0"/>
                <w:sz w:val="22"/>
              </w:rPr>
              <w:t>52</w:t>
            </w:r>
          </w:p>
        </w:tc>
        <w:tc>
          <w:tcPr>
            <w:tcW w:type="dxa" w:w="1757"/>
          </w:tcPr>
          <w:p>
            <w:pPr>
              <w:spacing w:before="0" w:after="0" w:line="240" w:lineRule="auto"/>
            </w:pPr>
            <w:r/>
            <w:r>
              <w:rPr>
                <w:rFonts w:ascii="Times New Roman" w:hAnsi="Times New Roman" w:cs="Times New Roman"/>
                <w:b w:val="0"/>
                <w:i w:val="0"/>
                <w:sz w:val="22"/>
              </w:rPr>
              <w:t>-0.44 (-9.9 to 9)</w:t>
            </w:r>
          </w:p>
        </w:tc>
      </w:tr>
      <w:tr>
        <w:tc>
          <w:tcPr>
            <w:tcW w:type="dxa" w:w="2494"/>
          </w:tcPr>
          <w:p>
            <w:pPr>
              <w:spacing w:before="0" w:after="0" w:line="240" w:lineRule="auto"/>
            </w:pPr>
            <w:r/>
            <w:r>
              <w:rPr>
                <w:rFonts w:ascii="Times New Roman" w:hAnsi="Times New Roman" w:cs="Times New Roman"/>
                <w:b w:val="0"/>
                <w:i w:val="0"/>
                <w:sz w:val="22"/>
              </w:rPr>
              <w:t>Between annotators: top of backswing, frames</w:t>
            </w:r>
          </w:p>
        </w:tc>
        <w:tc>
          <w:tcPr>
            <w:tcW w:type="dxa" w:w="510"/>
          </w:tcPr>
          <w:p>
            <w:pPr>
              <w:spacing w:before="0" w:after="0" w:line="240" w:lineRule="auto"/>
            </w:pPr>
            <w:r/>
            <w:r>
              <w:rPr>
                <w:rFonts w:ascii="Times New Roman" w:hAnsi="Times New Roman" w:cs="Times New Roman"/>
                <w:b w:val="0"/>
                <w:i w:val="0"/>
                <w:sz w:val="22"/>
              </w:rPr>
              <w:t>25</w:t>
            </w:r>
          </w:p>
        </w:tc>
        <w:tc>
          <w:tcPr>
            <w:tcW w:type="dxa" w:w="1531"/>
          </w:tcPr>
          <w:p>
            <w:pPr>
              <w:spacing w:before="0" w:after="0" w:line="240" w:lineRule="auto"/>
            </w:pPr>
            <w:r/>
            <w:r>
              <w:rPr>
                <w:rFonts w:ascii="Times New Roman" w:hAnsi="Times New Roman" w:cs="Times New Roman"/>
                <w:b w:val="0"/>
                <w:i w:val="0"/>
                <w:sz w:val="22"/>
              </w:rPr>
              <w:t>5 (4-8)</w:t>
            </w:r>
          </w:p>
        </w:tc>
        <w:tc>
          <w:tcPr>
            <w:tcW w:type="dxa" w:w="1247"/>
          </w:tcPr>
          <w:p>
            <w:pPr>
              <w:spacing w:before="0" w:after="0" w:line="240" w:lineRule="auto"/>
            </w:pPr>
            <w:r/>
            <w:r>
              <w:rPr>
                <w:rFonts w:ascii="Times New Roman" w:hAnsi="Times New Roman" w:cs="Times New Roman"/>
                <w:b w:val="0"/>
                <w:i w:val="0"/>
                <w:sz w:val="22"/>
              </w:rPr>
              <w:t>12.6 / 23</w:t>
            </w:r>
          </w:p>
        </w:tc>
        <w:tc>
          <w:tcPr>
            <w:tcW w:type="dxa" w:w="964"/>
          </w:tcPr>
          <w:p>
            <w:pPr>
              <w:spacing w:before="0" w:after="0" w:line="240" w:lineRule="auto"/>
            </w:pPr>
            <w:r/>
            <w:r>
              <w:rPr>
                <w:rFonts w:ascii="Times New Roman" w:hAnsi="Times New Roman" w:cs="Times New Roman"/>
                <w:b w:val="0"/>
                <w:i w:val="0"/>
                <w:sz w:val="22"/>
              </w:rPr>
              <w:t>8</w:t>
            </w:r>
          </w:p>
        </w:tc>
        <w:tc>
          <w:tcPr>
            <w:tcW w:type="dxa" w:w="1077"/>
          </w:tcPr>
          <w:p>
            <w:pPr>
              <w:spacing w:before="0" w:after="0" w:line="240" w:lineRule="auto"/>
            </w:pPr>
            <w:r/>
            <w:r>
              <w:rPr>
                <w:rFonts w:ascii="Times New Roman" w:hAnsi="Times New Roman" w:cs="Times New Roman"/>
                <w:b w:val="0"/>
                <w:i w:val="0"/>
                <w:sz w:val="22"/>
              </w:rPr>
              <w:t>16</w:t>
            </w:r>
          </w:p>
        </w:tc>
        <w:tc>
          <w:tcPr>
            <w:tcW w:type="dxa" w:w="1757"/>
          </w:tcPr>
          <w:p>
            <w:pPr>
              <w:spacing w:before="0" w:after="0" w:line="240" w:lineRule="auto"/>
            </w:pPr>
            <w:r/>
            <w:r>
              <w:rPr>
                <w:rFonts w:ascii="Times New Roman" w:hAnsi="Times New Roman" w:cs="Times New Roman"/>
                <w:b w:val="0"/>
                <w:i w:val="0"/>
                <w:sz w:val="22"/>
              </w:rPr>
              <w:t>2 (-13.2 to 17.2)</w:t>
            </w:r>
          </w:p>
        </w:tc>
      </w:tr>
      <w:tr>
        <w:tc>
          <w:tcPr>
            <w:tcW w:type="dxa" w:w="2494"/>
          </w:tcPr>
          <w:p>
            <w:pPr>
              <w:spacing w:before="0" w:after="0" w:line="240" w:lineRule="auto"/>
            </w:pPr>
            <w:r/>
            <w:r>
              <w:rPr>
                <w:rFonts w:ascii="Times New Roman" w:hAnsi="Times New Roman" w:cs="Times New Roman"/>
                <w:b w:val="0"/>
                <w:i w:val="0"/>
                <w:sz w:val="22"/>
              </w:rPr>
              <w:t>Between annotators: downswing transition, frames</w:t>
            </w:r>
          </w:p>
        </w:tc>
        <w:tc>
          <w:tcPr>
            <w:tcW w:type="dxa" w:w="510"/>
          </w:tcPr>
          <w:p>
            <w:pPr>
              <w:spacing w:before="0" w:after="0" w:line="240" w:lineRule="auto"/>
            </w:pPr>
            <w:r/>
            <w:r>
              <w:rPr>
                <w:rFonts w:ascii="Times New Roman" w:hAnsi="Times New Roman" w:cs="Times New Roman"/>
                <w:b w:val="0"/>
                <w:i w:val="0"/>
                <w:sz w:val="22"/>
              </w:rPr>
              <w:t>25</w:t>
            </w:r>
          </w:p>
        </w:tc>
        <w:tc>
          <w:tcPr>
            <w:tcW w:type="dxa" w:w="1531"/>
          </w:tcPr>
          <w:p>
            <w:pPr>
              <w:spacing w:before="0" w:after="0" w:line="240" w:lineRule="auto"/>
            </w:pPr>
            <w:r/>
            <w:r>
              <w:rPr>
                <w:rFonts w:ascii="Times New Roman" w:hAnsi="Times New Roman" w:cs="Times New Roman"/>
                <w:b w:val="0"/>
                <w:i w:val="0"/>
                <w:sz w:val="22"/>
              </w:rPr>
              <w:t>4 (2-7)</w:t>
            </w:r>
          </w:p>
        </w:tc>
        <w:tc>
          <w:tcPr>
            <w:tcW w:type="dxa" w:w="1247"/>
          </w:tcPr>
          <w:p>
            <w:pPr>
              <w:spacing w:before="0" w:after="0" w:line="240" w:lineRule="auto"/>
            </w:pPr>
            <w:r/>
            <w:r>
              <w:rPr>
                <w:rFonts w:ascii="Times New Roman" w:hAnsi="Times New Roman" w:cs="Times New Roman"/>
                <w:b w:val="0"/>
                <w:i w:val="0"/>
                <w:sz w:val="22"/>
              </w:rPr>
              <w:t>10 / 26</w:t>
            </w:r>
          </w:p>
        </w:tc>
        <w:tc>
          <w:tcPr>
            <w:tcW w:type="dxa" w:w="964"/>
          </w:tcPr>
          <w:p>
            <w:pPr>
              <w:spacing w:before="0" w:after="0" w:line="240" w:lineRule="auto"/>
            </w:pPr>
            <w:r/>
            <w:r>
              <w:rPr>
                <w:rFonts w:ascii="Times New Roman" w:hAnsi="Times New Roman" w:cs="Times New Roman"/>
                <w:b w:val="0"/>
                <w:i w:val="0"/>
                <w:sz w:val="22"/>
              </w:rPr>
              <w:t>0</w:t>
            </w:r>
          </w:p>
        </w:tc>
        <w:tc>
          <w:tcPr>
            <w:tcW w:type="dxa" w:w="1077"/>
          </w:tcPr>
          <w:p>
            <w:pPr>
              <w:spacing w:before="0" w:after="0" w:line="240" w:lineRule="auto"/>
            </w:pPr>
            <w:r/>
            <w:r>
              <w:rPr>
                <w:rFonts w:ascii="Times New Roman" w:hAnsi="Times New Roman" w:cs="Times New Roman"/>
                <w:b w:val="0"/>
                <w:i w:val="0"/>
                <w:sz w:val="22"/>
              </w:rPr>
              <w:t>32</w:t>
            </w:r>
          </w:p>
        </w:tc>
        <w:tc>
          <w:tcPr>
            <w:tcW w:type="dxa" w:w="1757"/>
          </w:tcPr>
          <w:p>
            <w:pPr>
              <w:spacing w:before="0" w:after="0" w:line="240" w:lineRule="auto"/>
            </w:pPr>
            <w:r/>
            <w:r>
              <w:rPr>
                <w:rFonts w:ascii="Times New Roman" w:hAnsi="Times New Roman" w:cs="Times New Roman"/>
                <w:b w:val="0"/>
                <w:i w:val="0"/>
                <w:sz w:val="22"/>
              </w:rPr>
              <w:t>-2.2 (-16.3 to 11.9)</w:t>
            </w:r>
          </w:p>
        </w:tc>
      </w:tr>
      <w:tr>
        <w:tc>
          <w:tcPr>
            <w:tcW w:type="dxa" w:w="2494"/>
          </w:tcPr>
          <w:p>
            <w:pPr>
              <w:spacing w:before="0" w:after="0" w:line="240" w:lineRule="auto"/>
            </w:pPr>
            <w:r/>
            <w:r>
              <w:rPr>
                <w:rFonts w:ascii="Times New Roman" w:hAnsi="Times New Roman" w:cs="Times New Roman"/>
                <w:b w:val="0"/>
                <w:i w:val="0"/>
                <w:sz w:val="22"/>
              </w:rPr>
              <w:t>Between annotators: impact, frames</w:t>
            </w:r>
          </w:p>
        </w:tc>
        <w:tc>
          <w:tcPr>
            <w:tcW w:type="dxa" w:w="510"/>
          </w:tcPr>
          <w:p>
            <w:pPr>
              <w:spacing w:before="0" w:after="0" w:line="240" w:lineRule="auto"/>
            </w:pPr>
            <w:r/>
            <w:r>
              <w:rPr>
                <w:rFonts w:ascii="Times New Roman" w:hAnsi="Times New Roman" w:cs="Times New Roman"/>
                <w:b w:val="0"/>
                <w:i w:val="0"/>
                <w:sz w:val="22"/>
              </w:rPr>
              <w:t>25</w:t>
            </w:r>
          </w:p>
        </w:tc>
        <w:tc>
          <w:tcPr>
            <w:tcW w:type="dxa" w:w="1531"/>
          </w:tcPr>
          <w:p>
            <w:pPr>
              <w:spacing w:before="0" w:after="0" w:line="240" w:lineRule="auto"/>
            </w:pPr>
            <w:r/>
            <w:r>
              <w:rPr>
                <w:rFonts w:ascii="Times New Roman" w:hAnsi="Times New Roman" w:cs="Times New Roman"/>
                <w:b w:val="0"/>
                <w:i w:val="0"/>
                <w:sz w:val="22"/>
              </w:rPr>
              <w:t>4 (1-5)</w:t>
            </w:r>
          </w:p>
        </w:tc>
        <w:tc>
          <w:tcPr>
            <w:tcW w:type="dxa" w:w="1247"/>
          </w:tcPr>
          <w:p>
            <w:pPr>
              <w:spacing w:before="0" w:after="0" w:line="240" w:lineRule="auto"/>
            </w:pPr>
            <w:r/>
            <w:r>
              <w:rPr>
                <w:rFonts w:ascii="Times New Roman" w:hAnsi="Times New Roman" w:cs="Times New Roman"/>
                <w:b w:val="0"/>
                <w:i w:val="0"/>
                <w:sz w:val="22"/>
              </w:rPr>
              <w:t>11.6 / 19</w:t>
            </w:r>
          </w:p>
        </w:tc>
        <w:tc>
          <w:tcPr>
            <w:tcW w:type="dxa" w:w="964"/>
          </w:tcPr>
          <w:p>
            <w:pPr>
              <w:spacing w:before="0" w:after="0" w:line="240" w:lineRule="auto"/>
            </w:pPr>
            <w:r/>
            <w:r>
              <w:rPr>
                <w:rFonts w:ascii="Times New Roman" w:hAnsi="Times New Roman" w:cs="Times New Roman"/>
                <w:b w:val="0"/>
                <w:i w:val="0"/>
                <w:sz w:val="22"/>
              </w:rPr>
              <w:t>24</w:t>
            </w:r>
          </w:p>
        </w:tc>
        <w:tc>
          <w:tcPr>
            <w:tcW w:type="dxa" w:w="1077"/>
          </w:tcPr>
          <w:p>
            <w:pPr>
              <w:spacing w:before="0" w:after="0" w:line="240" w:lineRule="auto"/>
            </w:pPr>
            <w:r/>
            <w:r>
              <w:rPr>
                <w:rFonts w:ascii="Times New Roman" w:hAnsi="Times New Roman" w:cs="Times New Roman"/>
                <w:b w:val="0"/>
                <w:i w:val="0"/>
                <w:sz w:val="22"/>
              </w:rPr>
              <w:t>44</w:t>
            </w:r>
          </w:p>
        </w:tc>
        <w:tc>
          <w:tcPr>
            <w:tcW w:type="dxa" w:w="1757"/>
          </w:tcPr>
          <w:p>
            <w:pPr>
              <w:spacing w:before="0" w:after="0" w:line="240" w:lineRule="auto"/>
            </w:pPr>
            <w:r/>
            <w:r>
              <w:rPr>
                <w:rFonts w:ascii="Times New Roman" w:hAnsi="Times New Roman" w:cs="Times New Roman"/>
                <w:b w:val="0"/>
                <w:i w:val="0"/>
                <w:sz w:val="22"/>
              </w:rPr>
              <w:t>0.32 (-11.7 to 12.3)</w:t>
            </w:r>
          </w:p>
        </w:tc>
      </w:tr>
      <w:tr>
        <w:tc>
          <w:tcPr>
            <w:tcW w:type="dxa" w:w="2494"/>
          </w:tcPr>
          <w:p>
            <w:pPr>
              <w:spacing w:before="0" w:after="0" w:line="240" w:lineRule="auto"/>
            </w:pPr>
            <w:r/>
            <w:r>
              <w:rPr>
                <w:rFonts w:ascii="Times New Roman" w:hAnsi="Times New Roman" w:cs="Times New Roman"/>
                <w:b w:val="0"/>
                <w:i w:val="0"/>
                <w:sz w:val="22"/>
              </w:rPr>
              <w:t>Between annotators: all events, frames</w:t>
            </w:r>
          </w:p>
        </w:tc>
        <w:tc>
          <w:tcPr>
            <w:tcW w:type="dxa" w:w="510"/>
          </w:tcPr>
          <w:p>
            <w:pPr>
              <w:spacing w:before="0" w:after="0" w:line="240" w:lineRule="auto"/>
            </w:pPr>
            <w:r/>
            <w:r>
              <w:rPr>
                <w:rFonts w:ascii="Times New Roman" w:hAnsi="Times New Roman" w:cs="Times New Roman"/>
                <w:b w:val="0"/>
                <w:i w:val="0"/>
                <w:sz w:val="22"/>
              </w:rPr>
              <w:t>100</w:t>
            </w:r>
          </w:p>
        </w:tc>
        <w:tc>
          <w:tcPr>
            <w:tcW w:type="dxa" w:w="1531"/>
          </w:tcPr>
          <w:p>
            <w:pPr>
              <w:spacing w:before="0" w:after="0" w:line="240" w:lineRule="auto"/>
            </w:pPr>
            <w:r/>
            <w:r>
              <w:rPr>
                <w:rFonts w:ascii="Times New Roman" w:hAnsi="Times New Roman" w:cs="Times New Roman"/>
                <w:b w:val="0"/>
                <w:i w:val="0"/>
                <w:sz w:val="22"/>
              </w:rPr>
              <w:t>4 (3-5.5)</w:t>
            </w:r>
          </w:p>
        </w:tc>
        <w:tc>
          <w:tcPr>
            <w:tcW w:type="dxa" w:w="1247"/>
          </w:tcPr>
          <w:p>
            <w:pPr>
              <w:spacing w:before="0" w:after="0" w:line="240" w:lineRule="auto"/>
            </w:pPr>
            <w:r/>
            <w:r>
              <w:rPr>
                <w:rFonts w:ascii="Times New Roman" w:hAnsi="Times New Roman" w:cs="Times New Roman"/>
                <w:b w:val="0"/>
                <w:i w:val="0"/>
                <w:sz w:val="22"/>
              </w:rPr>
              <w:t>12 / 26</w:t>
            </w:r>
          </w:p>
        </w:tc>
        <w:tc>
          <w:tcPr>
            <w:tcW w:type="dxa" w:w="964"/>
          </w:tcPr>
          <w:p>
            <w:pPr>
              <w:spacing w:before="0" w:after="0" w:line="240" w:lineRule="auto"/>
            </w:pPr>
            <w:r/>
            <w:r>
              <w:rPr>
                <w:rFonts w:ascii="Times New Roman" w:hAnsi="Times New Roman" w:cs="Times New Roman"/>
                <w:b w:val="0"/>
                <w:i w:val="0"/>
                <w:sz w:val="22"/>
              </w:rPr>
              <w:t>13</w:t>
            </w:r>
          </w:p>
        </w:tc>
        <w:tc>
          <w:tcPr>
            <w:tcW w:type="dxa" w:w="1077"/>
          </w:tcPr>
          <w:p>
            <w:pPr>
              <w:spacing w:before="0" w:after="0" w:line="240" w:lineRule="auto"/>
            </w:pPr>
            <w:r/>
            <w:r>
              <w:rPr>
                <w:rFonts w:ascii="Times New Roman" w:hAnsi="Times New Roman" w:cs="Times New Roman"/>
                <w:b w:val="0"/>
                <w:i w:val="0"/>
                <w:sz w:val="22"/>
              </w:rPr>
              <w:t>36</w:t>
            </w:r>
          </w:p>
        </w:tc>
        <w:tc>
          <w:tcPr>
            <w:tcW w:type="dxa" w:w="1757"/>
          </w:tcPr>
          <w:p>
            <w:pPr>
              <w:spacing w:before="0" w:after="0" w:line="240" w:lineRule="auto"/>
            </w:pPr>
            <w:r/>
            <w:r>
              <w:rPr>
                <w:rFonts w:ascii="Times New Roman" w:hAnsi="Times New Roman" w:cs="Times New Roman"/>
                <w:b w:val="0"/>
                <w:i w:val="0"/>
                <w:sz w:val="22"/>
              </w:rPr>
              <w:t>-0.08 (-13.1 to 12.9)</w:t>
            </w:r>
          </w:p>
        </w:tc>
      </w:tr>
      <w:tr>
        <w:tc>
          <w:tcPr>
            <w:tcW w:type="dxa" w:w="2494"/>
          </w:tcPr>
          <w:p>
            <w:pPr>
              <w:spacing w:before="0" w:after="0" w:line="240" w:lineRule="auto"/>
            </w:pPr>
            <w:r/>
            <w:r>
              <w:rPr>
                <w:rFonts w:ascii="Times New Roman" w:hAnsi="Times New Roman" w:cs="Times New Roman"/>
                <w:b w:val="0"/>
                <w:i w:val="0"/>
                <w:sz w:val="22"/>
              </w:rPr>
              <w:t>Within annotator, repeat round: all events, frames</w:t>
            </w:r>
          </w:p>
        </w:tc>
        <w:tc>
          <w:tcPr>
            <w:tcW w:type="dxa" w:w="510"/>
          </w:tcPr>
          <w:p>
            <w:pPr>
              <w:spacing w:before="0" w:after="0" w:line="240" w:lineRule="auto"/>
            </w:pPr>
            <w:r/>
            <w:r>
              <w:rPr>
                <w:rFonts w:ascii="Times New Roman" w:hAnsi="Times New Roman" w:cs="Times New Roman"/>
                <w:b w:val="0"/>
                <w:i w:val="0"/>
                <w:sz w:val="22"/>
              </w:rPr>
              <w:t>40</w:t>
            </w:r>
          </w:p>
        </w:tc>
        <w:tc>
          <w:tcPr>
            <w:tcW w:type="dxa" w:w="1531"/>
          </w:tcPr>
          <w:p>
            <w:pPr>
              <w:spacing w:before="0" w:after="0" w:line="240" w:lineRule="auto"/>
            </w:pPr>
            <w:r/>
            <w:r>
              <w:rPr>
                <w:rFonts w:ascii="Times New Roman" w:hAnsi="Times New Roman" w:cs="Times New Roman"/>
                <w:b w:val="0"/>
                <w:i w:val="0"/>
                <w:sz w:val="22"/>
              </w:rPr>
              <w:t>2 (1.5-3)</w:t>
            </w:r>
          </w:p>
        </w:tc>
        <w:tc>
          <w:tcPr>
            <w:tcW w:type="dxa" w:w="1247"/>
          </w:tcPr>
          <w:p>
            <w:pPr>
              <w:spacing w:before="0" w:after="0" w:line="240" w:lineRule="auto"/>
            </w:pPr>
            <w:r/>
            <w:r>
              <w:rPr>
                <w:rFonts w:ascii="Times New Roman" w:hAnsi="Times New Roman" w:cs="Times New Roman"/>
                <w:b w:val="0"/>
                <w:i w:val="0"/>
                <w:sz w:val="22"/>
              </w:rPr>
              <w:t>9 / 11</w:t>
            </w:r>
          </w:p>
        </w:tc>
        <w:tc>
          <w:tcPr>
            <w:tcW w:type="dxa" w:w="964"/>
          </w:tcPr>
          <w:p>
            <w:pPr>
              <w:spacing w:before="0" w:after="0" w:line="240" w:lineRule="auto"/>
            </w:pPr>
            <w:r/>
            <w:r>
              <w:rPr>
                <w:rFonts w:ascii="Times New Roman" w:hAnsi="Times New Roman" w:cs="Times New Roman"/>
                <w:b w:val="0"/>
                <w:i w:val="0"/>
                <w:sz w:val="22"/>
              </w:rPr>
              <w:t>12</w:t>
            </w:r>
          </w:p>
        </w:tc>
        <w:tc>
          <w:tcPr>
            <w:tcW w:type="dxa" w:w="1077"/>
          </w:tcPr>
          <w:p>
            <w:pPr>
              <w:spacing w:before="0" w:after="0" w:line="240" w:lineRule="auto"/>
            </w:pPr>
            <w:r/>
            <w:r>
              <w:rPr>
                <w:rFonts w:ascii="Times New Roman" w:hAnsi="Times New Roman" w:cs="Times New Roman"/>
                <w:b w:val="0"/>
                <w:i w:val="0"/>
                <w:sz w:val="22"/>
              </w:rPr>
              <w:t>60</w:t>
            </w:r>
          </w:p>
        </w:tc>
        <w:tc>
          <w:tcPr>
            <w:tcW w:type="dxa" w:w="1757"/>
          </w:tcPr>
          <w:p>
            <w:pPr>
              <w:spacing w:before="0" w:after="0" w:line="240" w:lineRule="auto"/>
            </w:pPr>
            <w:r/>
            <w:r>
              <w:rPr>
                <w:rFonts w:ascii="Times New Roman" w:hAnsi="Times New Roman" w:cs="Times New Roman"/>
                <w:b w:val="0"/>
                <w:i w:val="0"/>
                <w:sz w:val="22"/>
              </w:rPr>
              <w:t>-0.6 (-8.6 to 7.4)</w:t>
            </w:r>
          </w:p>
        </w:tc>
      </w:tr>
      <w:tr>
        <w:tc>
          <w:tcPr>
            <w:tcW w:type="dxa" w:w="2494"/>
          </w:tcPr>
          <w:p>
            <w:pPr>
              <w:spacing w:before="0" w:after="0" w:line="240" w:lineRule="auto"/>
            </w:pPr>
            <w:r/>
            <w:r>
              <w:rPr>
                <w:rFonts w:ascii="Times New Roman" w:hAnsi="Times New Roman" w:cs="Times New Roman"/>
                <w:b w:val="0"/>
                <w:i w:val="0"/>
                <w:sz w:val="22"/>
              </w:rPr>
              <w:t>Between annotators: clubhead clicks, px</w:t>
            </w:r>
          </w:p>
        </w:tc>
        <w:tc>
          <w:tcPr>
            <w:tcW w:type="dxa" w:w="510"/>
          </w:tcPr>
          <w:p>
            <w:pPr>
              <w:spacing w:before="0" w:after="0" w:line="240" w:lineRule="auto"/>
            </w:pPr>
            <w:r/>
            <w:r>
              <w:rPr>
                <w:rFonts w:ascii="Times New Roman" w:hAnsi="Times New Roman" w:cs="Times New Roman"/>
                <w:b w:val="0"/>
                <w:i w:val="0"/>
                <w:sz w:val="22"/>
              </w:rPr>
              <w:t>150</w:t>
            </w:r>
          </w:p>
        </w:tc>
        <w:tc>
          <w:tcPr>
            <w:tcW w:type="dxa" w:w="1531"/>
          </w:tcPr>
          <w:p>
            <w:pPr>
              <w:spacing w:before="0" w:after="0" w:line="240" w:lineRule="auto"/>
            </w:pPr>
            <w:r/>
            <w:r>
              <w:rPr>
                <w:rFonts w:ascii="Times New Roman" w:hAnsi="Times New Roman" w:cs="Times New Roman"/>
                <w:b w:val="0"/>
                <w:i w:val="0"/>
                <w:sz w:val="22"/>
              </w:rPr>
              <w:t>73.3 (69-81.3)</w:t>
            </w:r>
          </w:p>
        </w:tc>
        <w:tc>
          <w:tcPr>
            <w:tcW w:type="dxa" w:w="1247"/>
          </w:tcPr>
          <w:p>
            <w:pPr>
              <w:spacing w:before="0" w:after="0" w:line="240" w:lineRule="auto"/>
            </w:pPr>
            <w:r/>
            <w:r>
              <w:rPr>
                <w:rFonts w:ascii="Times New Roman" w:hAnsi="Times New Roman" w:cs="Times New Roman"/>
                <w:b w:val="0"/>
                <w:i w:val="0"/>
                <w:sz w:val="22"/>
              </w:rPr>
              <w:t>183.3 / 219.4</w:t>
            </w:r>
          </w:p>
        </w:tc>
        <w:tc>
          <w:tcPr>
            <w:tcW w:type="dxa" w:w="964"/>
          </w:tcPr>
          <w:p>
            <w:pPr>
              <w:spacing w:before="0" w:after="0" w:line="240" w:lineRule="auto"/>
            </w:pPr>
            <w:r/>
            <w:r>
              <w:rPr>
                <w:rFonts w:ascii="Times New Roman" w:hAnsi="Times New Roman" w:cs="Times New Roman"/>
                <w:b w:val="0"/>
                <w:i w:val="0"/>
                <w:sz w:val="22"/>
              </w:rPr>
              <w:t>-</w:t>
            </w:r>
          </w:p>
        </w:tc>
        <w:tc>
          <w:tcPr>
            <w:tcW w:type="dxa" w:w="1077"/>
          </w:tcPr>
          <w:p>
            <w:pPr>
              <w:spacing w:before="0" w:after="0" w:line="240" w:lineRule="auto"/>
            </w:pPr>
            <w:r/>
            <w:r>
              <w:rPr>
                <w:rFonts w:ascii="Times New Roman" w:hAnsi="Times New Roman" w:cs="Times New Roman"/>
                <w:b w:val="0"/>
                <w:i w:val="0"/>
                <w:sz w:val="22"/>
              </w:rPr>
              <w:t>-</w:t>
            </w:r>
          </w:p>
        </w:tc>
        <w:tc>
          <w:tcPr>
            <w:tcW w:type="dxa" w:w="1757"/>
          </w:tcPr>
          <w:p>
            <w:pPr>
              <w:spacing w:before="0" w:after="0" w:line="240" w:lineRule="auto"/>
            </w:pPr>
            <w:r/>
            <w:r>
              <w:rPr>
                <w:rFonts w:ascii="Times New Roman" w:hAnsi="Times New Roman" w:cs="Times New Roman"/>
                <w:b w:val="0"/>
                <w:i w:val="0"/>
                <w:sz w:val="22"/>
              </w:rPr>
              <w:t>104 pairs &gt; 50 px</w:t>
            </w:r>
          </w:p>
        </w:tc>
      </w:tr>
      <w:tr>
        <w:tc>
          <w:tcPr>
            <w:tcW w:type="dxa" w:w="2494"/>
          </w:tcPr>
          <w:p>
            <w:pPr>
              <w:spacing w:before="0" w:after="0" w:line="240" w:lineRule="auto"/>
            </w:pPr>
            <w:r/>
            <w:r>
              <w:rPr>
                <w:rFonts w:ascii="Times New Roman" w:hAnsi="Times New Roman" w:cs="Times New Roman"/>
                <w:b w:val="0"/>
                <w:i w:val="0"/>
                <w:sz w:val="22"/>
              </w:rPr>
              <w:t>Within annotator, repeat round: clubhead clicks, px</w:t>
            </w:r>
          </w:p>
        </w:tc>
        <w:tc>
          <w:tcPr>
            <w:tcW w:type="dxa" w:w="510"/>
          </w:tcPr>
          <w:p>
            <w:pPr>
              <w:spacing w:before="0" w:after="0" w:line="240" w:lineRule="auto"/>
            </w:pPr>
            <w:r/>
            <w:r>
              <w:rPr>
                <w:rFonts w:ascii="Times New Roman" w:hAnsi="Times New Roman" w:cs="Times New Roman"/>
                <w:b w:val="0"/>
                <w:i w:val="0"/>
                <w:sz w:val="22"/>
              </w:rPr>
              <w:t>60</w:t>
            </w:r>
          </w:p>
        </w:tc>
        <w:tc>
          <w:tcPr>
            <w:tcW w:type="dxa" w:w="1531"/>
          </w:tcPr>
          <w:p>
            <w:pPr>
              <w:spacing w:before="0" w:after="0" w:line="240" w:lineRule="auto"/>
            </w:pPr>
            <w:r/>
            <w:r>
              <w:rPr>
                <w:rFonts w:ascii="Times New Roman" w:hAnsi="Times New Roman" w:cs="Times New Roman"/>
                <w:b w:val="0"/>
                <w:i w:val="0"/>
                <w:sz w:val="22"/>
              </w:rPr>
              <w:t>72.6 (65.8-86.3)</w:t>
            </w:r>
          </w:p>
        </w:tc>
        <w:tc>
          <w:tcPr>
            <w:tcW w:type="dxa" w:w="1247"/>
          </w:tcPr>
          <w:p>
            <w:pPr>
              <w:spacing w:before="0" w:after="0" w:line="240" w:lineRule="auto"/>
            </w:pPr>
            <w:r/>
            <w:r>
              <w:rPr>
                <w:rFonts w:ascii="Times New Roman" w:hAnsi="Times New Roman" w:cs="Times New Roman"/>
                <w:b w:val="0"/>
                <w:i w:val="0"/>
                <w:sz w:val="22"/>
              </w:rPr>
              <w:t>186.3 / 211.2</w:t>
            </w:r>
          </w:p>
        </w:tc>
        <w:tc>
          <w:tcPr>
            <w:tcW w:type="dxa" w:w="964"/>
          </w:tcPr>
          <w:p>
            <w:pPr>
              <w:spacing w:before="0" w:after="0" w:line="240" w:lineRule="auto"/>
            </w:pPr>
            <w:r/>
            <w:r>
              <w:rPr>
                <w:rFonts w:ascii="Times New Roman" w:hAnsi="Times New Roman" w:cs="Times New Roman"/>
                <w:b w:val="0"/>
                <w:i w:val="0"/>
                <w:sz w:val="22"/>
              </w:rPr>
              <w:t>-</w:t>
            </w:r>
          </w:p>
        </w:tc>
        <w:tc>
          <w:tcPr>
            <w:tcW w:type="dxa" w:w="1077"/>
          </w:tcPr>
          <w:p>
            <w:pPr>
              <w:spacing w:before="0" w:after="0" w:line="240" w:lineRule="auto"/>
            </w:pPr>
            <w:r/>
            <w:r>
              <w:rPr>
                <w:rFonts w:ascii="Times New Roman" w:hAnsi="Times New Roman" w:cs="Times New Roman"/>
                <w:b w:val="0"/>
                <w:i w:val="0"/>
                <w:sz w:val="22"/>
              </w:rPr>
              <w:t>-</w:t>
            </w:r>
          </w:p>
        </w:tc>
        <w:tc>
          <w:tcPr>
            <w:tcW w:type="dxa" w:w="1757"/>
          </w:tcPr>
          <w:p>
            <w:pPr>
              <w:spacing w:before="0" w:after="0" w:line="240" w:lineRule="auto"/>
            </w:pPr>
            <w:r/>
            <w:r>
              <w:rPr>
                <w:rFonts w:ascii="Times New Roman" w:hAnsi="Times New Roman" w:cs="Times New Roman"/>
                <w:b w:val="0"/>
                <w:i w:val="0"/>
                <w:sz w:val="22"/>
              </w:rPr>
              <w:t>43 pairs &gt; 50 px</w:t>
            </w:r>
          </w:p>
        </w:tc>
      </w:tr>
    </w:tbl>
    <w:p>
      <w:pPr>
        <w:spacing w:after="120"/>
        <w:ind w:firstLine="0"/>
        <w:jc w:val="center"/>
      </w:pPr>
      <w:r>
        <w:rPr>
          <w:rFonts w:ascii="Times New Roman" w:hAnsi="Times New Roman" w:cs="Times New Roman"/>
          <w:b/>
          <w:i/>
          <w:sz w:val="16"/>
        </w:rPr>
        <w:t>Source: compiled by the authors; human annotation only; confidence intervals resample sessions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80"/>
        <w:ind w:firstLine="0"/>
        <w:jc w:val="center"/>
      </w:pPr>
      <w:r>
        <w:drawing>
          <wp:inline xmlns:a="http://schemas.openxmlformats.org/drawingml/2006/main" xmlns:pic="http://schemas.openxmlformats.org/drawingml/2006/picture">
            <wp:extent cx="4410000" cy="6300000"/>
            <wp:docPr id="12" name="Picture 12"/>
            <wp:cNvGraphicFramePr>
              <a:graphicFrameLocks noChangeAspect="1"/>
            </wp:cNvGraphicFramePr>
            <a:graphic>
              <a:graphicData uri="http://schemas.openxmlformats.org/drawingml/2006/picture">
                <pic:pic>
                  <pic:nvPicPr>
                    <pic:cNvPr id="0" name="fig_annotation_agreement.png"/>
                    <pic:cNvPicPr/>
                  </pic:nvPicPr>
                  <pic:blipFill>
                    <a:blip r:embed="rId25"/>
                    <a:stretch>
                      <a:fillRect/>
                    </a:stretch>
                  </pic:blipFill>
                  <pic:spPr>
                    <a:xfrm>
                      <a:off x="0" y="0"/>
                      <a:ext cx="4410000" cy="6300000"/>
                    </a:xfrm>
                    <a:prstGeom prst="rect"/>
                  </pic:spPr>
                </pic:pic>
              </a:graphicData>
            </a:graphic>
          </wp:inline>
        </w:drawing>
      </w:r>
    </w:p>
    <w:p>
      <w:pPr>
        <w:keepNext/>
        <w:ind w:firstLine="0"/>
        <w:jc w:val="center"/>
      </w:pPr>
      <w:r>
        <w:rPr>
          <w:rFonts w:ascii="Times New Roman" w:hAnsi="Times New Roman" w:cs="Times New Roman"/>
          <w:b w:val="0"/>
          <w:i/>
          <w:sz w:val="22"/>
        </w:rPr>
        <w:t xml:space="preserve">Fig. 3. </w:t>
      </w:r>
      <w:r>
        <w:rPr>
          <w:rFonts w:ascii="Times New Roman" w:hAnsi="Times New Roman" w:cs="Times New Roman"/>
          <w:b/>
          <w:i w:val="0"/>
          <w:sz w:val="22"/>
        </w:rPr>
        <w:t>Human annotation agreement between and within annotators</w:t>
      </w:r>
    </w:p>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60" w:after="60" w:line="240" w:lineRule="auto"/>
        <w:ind w:firstLine="425"/>
        <w:jc w:val="both"/>
      </w:pPr>
      <w:r>
        <w:rPr>
          <w:rFonts w:ascii="Times New Roman" w:hAnsi="Times New Roman" w:cs="Times New Roman"/>
          <w:b/>
          <w:i/>
          <w:sz w:val="22"/>
        </w:rPr>
        <w:t>Time-base audit and event disagreement</w:t>
      </w:r>
    </w:p>
    <w:p>
      <w:pPr>
        <w:spacing w:before="0" w:after="0" w:line="240" w:lineRule="auto"/>
        <w:ind w:firstLine="425"/>
        <w:jc w:val="both"/>
      </w:pPr>
      <w:r>
        <w:rPr>
          <w:rFonts w:ascii="Times New Roman" w:hAnsi="Times New Roman" w:cs="Times New Roman"/>
          <w:b w:val="0"/>
          <w:i w:val="0"/>
          <w:sz w:val="22"/>
        </w:rPr>
        <w:t>Decoded video and landmark frame counts matched in 24 of 25 sessions; the remaining session differed by one frame. Twelve videos had non-uniform presentation intervals, and no session contained a non-monotonic timestamp step. Manual annotation times differed from decoded presentation times by at most 19.6 ms, and the landmark-time grid differed from the decoded grid by at most 66.7 ms over common frames. These discrepancies are two orders of magnitude smaller than the observed event disagreement, although frame-based reporting remains primary and source-to-processed-video alignment could not be audited without the original source files.</w:t>
      </w:r>
    </w:p>
    <w:p>
      <w:pPr>
        <w:spacing w:before="0" w:after="0" w:line="240" w:lineRule="auto"/>
        <w:ind w:firstLine="425"/>
        <w:jc w:val="both"/>
      </w:pPr>
      <w:r>
        <w:rPr>
          <w:rFonts w:ascii="Times New Roman" w:hAnsi="Times New Roman" w:cs="Times New Roman"/>
          <w:b w:val="0"/>
          <w:i w:val="0"/>
          <w:sz w:val="22"/>
        </w:rPr>
        <w:t>The transition proxy fired a median 38 frames early relative to the consensus top of backswing and 40 frames early relative to the consensus downswing transition; the impact output fired a median 40 frames early (Table 4; Fig. 4). Median absolute errors were 780 ms (95% CI 700-1635 ms), 940 ms (660-1919 ms), and 800 ms (660-1022 ms), respectively. Mean biases were -1699, -1824, and -1728 ms, with standard deviations near 2000 ms, 95th percentile absolute errors between 4698 and 5217 ms, and limits of agreement spanning roughly -6100 to +2700 ms. Of the 75 comparisons, 73 were early and 2 late; the smallest absolute error was 14 frames, the median 39 frames, and the largest 531 frames. Figure 4 shows that most outputs lie far below the identity line. This disagreement is about ten times the inter-rater event disagreement of 4 frames and cannot be attributed to reference uncertainty or to time-base misalignment; it is an end-to-end disagreement of the current processed output with the consensus definitions, and it does not by itself localize the fault to a single detector component.</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4. </w:t>
      </w:r>
      <w:r>
        <w:rPr>
          <w:rFonts w:ascii="Times New Roman" w:hAnsi="Times New Roman" w:cs="Times New Roman"/>
          <w:b/>
          <w:i w:val="0"/>
          <w:sz w:val="22"/>
        </w:rPr>
        <w:t>Event-frame agreement with the consensus reference</w:t>
      </w:r>
    </w:p>
    <w:tbl>
      <w:tblPr>
        <w:tblStyle w:val="aff2"/>
        <w:tblW w:type="auto" w:w="0"/>
        <w:jc w:val="center"/>
        <w:tblLayout w:type="fixed"/>
        <w:tblLook w:firstColumn="1" w:firstRow="1" w:lastColumn="0" w:lastRow="0" w:noHBand="0" w:noVBand="1" w:val="04A0"/>
      </w:tblPr>
      <w:tblGrid>
        <w:gridCol w:w="2494"/>
        <w:gridCol w:w="567"/>
        <w:gridCol w:w="2381"/>
        <w:gridCol w:w="4139"/>
      </w:tblGrid>
      <w:tr>
        <w:trPr>
          <w:tblHeader/>
        </w:trPr>
        <w:tc>
          <w:tcPr>
            <w:tcW w:type="dxa" w:w="2494"/>
          </w:tcPr>
          <w:p>
            <w:pPr>
              <w:spacing w:before="0" w:after="0" w:line="240" w:lineRule="auto"/>
            </w:pPr>
            <w:r/>
            <w:r>
              <w:rPr>
                <w:rFonts w:ascii="Times New Roman" w:hAnsi="Times New Roman" w:cs="Times New Roman"/>
                <w:b/>
                <w:i w:val="0"/>
                <w:sz w:val="22"/>
              </w:rPr>
              <w:t>Auto / manual</w:t>
            </w:r>
          </w:p>
        </w:tc>
        <w:tc>
          <w:tcPr>
            <w:tcW w:type="dxa" w:w="567"/>
          </w:tcPr>
          <w:p>
            <w:pPr>
              <w:spacing w:before="0" w:after="0" w:line="240" w:lineRule="auto"/>
            </w:pPr>
            <w:r/>
            <w:r>
              <w:rPr>
                <w:rFonts w:ascii="Times New Roman" w:hAnsi="Times New Roman" w:cs="Times New Roman"/>
                <w:b/>
                <w:i w:val="0"/>
                <w:sz w:val="22"/>
              </w:rPr>
              <w:t>n</w:t>
            </w:r>
          </w:p>
        </w:tc>
        <w:tc>
          <w:tcPr>
            <w:tcW w:type="dxa" w:w="2381"/>
          </w:tcPr>
          <w:p>
            <w:pPr>
              <w:spacing w:before="0" w:after="0" w:line="240" w:lineRule="auto"/>
            </w:pPr>
            <w:r/>
            <w:r>
              <w:rPr>
                <w:rFonts w:ascii="Times New Roman" w:hAnsi="Times New Roman" w:cs="Times New Roman"/>
                <w:b/>
                <w:i w:val="0"/>
                <w:sz w:val="22"/>
              </w:rPr>
              <w:t>Median |error|, frames</w:t>
            </w:r>
          </w:p>
        </w:tc>
        <w:tc>
          <w:tcPr>
            <w:tcW w:type="dxa" w:w="4139"/>
          </w:tcPr>
          <w:p>
            <w:pPr>
              <w:spacing w:before="0" w:after="0" w:line="240" w:lineRule="auto"/>
            </w:pPr>
            <w:r/>
            <w:r>
              <w:rPr>
                <w:rFonts w:ascii="Times New Roman" w:hAnsi="Times New Roman" w:cs="Times New Roman"/>
                <w:b/>
                <w:i w:val="0"/>
                <w:sz w:val="22"/>
              </w:rPr>
              <w:t>Median |error|, ms (95% CI)</w:t>
            </w:r>
          </w:p>
        </w:tc>
      </w:tr>
      <w:tr>
        <w:tc>
          <w:tcPr>
            <w:tcW w:type="dxa" w:w="2494"/>
          </w:tcPr>
          <w:p>
            <w:pPr>
              <w:spacing w:before="0" w:after="0" w:line="240" w:lineRule="auto"/>
            </w:pPr>
            <w:r/>
            <w:r>
              <w:rPr>
                <w:rFonts w:ascii="Times New Roman" w:hAnsi="Times New Roman" w:cs="Times New Roman"/>
                <w:b w:val="0"/>
                <w:i w:val="0"/>
                <w:sz w:val="22"/>
              </w:rPr>
              <w:t>Transition / top</w:t>
            </w:r>
          </w:p>
        </w:tc>
        <w:tc>
          <w:tcPr>
            <w:tcW w:type="dxa" w:w="567"/>
          </w:tcPr>
          <w:p>
            <w:pPr>
              <w:spacing w:before="0" w:after="0" w:line="240" w:lineRule="auto"/>
            </w:pPr>
            <w:r/>
            <w:r>
              <w:rPr>
                <w:rFonts w:ascii="Times New Roman" w:hAnsi="Times New Roman" w:cs="Times New Roman"/>
                <w:b w:val="0"/>
                <w:i w:val="0"/>
                <w:sz w:val="22"/>
              </w:rPr>
              <w:t>25</w:t>
            </w:r>
          </w:p>
        </w:tc>
        <w:tc>
          <w:tcPr>
            <w:tcW w:type="dxa" w:w="2381"/>
          </w:tcPr>
          <w:p>
            <w:pPr>
              <w:spacing w:before="0" w:after="0" w:line="240" w:lineRule="auto"/>
            </w:pPr>
            <w:r/>
            <w:r>
              <w:rPr>
                <w:rFonts w:ascii="Times New Roman" w:hAnsi="Times New Roman" w:cs="Times New Roman"/>
                <w:b w:val="0"/>
                <w:i w:val="0"/>
                <w:sz w:val="22"/>
              </w:rPr>
              <w:t>38</w:t>
            </w:r>
          </w:p>
        </w:tc>
        <w:tc>
          <w:tcPr>
            <w:tcW w:type="dxa" w:w="4139"/>
          </w:tcPr>
          <w:p>
            <w:pPr>
              <w:spacing w:before="0" w:after="0" w:line="240" w:lineRule="auto"/>
            </w:pPr>
            <w:r/>
            <w:r>
              <w:rPr>
                <w:rFonts w:ascii="Times New Roman" w:hAnsi="Times New Roman" w:cs="Times New Roman"/>
                <w:b w:val="0"/>
                <w:i w:val="0"/>
                <w:sz w:val="22"/>
              </w:rPr>
              <w:t>780 (700–1635)</w:t>
            </w:r>
          </w:p>
        </w:tc>
      </w:tr>
      <w:tr>
        <w:tc>
          <w:tcPr>
            <w:tcW w:type="dxa" w:w="2494"/>
          </w:tcPr>
          <w:p>
            <w:pPr>
              <w:spacing w:before="0" w:after="0" w:line="240" w:lineRule="auto"/>
            </w:pPr>
            <w:r/>
            <w:r>
              <w:rPr>
                <w:rFonts w:ascii="Times New Roman" w:hAnsi="Times New Roman" w:cs="Times New Roman"/>
                <w:b w:val="0"/>
                <w:i w:val="0"/>
                <w:sz w:val="22"/>
              </w:rPr>
              <w:t>Transition / transition</w:t>
            </w:r>
          </w:p>
        </w:tc>
        <w:tc>
          <w:tcPr>
            <w:tcW w:type="dxa" w:w="567"/>
          </w:tcPr>
          <w:p>
            <w:pPr>
              <w:spacing w:before="0" w:after="0" w:line="240" w:lineRule="auto"/>
            </w:pPr>
            <w:r/>
            <w:r>
              <w:rPr>
                <w:rFonts w:ascii="Times New Roman" w:hAnsi="Times New Roman" w:cs="Times New Roman"/>
                <w:b w:val="0"/>
                <w:i w:val="0"/>
                <w:sz w:val="22"/>
              </w:rPr>
              <w:t>25</w:t>
            </w:r>
          </w:p>
        </w:tc>
        <w:tc>
          <w:tcPr>
            <w:tcW w:type="dxa" w:w="2381"/>
          </w:tcPr>
          <w:p>
            <w:pPr>
              <w:spacing w:before="0" w:after="0" w:line="240" w:lineRule="auto"/>
            </w:pPr>
            <w:r/>
            <w:r>
              <w:rPr>
                <w:rFonts w:ascii="Times New Roman" w:hAnsi="Times New Roman" w:cs="Times New Roman"/>
                <w:b w:val="0"/>
                <w:i w:val="0"/>
                <w:sz w:val="22"/>
              </w:rPr>
              <w:t>40</w:t>
            </w:r>
          </w:p>
        </w:tc>
        <w:tc>
          <w:tcPr>
            <w:tcW w:type="dxa" w:w="4139"/>
          </w:tcPr>
          <w:p>
            <w:pPr>
              <w:spacing w:before="0" w:after="0" w:line="240" w:lineRule="auto"/>
            </w:pPr>
            <w:r/>
            <w:r>
              <w:rPr>
                <w:rFonts w:ascii="Times New Roman" w:hAnsi="Times New Roman" w:cs="Times New Roman"/>
                <w:b w:val="0"/>
                <w:i w:val="0"/>
                <w:sz w:val="22"/>
              </w:rPr>
              <w:t>940 (660–1919)</w:t>
            </w:r>
          </w:p>
        </w:tc>
      </w:tr>
      <w:tr>
        <w:tc>
          <w:tcPr>
            <w:tcW w:type="dxa" w:w="2494"/>
          </w:tcPr>
          <w:p>
            <w:pPr>
              <w:spacing w:before="0" w:after="0" w:line="240" w:lineRule="auto"/>
            </w:pPr>
            <w:r/>
            <w:r>
              <w:rPr>
                <w:rFonts w:ascii="Times New Roman" w:hAnsi="Times New Roman" w:cs="Times New Roman"/>
                <w:b w:val="0"/>
                <w:i w:val="0"/>
                <w:sz w:val="22"/>
              </w:rPr>
              <w:t>Impact / impact</w:t>
            </w:r>
          </w:p>
        </w:tc>
        <w:tc>
          <w:tcPr>
            <w:tcW w:type="dxa" w:w="567"/>
          </w:tcPr>
          <w:p>
            <w:pPr>
              <w:spacing w:before="0" w:after="0" w:line="240" w:lineRule="auto"/>
            </w:pPr>
            <w:r/>
            <w:r>
              <w:rPr>
                <w:rFonts w:ascii="Times New Roman" w:hAnsi="Times New Roman" w:cs="Times New Roman"/>
                <w:b w:val="0"/>
                <w:i w:val="0"/>
                <w:sz w:val="22"/>
              </w:rPr>
              <w:t>25</w:t>
            </w:r>
          </w:p>
        </w:tc>
        <w:tc>
          <w:tcPr>
            <w:tcW w:type="dxa" w:w="2381"/>
          </w:tcPr>
          <w:p>
            <w:pPr>
              <w:spacing w:before="0" w:after="0" w:line="240" w:lineRule="auto"/>
            </w:pPr>
            <w:r/>
            <w:r>
              <w:rPr>
                <w:rFonts w:ascii="Times New Roman" w:hAnsi="Times New Roman" w:cs="Times New Roman"/>
                <w:b w:val="0"/>
                <w:i w:val="0"/>
                <w:sz w:val="22"/>
              </w:rPr>
              <w:t>40</w:t>
            </w:r>
          </w:p>
        </w:tc>
        <w:tc>
          <w:tcPr>
            <w:tcW w:type="dxa" w:w="4139"/>
          </w:tcPr>
          <w:p>
            <w:pPr>
              <w:spacing w:before="0" w:after="0" w:line="240" w:lineRule="auto"/>
            </w:pPr>
            <w:r/>
            <w:r>
              <w:rPr>
                <w:rFonts w:ascii="Times New Roman" w:hAnsi="Times New Roman" w:cs="Times New Roman"/>
                <w:b w:val="0"/>
                <w:i w:val="0"/>
                <w:sz w:val="22"/>
              </w:rPr>
              <w:t>800 (660–1022)</w:t>
            </w:r>
          </w:p>
        </w:tc>
      </w:tr>
    </w:tbl>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80"/>
        <w:ind w:firstLine="0"/>
        <w:jc w:val="center"/>
      </w:pPr>
      <w:r>
        <w:drawing>
          <wp:inline xmlns:a="http://schemas.openxmlformats.org/drawingml/2006/main" xmlns:pic="http://schemas.openxmlformats.org/drawingml/2006/picture">
            <wp:extent cx="5940000" cy="5940000"/>
            <wp:docPr id="13" name="Picture 13"/>
            <wp:cNvGraphicFramePr>
              <a:graphicFrameLocks noChangeAspect="1"/>
            </wp:cNvGraphicFramePr>
            <a:graphic>
              <a:graphicData uri="http://schemas.openxmlformats.org/drawingml/2006/picture">
                <pic:pic>
                  <pic:nvPicPr>
                    <pic:cNvPr id="0" name="fig_event_frame_identity.png"/>
                    <pic:cNvPicPr/>
                  </pic:nvPicPr>
                  <pic:blipFill>
                    <a:blip r:embed="rId26"/>
                    <a:stretch>
                      <a:fillRect/>
                    </a:stretch>
                  </pic:blipFill>
                  <pic:spPr>
                    <a:xfrm>
                      <a:off x="0" y="0"/>
                      <a:ext cx="5940000" cy="5940000"/>
                    </a:xfrm>
                    <a:prstGeom prst="rect"/>
                  </pic:spPr>
                </pic:pic>
              </a:graphicData>
            </a:graphic>
          </wp:inline>
        </w:drawing>
      </w:r>
    </w:p>
    <w:p>
      <w:pPr>
        <w:keepNext/>
        <w:ind w:firstLine="0"/>
        <w:jc w:val="center"/>
      </w:pPr>
      <w:r>
        <w:rPr>
          <w:rFonts w:ascii="Times New Roman" w:hAnsi="Times New Roman" w:cs="Times New Roman"/>
          <w:b w:val="0"/>
          <w:i/>
          <w:sz w:val="22"/>
        </w:rPr>
        <w:t xml:space="preserve">Fig. 4. </w:t>
      </w:r>
      <w:r>
        <w:rPr>
          <w:rFonts w:ascii="Times New Roman" w:hAnsi="Times New Roman" w:cs="Times New Roman"/>
          <w:b/>
          <w:i w:val="0"/>
          <w:sz w:val="22"/>
        </w:rPr>
        <w:t>Automatic versus manual consensus event frames</w:t>
      </w:r>
    </w:p>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60" w:after="60" w:line="240" w:lineRule="auto"/>
        <w:ind w:firstLine="425"/>
        <w:jc w:val="both"/>
      </w:pPr>
      <w:r>
        <w:rPr>
          <w:rFonts w:ascii="Times New Roman" w:hAnsi="Times New Roman" w:cs="Times New Roman"/>
          <w:b/>
          <w:i/>
          <w:sz w:val="22"/>
        </w:rPr>
        <w:t>Clubhead localization agreement and failure tail</w:t>
      </w:r>
    </w:p>
    <w:p>
      <w:pPr>
        <w:spacing w:before="0" w:after="0" w:line="240" w:lineRule="auto"/>
        <w:ind w:firstLine="425"/>
        <w:jc w:val="both"/>
      </w:pPr>
      <w:r>
        <w:rPr>
          <w:rFonts w:ascii="Times New Roman" w:hAnsi="Times New Roman" w:cs="Times New Roman"/>
          <w:b w:val="0"/>
          <w:i w:val="0"/>
          <w:sz w:val="22"/>
        </w:rPr>
        <w:t>Across 25 session-specific medians, the clubhead discrepancy with the consensus was 46.2 pixels (95% CI 41.4-51.9 pixels), or 2.54% of the image diagonal (1.98-2.88%). The corresponding model-dependent physical estimate was 13.6 cm. Session-median normalized discrepancy was 1.94% in backswing, 3.25% in transition, 3.32% in downswing, 2.70% near impact, and 2.66% in follow-through (Table 5; Fig. 5). Only eight sessions contributed a transition point, yielding a wide interval.</w:t>
      </w:r>
    </w:p>
    <w:p>
      <w:pPr>
        <w:spacing w:before="0" w:after="0" w:line="240" w:lineRule="auto"/>
        <w:ind w:firstLine="425"/>
        <w:jc w:val="both"/>
      </w:pPr>
      <w:r>
        <w:rPr>
          <w:rFonts w:ascii="Times New Roman" w:hAnsi="Times New Roman" w:cs="Times New Roman"/>
          <w:b w:val="0"/>
          <w:i w:val="0"/>
          <w:sz w:val="22"/>
        </w:rPr>
        <w:t>This discrepancy is smaller than the reference's own precision: the median algorithm-consensus distance of 44.4 pixels at point level is below the 77.1-pixel median disagreement between the two annotators on the same frames. A sensitivity check against annotator A's round-1 clicks alone gave a session-level median of 14.8 pixels, or 0.78% of the diagonal, and the consensus lies a median 38.6 pixels from those clicks - approximately half the inter-rater disagreement, as the mean rule implies. The choice of reference therefore changes the reported magnitude by a factor of about three, which is why the consensus rule is disclosed and why these values are reported as agreement bounded by reference precision rather than as tracker accuracy.</w:t>
      </w:r>
    </w:p>
    <w:p>
      <w:pPr>
        <w:spacing w:before="0" w:after="0" w:line="240" w:lineRule="auto"/>
        <w:ind w:firstLine="425"/>
        <w:jc w:val="both"/>
      </w:pPr>
      <w:r>
        <w:rPr>
          <w:rFonts w:ascii="Times New Roman" w:hAnsi="Times New Roman" w:cs="Times New Roman"/>
          <w:b w:val="0"/>
          <w:i w:val="0"/>
          <w:sz w:val="22"/>
        </w:rPr>
        <w:t>The point-level distribution was right-skewed. Its 95th percentile was 169.1 pixels and its maximum 2492.9 pixels. Twenty-two of 150 points (14.7%) exceeded 100 pixels across 13 sessions; 5 points (3.3%) exceeded 250 pixels across 4 sessions; and 3 points (2.0%) exceeded 500 pixels across 2 sessions. The largest failures were concentrated after impact: follow-through and impact-region point-level 95th percentiles were 498.3 and 361.8 pixels, against 89.8 pixels in backswing. The workflow returned a coordinate at all 150 selected frames, but coordinate availability did not guarantee correct localization. Because frames were selected where the clubhead was visually annotatable, these counts cannot be interpreted as whole-video tracking-success rates.</w:t>
      </w:r>
    </w:p>
    <w:p>
      <w:pPr>
        <w:spacing w:before="0" w:after="0" w:line="240" w:lineRule="auto"/>
        <w:ind w:firstLine="425"/>
        <w:jc w:val="both"/>
      </w:pPr>
      <w:r>
        <w:rPr>
          <w:rFonts w:ascii="Times New Roman" w:hAnsi="Times New Roman" w:cs="Times New Roman"/>
          <w:b w:val="0"/>
          <w:i w:val="0"/>
          <w:sz w:val="22"/>
        </w:rPr>
        <w:t>Exploratory subgroup summaries suggested larger session-median normalized errors at no more than 30 frames/s than at 31-60 frames/s (3.31% versus 2.05%) and below 720 p than at 1080 p or higher (3.70% versus 2.00%). The difficult-quality group had a median of 3.30%, but its four-session confidence interval reached 7.54%. Face-on results were based on only three sessions. These patterns are hypothesis-generating and do not support adjusted or causal comparisons.</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5. </w:t>
      </w:r>
      <w:r>
        <w:rPr>
          <w:rFonts w:ascii="Times New Roman" w:hAnsi="Times New Roman" w:cs="Times New Roman"/>
          <w:b/>
          <w:i w:val="0"/>
          <w:sz w:val="22"/>
        </w:rPr>
        <w:t>Clubhead localization agreement with the consensus by swing phase</w:t>
      </w:r>
    </w:p>
    <w:tbl>
      <w:tblPr>
        <w:tblStyle w:val="aff2"/>
        <w:tblW w:type="auto" w:w="0"/>
        <w:jc w:val="center"/>
        <w:tblLayout w:type="fixed"/>
        <w:tblLook w:firstColumn="1" w:firstRow="1" w:lastColumn="0" w:lastRow="0" w:noHBand="0" w:noVBand="1" w:val="04A0"/>
      </w:tblPr>
      <w:tblGrid>
        <w:gridCol w:w="2041"/>
        <w:gridCol w:w="1361"/>
        <w:gridCol w:w="3061"/>
        <w:gridCol w:w="3118"/>
      </w:tblGrid>
      <w:tr>
        <w:trPr>
          <w:tblHeader/>
        </w:trPr>
        <w:tc>
          <w:tcPr>
            <w:tcW w:type="dxa" w:w="2041"/>
          </w:tcPr>
          <w:p>
            <w:pPr>
              <w:spacing w:before="0" w:after="0" w:line="240" w:lineRule="auto"/>
            </w:pPr>
            <w:r/>
            <w:r>
              <w:rPr>
                <w:rFonts w:ascii="Times New Roman" w:hAnsi="Times New Roman" w:cs="Times New Roman"/>
                <w:b/>
                <w:i w:val="0"/>
                <w:sz w:val="22"/>
              </w:rPr>
              <w:t>Phase</w:t>
            </w:r>
          </w:p>
        </w:tc>
        <w:tc>
          <w:tcPr>
            <w:tcW w:type="dxa" w:w="1361"/>
          </w:tcPr>
          <w:p>
            <w:pPr>
              <w:spacing w:before="0" w:after="0" w:line="240" w:lineRule="auto"/>
            </w:pPr>
            <w:r/>
            <w:r>
              <w:rPr>
                <w:rFonts w:ascii="Times New Roman" w:hAnsi="Times New Roman" w:cs="Times New Roman"/>
                <w:b/>
                <w:i w:val="0"/>
                <w:sz w:val="22"/>
              </w:rPr>
              <w:t>n_s / n_p</w:t>
            </w:r>
          </w:p>
        </w:tc>
        <w:tc>
          <w:tcPr>
            <w:tcW w:type="dxa" w:w="3061"/>
          </w:tcPr>
          <w:p>
            <w:pPr>
              <w:spacing w:before="0" w:after="0" w:line="240" w:lineRule="auto"/>
            </w:pPr>
            <w:r/>
            <w:r>
              <w:rPr>
                <w:rFonts w:ascii="Times New Roman" w:hAnsi="Times New Roman" w:cs="Times New Roman"/>
                <w:b/>
                <w:i w:val="0"/>
                <w:sz w:val="22"/>
              </w:rPr>
              <w:t>Median, % diag. (95% CI)</w:t>
            </w:r>
          </w:p>
        </w:tc>
        <w:tc>
          <w:tcPr>
            <w:tcW w:type="dxa" w:w="3118"/>
          </w:tcPr>
          <w:p>
            <w:pPr>
              <w:spacing w:before="0" w:after="0" w:line="240" w:lineRule="auto"/>
            </w:pPr>
            <w:r/>
            <w:r>
              <w:rPr>
                <w:rFonts w:ascii="Times New Roman" w:hAnsi="Times New Roman" w:cs="Times New Roman"/>
                <w:b/>
                <w:i w:val="0"/>
                <w:sz w:val="22"/>
              </w:rPr>
              <w:t>P95 / max, px</w:t>
            </w:r>
          </w:p>
        </w:tc>
      </w:tr>
      <w:tr>
        <w:tc>
          <w:tcPr>
            <w:tcW w:type="dxa" w:w="2041"/>
          </w:tcPr>
          <w:p>
            <w:pPr>
              <w:spacing w:before="0" w:after="0" w:line="240" w:lineRule="auto"/>
            </w:pPr>
            <w:r/>
            <w:r>
              <w:rPr>
                <w:rFonts w:ascii="Times New Roman" w:hAnsi="Times New Roman" w:cs="Times New Roman"/>
                <w:b w:val="0"/>
                <w:i w:val="0"/>
                <w:sz w:val="22"/>
              </w:rPr>
              <w:t>Backswing</w:t>
            </w:r>
          </w:p>
        </w:tc>
        <w:tc>
          <w:tcPr>
            <w:tcW w:type="dxa" w:w="1361"/>
          </w:tcPr>
          <w:p>
            <w:pPr>
              <w:spacing w:before="0" w:after="0" w:line="240" w:lineRule="auto"/>
            </w:pPr>
            <w:r/>
            <w:r>
              <w:rPr>
                <w:rFonts w:ascii="Times New Roman" w:hAnsi="Times New Roman" w:cs="Times New Roman"/>
                <w:b w:val="0"/>
                <w:i w:val="0"/>
                <w:sz w:val="22"/>
              </w:rPr>
              <w:t>25/60</w:t>
            </w:r>
          </w:p>
        </w:tc>
        <w:tc>
          <w:tcPr>
            <w:tcW w:type="dxa" w:w="3061"/>
          </w:tcPr>
          <w:p>
            <w:pPr>
              <w:spacing w:before="0" w:after="0" w:line="240" w:lineRule="auto"/>
            </w:pPr>
            <w:r/>
            <w:r>
              <w:rPr>
                <w:rFonts w:ascii="Times New Roman" w:hAnsi="Times New Roman" w:cs="Times New Roman"/>
                <w:b w:val="0"/>
                <w:i w:val="0"/>
                <w:sz w:val="22"/>
              </w:rPr>
              <w:t>1.94 (1.69–2.26)</w:t>
            </w:r>
          </w:p>
        </w:tc>
        <w:tc>
          <w:tcPr>
            <w:tcW w:type="dxa" w:w="3118"/>
          </w:tcPr>
          <w:p>
            <w:pPr>
              <w:spacing w:before="0" w:after="0" w:line="240" w:lineRule="auto"/>
            </w:pPr>
            <w:r/>
            <w:r>
              <w:rPr>
                <w:rFonts w:ascii="Times New Roman" w:hAnsi="Times New Roman" w:cs="Times New Roman"/>
                <w:b w:val="0"/>
                <w:i w:val="0"/>
                <w:sz w:val="22"/>
              </w:rPr>
              <w:t>89.8 / 120.8</w:t>
            </w:r>
          </w:p>
        </w:tc>
      </w:tr>
      <w:tr>
        <w:tc>
          <w:tcPr>
            <w:tcW w:type="dxa" w:w="2041"/>
          </w:tcPr>
          <w:p>
            <w:pPr>
              <w:spacing w:before="0" w:after="0" w:line="240" w:lineRule="auto"/>
            </w:pPr>
            <w:r/>
            <w:r>
              <w:rPr>
                <w:rFonts w:ascii="Times New Roman" w:hAnsi="Times New Roman" w:cs="Times New Roman"/>
                <w:b w:val="0"/>
                <w:i w:val="0"/>
                <w:sz w:val="22"/>
              </w:rPr>
              <w:t>Transition</w:t>
            </w:r>
          </w:p>
        </w:tc>
        <w:tc>
          <w:tcPr>
            <w:tcW w:type="dxa" w:w="1361"/>
          </w:tcPr>
          <w:p>
            <w:pPr>
              <w:spacing w:before="0" w:after="0" w:line="240" w:lineRule="auto"/>
            </w:pPr>
            <w:r/>
            <w:r>
              <w:rPr>
                <w:rFonts w:ascii="Times New Roman" w:hAnsi="Times New Roman" w:cs="Times New Roman"/>
                <w:b w:val="0"/>
                <w:i w:val="0"/>
                <w:sz w:val="22"/>
              </w:rPr>
              <w:t>8/8</w:t>
            </w:r>
          </w:p>
        </w:tc>
        <w:tc>
          <w:tcPr>
            <w:tcW w:type="dxa" w:w="3061"/>
          </w:tcPr>
          <w:p>
            <w:pPr>
              <w:spacing w:before="0" w:after="0" w:line="240" w:lineRule="auto"/>
            </w:pPr>
            <w:r/>
            <w:r>
              <w:rPr>
                <w:rFonts w:ascii="Times New Roman" w:hAnsi="Times New Roman" w:cs="Times New Roman"/>
                <w:b w:val="0"/>
                <w:i w:val="0"/>
                <w:sz w:val="22"/>
              </w:rPr>
              <w:t>3.25 (2.08–4.53)</w:t>
            </w:r>
          </w:p>
        </w:tc>
        <w:tc>
          <w:tcPr>
            <w:tcW w:type="dxa" w:w="3118"/>
          </w:tcPr>
          <w:p>
            <w:pPr>
              <w:spacing w:before="0" w:after="0" w:line="240" w:lineRule="auto"/>
            </w:pPr>
            <w:r/>
            <w:r>
              <w:rPr>
                <w:rFonts w:ascii="Times New Roman" w:hAnsi="Times New Roman" w:cs="Times New Roman"/>
                <w:b w:val="0"/>
                <w:i w:val="0"/>
                <w:sz w:val="22"/>
              </w:rPr>
              <w:t>94.7 / 98.9</w:t>
            </w:r>
          </w:p>
        </w:tc>
      </w:tr>
      <w:tr>
        <w:tc>
          <w:tcPr>
            <w:tcW w:type="dxa" w:w="2041"/>
          </w:tcPr>
          <w:p>
            <w:pPr>
              <w:spacing w:before="0" w:after="0" w:line="240" w:lineRule="auto"/>
            </w:pPr>
            <w:r/>
            <w:r>
              <w:rPr>
                <w:rFonts w:ascii="Times New Roman" w:hAnsi="Times New Roman" w:cs="Times New Roman"/>
                <w:b w:val="0"/>
                <w:i w:val="0"/>
                <w:sz w:val="22"/>
              </w:rPr>
              <w:t>Downswing</w:t>
            </w:r>
          </w:p>
        </w:tc>
        <w:tc>
          <w:tcPr>
            <w:tcW w:type="dxa" w:w="1361"/>
          </w:tcPr>
          <w:p>
            <w:pPr>
              <w:spacing w:before="0" w:after="0" w:line="240" w:lineRule="auto"/>
            </w:pPr>
            <w:r/>
            <w:r>
              <w:rPr>
                <w:rFonts w:ascii="Times New Roman" w:hAnsi="Times New Roman" w:cs="Times New Roman"/>
                <w:b w:val="0"/>
                <w:i w:val="0"/>
                <w:sz w:val="22"/>
              </w:rPr>
              <w:t>17/26</w:t>
            </w:r>
          </w:p>
        </w:tc>
        <w:tc>
          <w:tcPr>
            <w:tcW w:type="dxa" w:w="3061"/>
          </w:tcPr>
          <w:p>
            <w:pPr>
              <w:spacing w:before="0" w:after="0" w:line="240" w:lineRule="auto"/>
            </w:pPr>
            <w:r/>
            <w:r>
              <w:rPr>
                <w:rFonts w:ascii="Times New Roman" w:hAnsi="Times New Roman" w:cs="Times New Roman"/>
                <w:b w:val="0"/>
                <w:i w:val="0"/>
                <w:sz w:val="22"/>
              </w:rPr>
              <w:t>3.32 (2.20–3.92)</w:t>
            </w:r>
          </w:p>
        </w:tc>
        <w:tc>
          <w:tcPr>
            <w:tcW w:type="dxa" w:w="3118"/>
          </w:tcPr>
          <w:p>
            <w:pPr>
              <w:spacing w:before="0" w:after="0" w:line="240" w:lineRule="auto"/>
            </w:pPr>
            <w:r/>
            <w:r>
              <w:rPr>
                <w:rFonts w:ascii="Times New Roman" w:hAnsi="Times New Roman" w:cs="Times New Roman"/>
                <w:b w:val="0"/>
                <w:i w:val="0"/>
                <w:sz w:val="22"/>
              </w:rPr>
              <w:t>105.3 / 397.3</w:t>
            </w:r>
          </w:p>
        </w:tc>
      </w:tr>
      <w:tr>
        <w:tc>
          <w:tcPr>
            <w:tcW w:type="dxa" w:w="2041"/>
          </w:tcPr>
          <w:p>
            <w:pPr>
              <w:spacing w:before="0" w:after="0" w:line="240" w:lineRule="auto"/>
            </w:pPr>
            <w:r/>
            <w:r>
              <w:rPr>
                <w:rFonts w:ascii="Times New Roman" w:hAnsi="Times New Roman" w:cs="Times New Roman"/>
                <w:b w:val="0"/>
                <w:i w:val="0"/>
                <w:sz w:val="22"/>
              </w:rPr>
              <w:t>Impact region</w:t>
            </w:r>
          </w:p>
        </w:tc>
        <w:tc>
          <w:tcPr>
            <w:tcW w:type="dxa" w:w="1361"/>
          </w:tcPr>
          <w:p>
            <w:pPr>
              <w:spacing w:before="0" w:after="0" w:line="240" w:lineRule="auto"/>
            </w:pPr>
            <w:r/>
            <w:r>
              <w:rPr>
                <w:rFonts w:ascii="Times New Roman" w:hAnsi="Times New Roman" w:cs="Times New Roman"/>
                <w:b w:val="0"/>
                <w:i w:val="0"/>
                <w:sz w:val="22"/>
              </w:rPr>
              <w:t>16/23</w:t>
            </w:r>
          </w:p>
        </w:tc>
        <w:tc>
          <w:tcPr>
            <w:tcW w:type="dxa" w:w="3061"/>
          </w:tcPr>
          <w:p>
            <w:pPr>
              <w:spacing w:before="0" w:after="0" w:line="240" w:lineRule="auto"/>
            </w:pPr>
            <w:r/>
            <w:r>
              <w:rPr>
                <w:rFonts w:ascii="Times New Roman" w:hAnsi="Times New Roman" w:cs="Times New Roman"/>
                <w:b w:val="0"/>
                <w:i w:val="0"/>
                <w:sz w:val="22"/>
              </w:rPr>
              <w:t>2.70 (1.68–6.38)</w:t>
            </w:r>
          </w:p>
        </w:tc>
        <w:tc>
          <w:tcPr>
            <w:tcW w:type="dxa" w:w="3118"/>
          </w:tcPr>
          <w:p>
            <w:pPr>
              <w:spacing w:before="0" w:after="0" w:line="240" w:lineRule="auto"/>
            </w:pPr>
            <w:r/>
            <w:r>
              <w:rPr>
                <w:rFonts w:ascii="Times New Roman" w:hAnsi="Times New Roman" w:cs="Times New Roman"/>
                <w:b w:val="0"/>
                <w:i w:val="0"/>
                <w:sz w:val="22"/>
              </w:rPr>
              <w:t>361.8 / 2103.0</w:t>
            </w:r>
          </w:p>
        </w:tc>
      </w:tr>
      <w:tr>
        <w:tc>
          <w:tcPr>
            <w:tcW w:type="dxa" w:w="2041"/>
          </w:tcPr>
          <w:p>
            <w:pPr>
              <w:spacing w:before="0" w:after="0" w:line="240" w:lineRule="auto"/>
            </w:pPr>
            <w:r/>
            <w:r>
              <w:rPr>
                <w:rFonts w:ascii="Times New Roman" w:hAnsi="Times New Roman" w:cs="Times New Roman"/>
                <w:b w:val="0"/>
                <w:i w:val="0"/>
                <w:sz w:val="22"/>
              </w:rPr>
              <w:t>Follow-through</w:t>
            </w:r>
          </w:p>
        </w:tc>
        <w:tc>
          <w:tcPr>
            <w:tcW w:type="dxa" w:w="1361"/>
          </w:tcPr>
          <w:p>
            <w:pPr>
              <w:spacing w:before="0" w:after="0" w:line="240" w:lineRule="auto"/>
            </w:pPr>
            <w:r/>
            <w:r>
              <w:rPr>
                <w:rFonts w:ascii="Times New Roman" w:hAnsi="Times New Roman" w:cs="Times New Roman"/>
                <w:b w:val="0"/>
                <w:i w:val="0"/>
                <w:sz w:val="22"/>
              </w:rPr>
              <w:t>22/33</w:t>
            </w:r>
          </w:p>
        </w:tc>
        <w:tc>
          <w:tcPr>
            <w:tcW w:type="dxa" w:w="3061"/>
          </w:tcPr>
          <w:p>
            <w:pPr>
              <w:spacing w:before="0" w:after="0" w:line="240" w:lineRule="auto"/>
            </w:pPr>
            <w:r/>
            <w:r>
              <w:rPr>
                <w:rFonts w:ascii="Times New Roman" w:hAnsi="Times New Roman" w:cs="Times New Roman"/>
                <w:b w:val="0"/>
                <w:i w:val="0"/>
                <w:sz w:val="22"/>
              </w:rPr>
              <w:t>2.66 (1.61–3.76)</w:t>
            </w:r>
          </w:p>
        </w:tc>
        <w:tc>
          <w:tcPr>
            <w:tcW w:type="dxa" w:w="3118"/>
          </w:tcPr>
          <w:p>
            <w:pPr>
              <w:spacing w:before="0" w:after="0" w:line="240" w:lineRule="auto"/>
            </w:pPr>
            <w:r/>
            <w:r>
              <w:rPr>
                <w:rFonts w:ascii="Times New Roman" w:hAnsi="Times New Roman" w:cs="Times New Roman"/>
                <w:b w:val="0"/>
                <w:i w:val="0"/>
                <w:sz w:val="22"/>
              </w:rPr>
              <w:t>498.3 / 2492.9</w:t>
            </w:r>
          </w:p>
        </w:tc>
      </w:tr>
      <w:tr>
        <w:tc>
          <w:tcPr>
            <w:tcW w:type="dxa" w:w="2041"/>
          </w:tcPr>
          <w:p>
            <w:pPr>
              <w:spacing w:before="0" w:after="0" w:line="240" w:lineRule="auto"/>
            </w:pPr>
            <w:r/>
            <w:r>
              <w:rPr>
                <w:rFonts w:ascii="Times New Roman" w:hAnsi="Times New Roman" w:cs="Times New Roman"/>
                <w:b w:val="0"/>
                <w:i w:val="0"/>
                <w:sz w:val="22"/>
              </w:rPr>
              <w:t>All phases</w:t>
            </w:r>
          </w:p>
        </w:tc>
        <w:tc>
          <w:tcPr>
            <w:tcW w:type="dxa" w:w="1361"/>
          </w:tcPr>
          <w:p>
            <w:pPr>
              <w:spacing w:before="0" w:after="0" w:line="240" w:lineRule="auto"/>
            </w:pPr>
            <w:r/>
            <w:r>
              <w:rPr>
                <w:rFonts w:ascii="Times New Roman" w:hAnsi="Times New Roman" w:cs="Times New Roman"/>
                <w:b w:val="0"/>
                <w:i w:val="0"/>
                <w:sz w:val="22"/>
              </w:rPr>
              <w:t>25/150</w:t>
            </w:r>
          </w:p>
        </w:tc>
        <w:tc>
          <w:tcPr>
            <w:tcW w:type="dxa" w:w="3061"/>
          </w:tcPr>
          <w:p>
            <w:pPr>
              <w:spacing w:before="0" w:after="0" w:line="240" w:lineRule="auto"/>
            </w:pPr>
            <w:r/>
            <w:r>
              <w:rPr>
                <w:rFonts w:ascii="Times New Roman" w:hAnsi="Times New Roman" w:cs="Times New Roman"/>
                <w:b w:val="0"/>
                <w:i w:val="0"/>
                <w:sz w:val="22"/>
              </w:rPr>
              <w:t>2.54 (1.98–2.88)</w:t>
            </w:r>
          </w:p>
        </w:tc>
        <w:tc>
          <w:tcPr>
            <w:tcW w:type="dxa" w:w="3118"/>
          </w:tcPr>
          <w:p>
            <w:pPr>
              <w:spacing w:before="0" w:after="0" w:line="240" w:lineRule="auto"/>
            </w:pPr>
            <w:r/>
            <w:r>
              <w:rPr>
                <w:rFonts w:ascii="Times New Roman" w:hAnsi="Times New Roman" w:cs="Times New Roman"/>
                <w:b w:val="0"/>
                <w:i w:val="0"/>
                <w:sz w:val="22"/>
              </w:rPr>
              <w:t>169.1 / 2492.9</w:t>
            </w:r>
          </w:p>
        </w:tc>
      </w:tr>
    </w:tbl>
    <w:p>
      <w:pPr>
        <w:spacing w:after="120"/>
        <w:ind w:firstLine="0"/>
        <w:jc w:val="center"/>
      </w:pPr>
      <w:r>
        <w:rPr>
          <w:rFonts w:ascii="Times New Roman" w:hAnsi="Times New Roman" w:cs="Times New Roman"/>
          <w:b/>
          <w:i/>
          <w:sz w:val="16"/>
        </w:rPr>
        <w:t>Source: compiled by the authors; n_s - sessions; n_p - points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80"/>
        <w:ind w:firstLine="0"/>
        <w:jc w:val="center"/>
      </w:pPr>
      <w:r>
        <w:drawing>
          <wp:inline xmlns:a="http://schemas.openxmlformats.org/drawingml/2006/main" xmlns:pic="http://schemas.openxmlformats.org/drawingml/2006/picture">
            <wp:extent cx="5929411" cy="6299999"/>
            <wp:docPr id="14" name="Picture 14"/>
            <wp:cNvGraphicFramePr>
              <a:graphicFrameLocks noChangeAspect="1"/>
            </wp:cNvGraphicFramePr>
            <a:graphic>
              <a:graphicData uri="http://schemas.openxmlformats.org/drawingml/2006/picture">
                <pic:pic>
                  <pic:nvPicPr>
                    <pic:cNvPr id="0" name="fig_trajectory_error_by_phase.png"/>
                    <pic:cNvPicPr/>
                  </pic:nvPicPr>
                  <pic:blipFill>
                    <a:blip r:embed="rId27"/>
                    <a:stretch>
                      <a:fillRect/>
                    </a:stretch>
                  </pic:blipFill>
                  <pic:spPr>
                    <a:xfrm>
                      <a:off x="0" y="0"/>
                      <a:ext cx="5929411" cy="6299999"/>
                    </a:xfrm>
                    <a:prstGeom prst="rect"/>
                  </pic:spPr>
                </pic:pic>
              </a:graphicData>
            </a:graphic>
          </wp:inline>
        </w:drawing>
      </w:r>
    </w:p>
    <w:p>
      <w:pPr>
        <w:keepNext/>
        <w:ind w:firstLine="0"/>
        <w:jc w:val="center"/>
      </w:pPr>
      <w:r>
        <w:rPr>
          <w:rFonts w:ascii="Times New Roman" w:hAnsi="Times New Roman" w:cs="Times New Roman"/>
          <w:b w:val="0"/>
          <w:i/>
          <w:sz w:val="22"/>
        </w:rPr>
        <w:t xml:space="preserve">Fig. 5. </w:t>
      </w:r>
      <w:r>
        <w:rPr>
          <w:rFonts w:ascii="Times New Roman" w:hAnsi="Times New Roman" w:cs="Times New Roman"/>
          <w:b/>
          <w:i w:val="0"/>
          <w:sz w:val="22"/>
        </w:rPr>
        <w:t>Session-level clubhead agreement by swing phase</w:t>
      </w:r>
    </w:p>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60" w:after="60" w:line="240" w:lineRule="auto"/>
        <w:ind w:firstLine="425"/>
        <w:jc w:val="both"/>
      </w:pPr>
      <w:r>
        <w:rPr>
          <w:rFonts w:ascii="Times New Roman" w:hAnsi="Times New Roman" w:cs="Times New Roman"/>
          <w:b/>
          <w:i/>
          <w:sz w:val="22"/>
        </w:rPr>
        <w:t>Perturbation sensitivity</w:t>
      </w:r>
    </w:p>
    <w:p>
      <w:pPr>
        <w:spacing w:before="0" w:after="0" w:line="240" w:lineRule="auto"/>
        <w:ind w:firstLine="425"/>
        <w:jc w:val="both"/>
      </w:pPr>
      <w:r>
        <w:rPr>
          <w:rFonts w:ascii="Times New Roman" w:hAnsi="Times New Roman" w:cs="Times New Roman"/>
          <w:b w:val="0"/>
          <w:i w:val="0"/>
          <w:sz w:val="22"/>
        </w:rPr>
        <w:t>All 71 sessions were reprocessed in all 12 scenarios; individual metrics were undefined in up to three sessions per scenario, so scenario-level counts range from 68 to 71. Path efficiency and smoothness index had the lowest overall response, with medians across scenarios of 5.9% and 6.2% and worst scenarios of 24.8% under the larger jitter dose and 15.1% under combined degradation; both had 7 low-response and 5 moderate-response scenarios and no high-response scenario (Table 6; Fig. 6). Maximum angular velocity and maximum speed followed at 17.0% and 18.7%, each with six high-response scenarios, and maximum acceleration at 26.0%. Curvature RMS, backswing peak speed, and swing tempo were the most responsive, with medians of 39.6%, 53.6%, and 74.4% and worst scenarios of 157.4%, 179.8%, and 160.7%.</w:t>
      </w:r>
    </w:p>
    <w:p>
      <w:pPr>
        <w:spacing w:before="0" w:after="0" w:line="240" w:lineRule="auto"/>
        <w:ind w:firstLine="425"/>
        <w:jc w:val="both"/>
      </w:pPr>
      <w:r>
        <w:rPr>
          <w:rFonts w:ascii="Times New Roman" w:hAnsi="Times New Roman" w:cs="Times New Roman"/>
          <w:b w:val="0"/>
          <w:i w:val="0"/>
          <w:sz w:val="22"/>
        </w:rPr>
        <w:t>Magnitude response and rank preservation were not interchangeable. Curvature RMS and maximum angular velocity retained median Spearman correlations of 0.93 and 0.81 despite the largest magnitude changes, whereas path efficiency and smoothness index, the least responsive metrics in magnitude, had median correlations of 0.64 and 0.73. Swing tempo and backswing peak speed were unstable on both criteria, with median correlations of 0.34 and 0.44. Scale perturbations produced the smallest responses for scale-free quantities, while thinning, jitter, and combined degradation dominated most derivative metrics. The complete 12-scenario table, including confidence intervals, is retained as supplementary comma-separated output.</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6. </w:t>
      </w:r>
      <w:r>
        <w:rPr>
          <w:rFonts w:ascii="Times New Roman" w:hAnsi="Times New Roman" w:cs="Times New Roman"/>
          <w:b/>
          <w:i w:val="0"/>
          <w:sz w:val="22"/>
        </w:rPr>
        <w:t>Perturbation response and rank preservation of exported metrics</w:t>
      </w:r>
    </w:p>
    <w:tbl>
      <w:tblPr>
        <w:tblStyle w:val="aff2"/>
        <w:tblW w:type="auto" w:w="0"/>
        <w:jc w:val="center"/>
        <w:tblLayout w:type="fixed"/>
        <w:tblLook w:firstColumn="1" w:firstRow="1" w:lastColumn="0" w:lastRow="0" w:noHBand="0" w:noVBand="1" w:val="04A0"/>
      </w:tblPr>
      <w:tblGrid>
        <w:gridCol w:w="2041"/>
        <w:gridCol w:w="1361"/>
        <w:gridCol w:w="1020"/>
        <w:gridCol w:w="1020"/>
        <w:gridCol w:w="1587"/>
        <w:gridCol w:w="2551"/>
      </w:tblGrid>
      <w:tr>
        <w:trPr>
          <w:tblHeader/>
        </w:trPr>
        <w:tc>
          <w:tcPr>
            <w:tcW w:type="dxa" w:w="2041"/>
          </w:tcPr>
          <w:p>
            <w:pPr>
              <w:spacing w:before="0" w:after="0" w:line="240" w:lineRule="auto"/>
            </w:pPr>
            <w:r/>
            <w:r>
              <w:rPr>
                <w:rFonts w:ascii="Times New Roman" w:hAnsi="Times New Roman" w:cs="Times New Roman"/>
                <w:b/>
                <w:i w:val="0"/>
                <w:sz w:val="22"/>
              </w:rPr>
              <w:t>Metric</w:t>
            </w:r>
          </w:p>
        </w:tc>
        <w:tc>
          <w:tcPr>
            <w:tcW w:type="dxa" w:w="1361"/>
          </w:tcPr>
          <w:p>
            <w:pPr>
              <w:spacing w:before="0" w:after="0" w:line="240" w:lineRule="auto"/>
            </w:pPr>
            <w:r/>
            <w:r>
              <w:rPr>
                <w:rFonts w:ascii="Times New Roman" w:hAnsi="Times New Roman" w:cs="Times New Roman"/>
                <w:b/>
                <w:i w:val="0"/>
                <w:sz w:val="22"/>
              </w:rPr>
              <w:t>Median change, %</w:t>
            </w:r>
          </w:p>
        </w:tc>
        <w:tc>
          <w:tcPr>
            <w:tcW w:type="dxa" w:w="1020"/>
          </w:tcPr>
          <w:p>
            <w:pPr>
              <w:spacing w:before="0" w:after="0" w:line="240" w:lineRule="auto"/>
            </w:pPr>
            <w:r/>
            <w:r>
              <w:rPr>
                <w:rFonts w:ascii="Times New Roman" w:hAnsi="Times New Roman" w:cs="Times New Roman"/>
                <w:b/>
                <w:i w:val="0"/>
                <w:sz w:val="22"/>
              </w:rPr>
              <w:t>Worst, %</w:t>
            </w:r>
          </w:p>
        </w:tc>
        <w:tc>
          <w:tcPr>
            <w:tcW w:type="dxa" w:w="1020"/>
          </w:tcPr>
          <w:p>
            <w:pPr>
              <w:spacing w:before="0" w:after="0" w:line="240" w:lineRule="auto"/>
            </w:pPr>
            <w:r/>
            <w:r>
              <w:rPr>
                <w:rFonts w:ascii="Times New Roman" w:hAnsi="Times New Roman" w:cs="Times New Roman"/>
                <w:b/>
                <w:i w:val="0"/>
                <w:sz w:val="22"/>
              </w:rPr>
              <w:t>Median ρ</w:t>
            </w:r>
          </w:p>
        </w:tc>
        <w:tc>
          <w:tcPr>
            <w:tcW w:type="dxa" w:w="1587"/>
          </w:tcPr>
          <w:p>
            <w:pPr>
              <w:spacing w:before="0" w:after="0" w:line="240" w:lineRule="auto"/>
            </w:pPr>
            <w:r/>
            <w:r>
              <w:rPr>
                <w:rFonts w:ascii="Times New Roman" w:hAnsi="Times New Roman" w:cs="Times New Roman"/>
                <w:b/>
                <w:i w:val="0"/>
                <w:sz w:val="22"/>
              </w:rPr>
              <w:t>Low/mod./high</w:t>
            </w:r>
          </w:p>
        </w:tc>
        <w:tc>
          <w:tcPr>
            <w:tcW w:type="dxa" w:w="2551"/>
          </w:tcPr>
          <w:p>
            <w:pPr>
              <w:spacing w:before="0" w:after="0" w:line="240" w:lineRule="auto"/>
            </w:pPr>
            <w:r/>
            <w:r>
              <w:rPr>
                <w:rFonts w:ascii="Times New Roman" w:hAnsi="Times New Roman" w:cs="Times New Roman"/>
                <w:b/>
                <w:i w:val="0"/>
                <w:sz w:val="22"/>
              </w:rPr>
              <w:t>Interpretation</w:t>
            </w:r>
          </w:p>
        </w:tc>
      </w:tr>
      <w:tr>
        <w:tc>
          <w:tcPr>
            <w:tcW w:type="dxa" w:w="2041"/>
          </w:tcPr>
          <w:p>
            <w:pPr>
              <w:spacing w:before="0" w:after="0" w:line="240" w:lineRule="auto"/>
            </w:pPr>
            <w:r/>
            <w:r>
              <w:rPr>
                <w:rFonts w:ascii="Times New Roman" w:hAnsi="Times New Roman" w:cs="Times New Roman"/>
                <w:b w:val="0"/>
                <w:i w:val="0"/>
                <w:sz w:val="22"/>
              </w:rPr>
              <w:t>Path efficiency</w:t>
            </w:r>
          </w:p>
        </w:tc>
        <w:tc>
          <w:tcPr>
            <w:tcW w:type="dxa" w:w="1361"/>
          </w:tcPr>
          <w:p>
            <w:pPr>
              <w:spacing w:before="0" w:after="0" w:line="240" w:lineRule="auto"/>
            </w:pPr>
            <w:r/>
            <w:r>
              <w:rPr>
                <w:rFonts w:ascii="Times New Roman" w:hAnsi="Times New Roman" w:cs="Times New Roman"/>
                <w:b w:val="0"/>
                <w:i w:val="0"/>
                <w:sz w:val="22"/>
              </w:rPr>
              <w:t>5.9</w:t>
            </w:r>
          </w:p>
        </w:tc>
        <w:tc>
          <w:tcPr>
            <w:tcW w:type="dxa" w:w="1020"/>
          </w:tcPr>
          <w:p>
            <w:pPr>
              <w:spacing w:before="0" w:after="0" w:line="240" w:lineRule="auto"/>
            </w:pPr>
            <w:r/>
            <w:r>
              <w:rPr>
                <w:rFonts w:ascii="Times New Roman" w:hAnsi="Times New Roman" w:cs="Times New Roman"/>
                <w:b w:val="0"/>
                <w:i w:val="0"/>
                <w:sz w:val="22"/>
              </w:rPr>
              <w:t>24.8</w:t>
            </w:r>
          </w:p>
        </w:tc>
        <w:tc>
          <w:tcPr>
            <w:tcW w:type="dxa" w:w="1020"/>
          </w:tcPr>
          <w:p>
            <w:pPr>
              <w:spacing w:before="0" w:after="0" w:line="240" w:lineRule="auto"/>
            </w:pPr>
            <w:r/>
            <w:r>
              <w:rPr>
                <w:rFonts w:ascii="Times New Roman" w:hAnsi="Times New Roman" w:cs="Times New Roman"/>
                <w:b w:val="0"/>
                <w:i w:val="0"/>
                <w:sz w:val="22"/>
              </w:rPr>
              <w:t>0.63</w:t>
            </w:r>
          </w:p>
        </w:tc>
        <w:tc>
          <w:tcPr>
            <w:tcW w:type="dxa" w:w="1587"/>
          </w:tcPr>
          <w:p>
            <w:pPr>
              <w:spacing w:before="0" w:after="0" w:line="240" w:lineRule="auto"/>
            </w:pPr>
            <w:r/>
            <w:r>
              <w:rPr>
                <w:rFonts w:ascii="Times New Roman" w:hAnsi="Times New Roman" w:cs="Times New Roman"/>
                <w:b w:val="0"/>
                <w:i w:val="0"/>
                <w:sz w:val="22"/>
              </w:rPr>
              <w:t>7/5/0</w:t>
            </w:r>
          </w:p>
        </w:tc>
        <w:tc>
          <w:tcPr>
            <w:tcW w:type="dxa" w:w="2551"/>
          </w:tcPr>
          <w:p>
            <w:pPr>
              <w:spacing w:before="0" w:after="0" w:line="240" w:lineRule="auto"/>
            </w:pPr>
            <w:r/>
            <w:r>
              <w:rPr>
                <w:rFonts w:ascii="Times New Roman" w:hAnsi="Times New Roman" w:cs="Times New Roman"/>
                <w:b w:val="0"/>
                <w:i w:val="0"/>
                <w:sz w:val="22"/>
              </w:rPr>
              <w:t>Candidate only</w:t>
            </w:r>
          </w:p>
        </w:tc>
      </w:tr>
      <w:tr>
        <w:tc>
          <w:tcPr>
            <w:tcW w:type="dxa" w:w="2041"/>
          </w:tcPr>
          <w:p>
            <w:pPr>
              <w:spacing w:before="0" w:after="0" w:line="240" w:lineRule="auto"/>
            </w:pPr>
            <w:r/>
            <w:r>
              <w:rPr>
                <w:rFonts w:ascii="Times New Roman" w:hAnsi="Times New Roman" w:cs="Times New Roman"/>
                <w:b w:val="0"/>
                <w:i w:val="0"/>
                <w:sz w:val="22"/>
              </w:rPr>
              <w:t>Smoothness index</w:t>
            </w:r>
          </w:p>
        </w:tc>
        <w:tc>
          <w:tcPr>
            <w:tcW w:type="dxa" w:w="1361"/>
          </w:tcPr>
          <w:p>
            <w:pPr>
              <w:spacing w:before="0" w:after="0" w:line="240" w:lineRule="auto"/>
            </w:pPr>
            <w:r/>
            <w:r>
              <w:rPr>
                <w:rFonts w:ascii="Times New Roman" w:hAnsi="Times New Roman" w:cs="Times New Roman"/>
                <w:b w:val="0"/>
                <w:i w:val="0"/>
                <w:sz w:val="22"/>
              </w:rPr>
              <w:t>6.2</w:t>
            </w:r>
          </w:p>
        </w:tc>
        <w:tc>
          <w:tcPr>
            <w:tcW w:type="dxa" w:w="1020"/>
          </w:tcPr>
          <w:p>
            <w:pPr>
              <w:spacing w:before="0" w:after="0" w:line="240" w:lineRule="auto"/>
            </w:pPr>
            <w:r/>
            <w:r>
              <w:rPr>
                <w:rFonts w:ascii="Times New Roman" w:hAnsi="Times New Roman" w:cs="Times New Roman"/>
                <w:b w:val="0"/>
                <w:i w:val="0"/>
                <w:sz w:val="22"/>
              </w:rPr>
              <w:t>15.1</w:t>
            </w:r>
          </w:p>
        </w:tc>
        <w:tc>
          <w:tcPr>
            <w:tcW w:type="dxa" w:w="1020"/>
          </w:tcPr>
          <w:p>
            <w:pPr>
              <w:spacing w:before="0" w:after="0" w:line="240" w:lineRule="auto"/>
            </w:pPr>
            <w:r/>
            <w:r>
              <w:rPr>
                <w:rFonts w:ascii="Times New Roman" w:hAnsi="Times New Roman" w:cs="Times New Roman"/>
                <w:b w:val="0"/>
                <w:i w:val="0"/>
                <w:sz w:val="22"/>
              </w:rPr>
              <w:t>0.73</w:t>
            </w:r>
          </w:p>
        </w:tc>
        <w:tc>
          <w:tcPr>
            <w:tcW w:type="dxa" w:w="1587"/>
          </w:tcPr>
          <w:p>
            <w:pPr>
              <w:spacing w:before="0" w:after="0" w:line="240" w:lineRule="auto"/>
            </w:pPr>
            <w:r/>
            <w:r>
              <w:rPr>
                <w:rFonts w:ascii="Times New Roman" w:hAnsi="Times New Roman" w:cs="Times New Roman"/>
                <w:b w:val="0"/>
                <w:i w:val="0"/>
                <w:sz w:val="22"/>
              </w:rPr>
              <w:t>7/5/0</w:t>
            </w:r>
          </w:p>
        </w:tc>
        <w:tc>
          <w:tcPr>
            <w:tcW w:type="dxa" w:w="2551"/>
          </w:tcPr>
          <w:p>
            <w:pPr>
              <w:spacing w:before="0" w:after="0" w:line="240" w:lineRule="auto"/>
            </w:pPr>
            <w:r/>
            <w:r>
              <w:rPr>
                <w:rFonts w:ascii="Times New Roman" w:hAnsi="Times New Roman" w:cs="Times New Roman"/>
                <w:b w:val="0"/>
                <w:i w:val="0"/>
                <w:sz w:val="22"/>
              </w:rPr>
              <w:t>Candidate only</w:t>
            </w:r>
          </w:p>
        </w:tc>
      </w:tr>
      <w:tr>
        <w:tc>
          <w:tcPr>
            <w:tcW w:type="dxa" w:w="2041"/>
          </w:tcPr>
          <w:p>
            <w:pPr>
              <w:spacing w:before="0" w:after="0" w:line="240" w:lineRule="auto"/>
            </w:pPr>
            <w:r/>
            <w:r>
              <w:rPr>
                <w:rFonts w:ascii="Times New Roman" w:hAnsi="Times New Roman" w:cs="Times New Roman"/>
                <w:b w:val="0"/>
                <w:i w:val="0"/>
                <w:sz w:val="22"/>
              </w:rPr>
              <w:t>Maximum angular velocity</w:t>
            </w:r>
          </w:p>
        </w:tc>
        <w:tc>
          <w:tcPr>
            <w:tcW w:type="dxa" w:w="1361"/>
          </w:tcPr>
          <w:p>
            <w:pPr>
              <w:spacing w:before="0" w:after="0" w:line="240" w:lineRule="auto"/>
            </w:pPr>
            <w:r/>
            <w:r>
              <w:rPr>
                <w:rFonts w:ascii="Times New Roman" w:hAnsi="Times New Roman" w:cs="Times New Roman"/>
                <w:b w:val="0"/>
                <w:i w:val="0"/>
                <w:sz w:val="22"/>
              </w:rPr>
              <w:t>17.0</w:t>
            </w:r>
          </w:p>
        </w:tc>
        <w:tc>
          <w:tcPr>
            <w:tcW w:type="dxa" w:w="1020"/>
          </w:tcPr>
          <w:p>
            <w:pPr>
              <w:spacing w:before="0" w:after="0" w:line="240" w:lineRule="auto"/>
            </w:pPr>
            <w:r/>
            <w:r>
              <w:rPr>
                <w:rFonts w:ascii="Times New Roman" w:hAnsi="Times New Roman" w:cs="Times New Roman"/>
                <w:b w:val="0"/>
                <w:i w:val="0"/>
                <w:sz w:val="22"/>
              </w:rPr>
              <w:t>89.9</w:t>
            </w:r>
          </w:p>
        </w:tc>
        <w:tc>
          <w:tcPr>
            <w:tcW w:type="dxa" w:w="1020"/>
          </w:tcPr>
          <w:p>
            <w:pPr>
              <w:spacing w:before="0" w:after="0" w:line="240" w:lineRule="auto"/>
            </w:pPr>
            <w:r/>
            <w:r>
              <w:rPr>
                <w:rFonts w:ascii="Times New Roman" w:hAnsi="Times New Roman" w:cs="Times New Roman"/>
                <w:b w:val="0"/>
                <w:i w:val="0"/>
                <w:sz w:val="22"/>
              </w:rPr>
              <w:t>0.81</w:t>
            </w:r>
          </w:p>
        </w:tc>
        <w:tc>
          <w:tcPr>
            <w:tcW w:type="dxa" w:w="1587"/>
          </w:tcPr>
          <w:p>
            <w:pPr>
              <w:spacing w:before="0" w:after="0" w:line="240" w:lineRule="auto"/>
            </w:pPr>
            <w:r/>
            <w:r>
              <w:rPr>
                <w:rFonts w:ascii="Times New Roman" w:hAnsi="Times New Roman" w:cs="Times New Roman"/>
                <w:b w:val="0"/>
                <w:i w:val="0"/>
                <w:sz w:val="22"/>
              </w:rPr>
              <w:t>6/0/6</w:t>
            </w:r>
          </w:p>
        </w:tc>
        <w:tc>
          <w:tcPr>
            <w:tcW w:type="dxa" w:w="2551"/>
          </w:tcPr>
          <w:p>
            <w:pPr>
              <w:spacing w:before="0" w:after="0" w:line="240" w:lineRule="auto"/>
            </w:pPr>
            <w:r/>
            <w:r>
              <w:rPr>
                <w:rFonts w:ascii="Times New Roman" w:hAnsi="Times New Roman" w:cs="Times New Roman"/>
                <w:b w:val="0"/>
                <w:i w:val="0"/>
                <w:sz w:val="22"/>
              </w:rPr>
              <w:t>High perturbation sensitivity</w:t>
            </w:r>
          </w:p>
        </w:tc>
      </w:tr>
      <w:tr>
        <w:tc>
          <w:tcPr>
            <w:tcW w:type="dxa" w:w="2041"/>
          </w:tcPr>
          <w:p>
            <w:pPr>
              <w:spacing w:before="0" w:after="0" w:line="240" w:lineRule="auto"/>
            </w:pPr>
            <w:r/>
            <w:r>
              <w:rPr>
                <w:rFonts w:ascii="Times New Roman" w:hAnsi="Times New Roman" w:cs="Times New Roman"/>
                <w:b w:val="0"/>
                <w:i w:val="0"/>
                <w:sz w:val="22"/>
              </w:rPr>
              <w:t>Maximum speed</w:t>
            </w:r>
          </w:p>
        </w:tc>
        <w:tc>
          <w:tcPr>
            <w:tcW w:type="dxa" w:w="1361"/>
          </w:tcPr>
          <w:p>
            <w:pPr>
              <w:spacing w:before="0" w:after="0" w:line="240" w:lineRule="auto"/>
            </w:pPr>
            <w:r/>
            <w:r>
              <w:rPr>
                <w:rFonts w:ascii="Times New Roman" w:hAnsi="Times New Roman" w:cs="Times New Roman"/>
                <w:b w:val="0"/>
                <w:i w:val="0"/>
                <w:sz w:val="22"/>
              </w:rPr>
              <w:t>18.7</w:t>
            </w:r>
          </w:p>
        </w:tc>
        <w:tc>
          <w:tcPr>
            <w:tcW w:type="dxa" w:w="1020"/>
          </w:tcPr>
          <w:p>
            <w:pPr>
              <w:spacing w:before="0" w:after="0" w:line="240" w:lineRule="auto"/>
            </w:pPr>
            <w:r/>
            <w:r>
              <w:rPr>
                <w:rFonts w:ascii="Times New Roman" w:hAnsi="Times New Roman" w:cs="Times New Roman"/>
                <w:b w:val="0"/>
                <w:i w:val="0"/>
                <w:sz w:val="22"/>
              </w:rPr>
              <w:t>60.8</w:t>
            </w:r>
          </w:p>
        </w:tc>
        <w:tc>
          <w:tcPr>
            <w:tcW w:type="dxa" w:w="1020"/>
          </w:tcPr>
          <w:p>
            <w:pPr>
              <w:spacing w:before="0" w:after="0" w:line="240" w:lineRule="auto"/>
            </w:pPr>
            <w:r/>
            <w:r>
              <w:rPr>
                <w:rFonts w:ascii="Times New Roman" w:hAnsi="Times New Roman" w:cs="Times New Roman"/>
                <w:b w:val="0"/>
                <w:i w:val="0"/>
                <w:sz w:val="22"/>
              </w:rPr>
              <w:t>0.56</w:t>
            </w:r>
          </w:p>
        </w:tc>
        <w:tc>
          <w:tcPr>
            <w:tcW w:type="dxa" w:w="1587"/>
          </w:tcPr>
          <w:p>
            <w:pPr>
              <w:spacing w:before="0" w:after="0" w:line="240" w:lineRule="auto"/>
            </w:pPr>
            <w:r/>
            <w:r>
              <w:rPr>
                <w:rFonts w:ascii="Times New Roman" w:hAnsi="Times New Roman" w:cs="Times New Roman"/>
                <w:b w:val="0"/>
                <w:i w:val="0"/>
                <w:sz w:val="22"/>
              </w:rPr>
              <w:t>5/1/6</w:t>
            </w:r>
          </w:p>
        </w:tc>
        <w:tc>
          <w:tcPr>
            <w:tcW w:type="dxa" w:w="2551"/>
          </w:tcPr>
          <w:p>
            <w:pPr>
              <w:spacing w:before="0" w:after="0" w:line="240" w:lineRule="auto"/>
            </w:pPr>
            <w:r/>
            <w:r>
              <w:rPr>
                <w:rFonts w:ascii="Times New Roman" w:hAnsi="Times New Roman" w:cs="Times New Roman"/>
                <w:b w:val="0"/>
                <w:i w:val="0"/>
                <w:sz w:val="22"/>
              </w:rPr>
              <w:t>High perturbation sensitivity</w:t>
            </w:r>
          </w:p>
        </w:tc>
      </w:tr>
      <w:tr>
        <w:tc>
          <w:tcPr>
            <w:tcW w:type="dxa" w:w="2041"/>
          </w:tcPr>
          <w:p>
            <w:pPr>
              <w:spacing w:before="0" w:after="0" w:line="240" w:lineRule="auto"/>
            </w:pPr>
            <w:r/>
            <w:r>
              <w:rPr>
                <w:rFonts w:ascii="Times New Roman" w:hAnsi="Times New Roman" w:cs="Times New Roman"/>
                <w:b w:val="0"/>
                <w:i w:val="0"/>
                <w:sz w:val="22"/>
              </w:rPr>
              <w:t>Maximum acceleration</w:t>
            </w:r>
          </w:p>
        </w:tc>
        <w:tc>
          <w:tcPr>
            <w:tcW w:type="dxa" w:w="1361"/>
          </w:tcPr>
          <w:p>
            <w:pPr>
              <w:spacing w:before="0" w:after="0" w:line="240" w:lineRule="auto"/>
            </w:pPr>
            <w:r/>
            <w:r>
              <w:rPr>
                <w:rFonts w:ascii="Times New Roman" w:hAnsi="Times New Roman" w:cs="Times New Roman"/>
                <w:b w:val="0"/>
                <w:i w:val="0"/>
                <w:sz w:val="22"/>
              </w:rPr>
              <w:t>26.0</w:t>
            </w:r>
          </w:p>
        </w:tc>
        <w:tc>
          <w:tcPr>
            <w:tcW w:type="dxa" w:w="1020"/>
          </w:tcPr>
          <w:p>
            <w:pPr>
              <w:spacing w:before="0" w:after="0" w:line="240" w:lineRule="auto"/>
            </w:pPr>
            <w:r/>
            <w:r>
              <w:rPr>
                <w:rFonts w:ascii="Times New Roman" w:hAnsi="Times New Roman" w:cs="Times New Roman"/>
                <w:b w:val="0"/>
                <w:i w:val="0"/>
                <w:sz w:val="22"/>
              </w:rPr>
              <w:t>93.5</w:t>
            </w:r>
          </w:p>
        </w:tc>
        <w:tc>
          <w:tcPr>
            <w:tcW w:type="dxa" w:w="1020"/>
          </w:tcPr>
          <w:p>
            <w:pPr>
              <w:spacing w:before="0" w:after="0" w:line="240" w:lineRule="auto"/>
            </w:pPr>
            <w:r/>
            <w:r>
              <w:rPr>
                <w:rFonts w:ascii="Times New Roman" w:hAnsi="Times New Roman" w:cs="Times New Roman"/>
                <w:b w:val="0"/>
                <w:i w:val="0"/>
                <w:sz w:val="22"/>
              </w:rPr>
              <w:t>0.46</w:t>
            </w:r>
          </w:p>
        </w:tc>
        <w:tc>
          <w:tcPr>
            <w:tcW w:type="dxa" w:w="1587"/>
          </w:tcPr>
          <w:p>
            <w:pPr>
              <w:spacing w:before="0" w:after="0" w:line="240" w:lineRule="auto"/>
            </w:pPr>
            <w:r/>
            <w:r>
              <w:rPr>
                <w:rFonts w:ascii="Times New Roman" w:hAnsi="Times New Roman" w:cs="Times New Roman"/>
                <w:b w:val="0"/>
                <w:i w:val="0"/>
                <w:sz w:val="22"/>
              </w:rPr>
              <w:t>4/2/6</w:t>
            </w:r>
          </w:p>
        </w:tc>
        <w:tc>
          <w:tcPr>
            <w:tcW w:type="dxa" w:w="2551"/>
          </w:tcPr>
          <w:p>
            <w:pPr>
              <w:spacing w:before="0" w:after="0" w:line="240" w:lineRule="auto"/>
            </w:pPr>
            <w:r/>
            <w:r>
              <w:rPr>
                <w:rFonts w:ascii="Times New Roman" w:hAnsi="Times New Roman" w:cs="Times New Roman"/>
                <w:b w:val="0"/>
                <w:i w:val="0"/>
                <w:sz w:val="22"/>
              </w:rPr>
              <w:t>High perturbation sensitivity</w:t>
            </w:r>
          </w:p>
        </w:tc>
      </w:tr>
      <w:tr>
        <w:tc>
          <w:tcPr>
            <w:tcW w:type="dxa" w:w="2041"/>
          </w:tcPr>
          <w:p>
            <w:pPr>
              <w:spacing w:before="0" w:after="0" w:line="240" w:lineRule="auto"/>
            </w:pPr>
            <w:r/>
            <w:r>
              <w:rPr>
                <w:rFonts w:ascii="Times New Roman" w:hAnsi="Times New Roman" w:cs="Times New Roman"/>
                <w:b w:val="0"/>
                <w:i w:val="0"/>
                <w:sz w:val="22"/>
              </w:rPr>
              <w:t>Curvature RMS</w:t>
            </w:r>
          </w:p>
        </w:tc>
        <w:tc>
          <w:tcPr>
            <w:tcW w:type="dxa" w:w="1361"/>
          </w:tcPr>
          <w:p>
            <w:pPr>
              <w:spacing w:before="0" w:after="0" w:line="240" w:lineRule="auto"/>
            </w:pPr>
            <w:r/>
            <w:r>
              <w:rPr>
                <w:rFonts w:ascii="Times New Roman" w:hAnsi="Times New Roman" w:cs="Times New Roman"/>
                <w:b w:val="0"/>
                <w:i w:val="0"/>
                <w:sz w:val="22"/>
              </w:rPr>
              <w:t>39.6</w:t>
            </w:r>
          </w:p>
        </w:tc>
        <w:tc>
          <w:tcPr>
            <w:tcW w:type="dxa" w:w="1020"/>
          </w:tcPr>
          <w:p>
            <w:pPr>
              <w:spacing w:before="0" w:after="0" w:line="240" w:lineRule="auto"/>
            </w:pPr>
            <w:r/>
            <w:r>
              <w:rPr>
                <w:rFonts w:ascii="Times New Roman" w:hAnsi="Times New Roman" w:cs="Times New Roman"/>
                <w:b w:val="0"/>
                <w:i w:val="0"/>
                <w:sz w:val="22"/>
              </w:rPr>
              <w:t>157.4</w:t>
            </w:r>
          </w:p>
        </w:tc>
        <w:tc>
          <w:tcPr>
            <w:tcW w:type="dxa" w:w="1020"/>
          </w:tcPr>
          <w:p>
            <w:pPr>
              <w:spacing w:before="0" w:after="0" w:line="240" w:lineRule="auto"/>
            </w:pPr>
            <w:r/>
            <w:r>
              <w:rPr>
                <w:rFonts w:ascii="Times New Roman" w:hAnsi="Times New Roman" w:cs="Times New Roman"/>
                <w:b w:val="0"/>
                <w:i w:val="0"/>
                <w:sz w:val="22"/>
              </w:rPr>
              <w:t>0.93</w:t>
            </w:r>
          </w:p>
        </w:tc>
        <w:tc>
          <w:tcPr>
            <w:tcW w:type="dxa" w:w="1587"/>
          </w:tcPr>
          <w:p>
            <w:pPr>
              <w:spacing w:before="0" w:after="0" w:line="240" w:lineRule="auto"/>
            </w:pPr>
            <w:r/>
            <w:r>
              <w:rPr>
                <w:rFonts w:ascii="Times New Roman" w:hAnsi="Times New Roman" w:cs="Times New Roman"/>
                <w:b w:val="0"/>
                <w:i w:val="0"/>
                <w:sz w:val="22"/>
              </w:rPr>
              <w:t>4/1/7</w:t>
            </w:r>
          </w:p>
        </w:tc>
        <w:tc>
          <w:tcPr>
            <w:tcW w:type="dxa" w:w="2551"/>
          </w:tcPr>
          <w:p>
            <w:pPr>
              <w:spacing w:before="0" w:after="0" w:line="240" w:lineRule="auto"/>
            </w:pPr>
            <w:r/>
            <w:r>
              <w:rPr>
                <w:rFonts w:ascii="Times New Roman" w:hAnsi="Times New Roman" w:cs="Times New Roman"/>
                <w:b w:val="0"/>
                <w:i w:val="0"/>
                <w:sz w:val="22"/>
              </w:rPr>
              <w:t>High perturbation sensitivity</w:t>
            </w:r>
          </w:p>
        </w:tc>
      </w:tr>
      <w:tr>
        <w:tc>
          <w:tcPr>
            <w:tcW w:type="dxa" w:w="2041"/>
          </w:tcPr>
          <w:p>
            <w:pPr>
              <w:spacing w:before="0" w:after="0" w:line="240" w:lineRule="auto"/>
            </w:pPr>
            <w:r/>
            <w:r>
              <w:rPr>
                <w:rFonts w:ascii="Times New Roman" w:hAnsi="Times New Roman" w:cs="Times New Roman"/>
                <w:b w:val="0"/>
                <w:i w:val="0"/>
                <w:sz w:val="22"/>
              </w:rPr>
              <w:t>Backswing peak speed</w:t>
            </w:r>
          </w:p>
        </w:tc>
        <w:tc>
          <w:tcPr>
            <w:tcW w:type="dxa" w:w="1361"/>
          </w:tcPr>
          <w:p>
            <w:pPr>
              <w:spacing w:before="0" w:after="0" w:line="240" w:lineRule="auto"/>
            </w:pPr>
            <w:r/>
            <w:r>
              <w:rPr>
                <w:rFonts w:ascii="Times New Roman" w:hAnsi="Times New Roman" w:cs="Times New Roman"/>
                <w:b w:val="0"/>
                <w:i w:val="0"/>
                <w:sz w:val="22"/>
              </w:rPr>
              <w:t>53.6</w:t>
            </w:r>
          </w:p>
        </w:tc>
        <w:tc>
          <w:tcPr>
            <w:tcW w:type="dxa" w:w="1020"/>
          </w:tcPr>
          <w:p>
            <w:pPr>
              <w:spacing w:before="0" w:after="0" w:line="240" w:lineRule="auto"/>
            </w:pPr>
            <w:r/>
            <w:r>
              <w:rPr>
                <w:rFonts w:ascii="Times New Roman" w:hAnsi="Times New Roman" w:cs="Times New Roman"/>
                <w:b w:val="0"/>
                <w:i w:val="0"/>
                <w:sz w:val="22"/>
              </w:rPr>
              <w:t>179.8</w:t>
            </w:r>
          </w:p>
        </w:tc>
        <w:tc>
          <w:tcPr>
            <w:tcW w:type="dxa" w:w="1020"/>
          </w:tcPr>
          <w:p>
            <w:pPr>
              <w:spacing w:before="0" w:after="0" w:line="240" w:lineRule="auto"/>
            </w:pPr>
            <w:r/>
            <w:r>
              <w:rPr>
                <w:rFonts w:ascii="Times New Roman" w:hAnsi="Times New Roman" w:cs="Times New Roman"/>
                <w:b w:val="0"/>
                <w:i w:val="0"/>
                <w:sz w:val="22"/>
              </w:rPr>
              <w:t>0.44</w:t>
            </w:r>
          </w:p>
        </w:tc>
        <w:tc>
          <w:tcPr>
            <w:tcW w:type="dxa" w:w="1587"/>
          </w:tcPr>
          <w:p>
            <w:pPr>
              <w:spacing w:before="0" w:after="0" w:line="240" w:lineRule="auto"/>
            </w:pPr>
            <w:r/>
            <w:r>
              <w:rPr>
                <w:rFonts w:ascii="Times New Roman" w:hAnsi="Times New Roman" w:cs="Times New Roman"/>
                <w:b w:val="0"/>
                <w:i w:val="0"/>
                <w:sz w:val="22"/>
              </w:rPr>
              <w:t>4/1/7</w:t>
            </w:r>
          </w:p>
        </w:tc>
        <w:tc>
          <w:tcPr>
            <w:tcW w:type="dxa" w:w="2551"/>
          </w:tcPr>
          <w:p>
            <w:pPr>
              <w:spacing w:before="0" w:after="0" w:line="240" w:lineRule="auto"/>
            </w:pPr>
            <w:r/>
            <w:r>
              <w:rPr>
                <w:rFonts w:ascii="Times New Roman" w:hAnsi="Times New Roman" w:cs="Times New Roman"/>
                <w:b w:val="0"/>
                <w:i w:val="0"/>
                <w:sz w:val="22"/>
              </w:rPr>
              <w:t>High perturbation sensitivity</w:t>
            </w:r>
          </w:p>
        </w:tc>
      </w:tr>
      <w:tr>
        <w:tc>
          <w:tcPr>
            <w:tcW w:type="dxa" w:w="2041"/>
          </w:tcPr>
          <w:p>
            <w:pPr>
              <w:spacing w:before="0" w:after="0" w:line="240" w:lineRule="auto"/>
            </w:pPr>
            <w:r/>
            <w:r>
              <w:rPr>
                <w:rFonts w:ascii="Times New Roman" w:hAnsi="Times New Roman" w:cs="Times New Roman"/>
                <w:b w:val="0"/>
                <w:i w:val="0"/>
                <w:sz w:val="22"/>
              </w:rPr>
              <w:t>Swing tempo</w:t>
            </w:r>
          </w:p>
        </w:tc>
        <w:tc>
          <w:tcPr>
            <w:tcW w:type="dxa" w:w="1361"/>
          </w:tcPr>
          <w:p>
            <w:pPr>
              <w:spacing w:before="0" w:after="0" w:line="240" w:lineRule="auto"/>
            </w:pPr>
            <w:r/>
            <w:r>
              <w:rPr>
                <w:rFonts w:ascii="Times New Roman" w:hAnsi="Times New Roman" w:cs="Times New Roman"/>
                <w:b w:val="0"/>
                <w:i w:val="0"/>
                <w:sz w:val="22"/>
              </w:rPr>
              <w:t>74.4</w:t>
            </w:r>
          </w:p>
        </w:tc>
        <w:tc>
          <w:tcPr>
            <w:tcW w:type="dxa" w:w="1020"/>
          </w:tcPr>
          <w:p>
            <w:pPr>
              <w:spacing w:before="0" w:after="0" w:line="240" w:lineRule="auto"/>
            </w:pPr>
            <w:r/>
            <w:r>
              <w:rPr>
                <w:rFonts w:ascii="Times New Roman" w:hAnsi="Times New Roman" w:cs="Times New Roman"/>
                <w:b w:val="0"/>
                <w:i w:val="0"/>
                <w:sz w:val="22"/>
              </w:rPr>
              <w:t>160.7</w:t>
            </w:r>
          </w:p>
        </w:tc>
        <w:tc>
          <w:tcPr>
            <w:tcW w:type="dxa" w:w="1020"/>
          </w:tcPr>
          <w:p>
            <w:pPr>
              <w:spacing w:before="0" w:after="0" w:line="240" w:lineRule="auto"/>
            </w:pPr>
            <w:r/>
            <w:r>
              <w:rPr>
                <w:rFonts w:ascii="Times New Roman" w:hAnsi="Times New Roman" w:cs="Times New Roman"/>
                <w:b w:val="0"/>
                <w:i w:val="0"/>
                <w:sz w:val="22"/>
              </w:rPr>
              <w:t>0.34</w:t>
            </w:r>
          </w:p>
        </w:tc>
        <w:tc>
          <w:tcPr>
            <w:tcW w:type="dxa" w:w="1587"/>
          </w:tcPr>
          <w:p>
            <w:pPr>
              <w:spacing w:before="0" w:after="0" w:line="240" w:lineRule="auto"/>
            </w:pPr>
            <w:r/>
            <w:r>
              <w:rPr>
                <w:rFonts w:ascii="Times New Roman" w:hAnsi="Times New Roman" w:cs="Times New Roman"/>
                <w:b w:val="0"/>
                <w:i w:val="0"/>
                <w:sz w:val="22"/>
              </w:rPr>
              <w:t>4/0/8</w:t>
            </w:r>
          </w:p>
        </w:tc>
        <w:tc>
          <w:tcPr>
            <w:tcW w:type="dxa" w:w="2551"/>
          </w:tcPr>
          <w:p>
            <w:pPr>
              <w:spacing w:before="0" w:after="0" w:line="240" w:lineRule="auto"/>
            </w:pPr>
            <w:r/>
            <w:r>
              <w:rPr>
                <w:rFonts w:ascii="Times New Roman" w:hAnsi="Times New Roman" w:cs="Times New Roman"/>
                <w:b w:val="0"/>
                <w:i w:val="0"/>
                <w:sz w:val="22"/>
              </w:rPr>
              <w:t>High perturbation sensitivity</w:t>
            </w:r>
          </w:p>
        </w:tc>
      </w:tr>
    </w:tbl>
    <w:p>
      <w:pPr>
        <w:spacing w:after="120"/>
        <w:ind w:firstLine="0"/>
        <w:jc w:val="center"/>
      </w:pPr>
      <w:r>
        <w:rPr>
          <w:rFonts w:ascii="Times New Roman" w:hAnsi="Times New Roman" w:cs="Times New Roman"/>
          <w:b/>
          <w:i/>
          <w:sz w:val="16"/>
        </w:rPr>
        <w:t>Source: compiled by the authors; response bands are study-specific descriptive labels, not measurement tolerances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80"/>
        <w:ind w:firstLine="0"/>
        <w:jc w:val="center"/>
      </w:pPr>
      <w:r>
        <w:drawing>
          <wp:inline xmlns:a="http://schemas.openxmlformats.org/drawingml/2006/main" xmlns:pic="http://schemas.openxmlformats.org/drawingml/2006/picture">
            <wp:extent cx="4200000" cy="6300000"/>
            <wp:docPr id="15" name="Picture 15"/>
            <wp:cNvGraphicFramePr>
              <a:graphicFrameLocks noChangeAspect="1"/>
            </wp:cNvGraphicFramePr>
            <a:graphic>
              <a:graphicData uri="http://schemas.openxmlformats.org/drawingml/2006/picture">
                <pic:pic>
                  <pic:nvPicPr>
                    <pic:cNvPr id="0" name="fig_sensitivity_metric_heatmap.png"/>
                    <pic:cNvPicPr/>
                  </pic:nvPicPr>
                  <pic:blipFill>
                    <a:blip r:embed="rId28"/>
                    <a:stretch>
                      <a:fillRect/>
                    </a:stretch>
                  </pic:blipFill>
                  <pic:spPr>
                    <a:xfrm>
                      <a:off x="0" y="0"/>
                      <a:ext cx="4200000" cy="6300000"/>
                    </a:xfrm>
                    <a:prstGeom prst="rect"/>
                  </pic:spPr>
                </pic:pic>
              </a:graphicData>
            </a:graphic>
          </wp:inline>
        </w:drawing>
      </w:r>
    </w:p>
    <w:p>
      <w:pPr>
        <w:keepNext/>
        <w:ind w:firstLine="0"/>
        <w:jc w:val="center"/>
      </w:pPr>
      <w:r>
        <w:rPr>
          <w:rFonts w:ascii="Times New Roman" w:hAnsi="Times New Roman" w:cs="Times New Roman"/>
          <w:b w:val="0"/>
          <w:i/>
          <w:sz w:val="22"/>
        </w:rPr>
        <w:t xml:space="preserve">Fig. 6. </w:t>
      </w:r>
      <w:r>
        <w:rPr>
          <w:rFonts w:ascii="Times New Roman" w:hAnsi="Times New Roman" w:cs="Times New Roman"/>
          <w:b/>
          <w:i w:val="0"/>
          <w:sz w:val="22"/>
        </w:rPr>
        <w:t>Metric response by perturbation family</w:t>
      </w:r>
    </w:p>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60" w:after="60" w:line="240" w:lineRule="auto"/>
        <w:ind w:firstLine="425"/>
        <w:jc w:val="both"/>
      </w:pPr>
      <w:r>
        <w:rPr>
          <w:rFonts w:ascii="Times New Roman" w:hAnsi="Times New Roman" w:cs="Times New Roman"/>
          <w:b/>
          <w:i/>
          <w:sz w:val="22"/>
        </w:rPr>
        <w:t>Production-stage ablation</w:t>
      </w:r>
    </w:p>
    <w:p>
      <w:pPr>
        <w:spacing w:before="0" w:after="0" w:line="240" w:lineRule="auto"/>
        <w:ind w:firstLine="425"/>
        <w:jc w:val="both"/>
      </w:pPr>
      <w:r>
        <w:rPr>
          <w:rFonts w:ascii="Times New Roman" w:hAnsi="Times New Roman" w:cs="Times New Roman"/>
          <w:b w:val="0"/>
          <w:i w:val="0"/>
          <w:sz w:val="22"/>
        </w:rPr>
        <w:t>The corrected ablation did not show monotonic improvement (Table 7; Fig. 7). Median RMS jerk decreased from 17 334 m/s³ for raw landmarks to 14 448 after the median stage and 881 after the production Kalman stage, at which point half the sessions retained only 66 valid samples because innovation gating rejected measurements, so that variant is not directly comparable with the others. The production Rauch-Tung-Striebel stage reduced RMS jerk further to 181 m/s³ but moved a median 141.4 cm from the raw path, with a median 95th-percentile deviation of 280.7 cm, and reduced median maximum speed to 1.27 m/s. Restoring the process-noise term to the smoother's predicted covariance reduced but did not remove this behaviour, so the smoothed output still departs from the observed path far more than measurement noise would justify.</w:t>
      </w:r>
    </w:p>
    <w:p>
      <w:pPr>
        <w:spacing w:before="0" w:after="0" w:line="240" w:lineRule="auto"/>
        <w:ind w:firstLine="425"/>
        <w:jc w:val="both"/>
      </w:pPr>
      <w:r>
        <w:rPr>
          <w:rFonts w:ascii="Times New Roman" w:hAnsi="Times New Roman" w:cs="Times New Roman"/>
          <w:b w:val="0"/>
          <w:i w:val="0"/>
          <w:sz w:val="22"/>
        </w:rPr>
        <w:t>Despiking changed zero points in every one of the 71 sessions, so no contribution can be attributed to that stage under the current thresholds, and its row is numerically identical to the preceding one. Final bounded reconstruction changed a median 162 points and returned mean deviation to 1.9 cm, the closest of any stage to the observed path, but RMS jerk rose to 11 835 m/s³. The final stage therefore restores proximity to the observed path while reintroducing derivative variation. These findings identify implementation and parameter issues; they do not validate the causal benefit of each pipeline stage.</w:t>
      </w: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120"/>
        <w:ind w:firstLine="0"/>
        <w:jc w:val="center"/>
      </w:pPr>
      <w:r>
        <w:rPr>
          <w:rFonts w:ascii="Times New Roman" w:hAnsi="Times New Roman" w:cs="Times New Roman"/>
          <w:b w:val="0"/>
          <w:i/>
          <w:sz w:val="22"/>
        </w:rPr>
        <w:t xml:space="preserve">Table 7. </w:t>
      </w:r>
      <w:r>
        <w:rPr>
          <w:rFonts w:ascii="Times New Roman" w:hAnsi="Times New Roman" w:cs="Times New Roman"/>
          <w:b/>
          <w:i w:val="0"/>
          <w:sz w:val="22"/>
        </w:rPr>
        <w:t>Nested ablation of actual production stages</w:t>
      </w:r>
    </w:p>
    <w:tbl>
      <w:tblPr>
        <w:tblStyle w:val="aff2"/>
        <w:tblW w:type="auto" w:w="0"/>
        <w:jc w:val="center"/>
        <w:tblLayout w:type="fixed"/>
        <w:tblLook w:firstColumn="1" w:firstRow="1" w:lastColumn="0" w:lastRow="0" w:noHBand="0" w:noVBand="1" w:val="04A0"/>
      </w:tblPr>
      <w:tblGrid>
        <w:gridCol w:w="3061"/>
        <w:gridCol w:w="1814"/>
        <w:gridCol w:w="2041"/>
        <w:gridCol w:w="2665"/>
      </w:tblGrid>
      <w:tr>
        <w:trPr>
          <w:tblHeader/>
        </w:trPr>
        <w:tc>
          <w:tcPr>
            <w:tcW w:type="dxa" w:w="3061"/>
          </w:tcPr>
          <w:p>
            <w:pPr>
              <w:spacing w:before="0" w:after="0" w:line="240" w:lineRule="auto"/>
            </w:pPr>
            <w:r/>
            <w:r>
              <w:rPr>
                <w:rFonts w:ascii="Times New Roman" w:hAnsi="Times New Roman" w:cs="Times New Roman"/>
                <w:b/>
                <w:i w:val="0"/>
                <w:sz w:val="22"/>
              </w:rPr>
              <w:t>Stage</w:t>
            </w:r>
          </w:p>
        </w:tc>
        <w:tc>
          <w:tcPr>
            <w:tcW w:type="dxa" w:w="1814"/>
          </w:tcPr>
          <w:p>
            <w:pPr>
              <w:spacing w:before="0" w:after="0" w:line="240" w:lineRule="auto"/>
            </w:pPr>
            <w:r/>
            <w:r>
              <w:rPr>
                <w:rFonts w:ascii="Times New Roman" w:hAnsi="Times New Roman" w:cs="Times New Roman"/>
                <w:b/>
                <w:i w:val="0"/>
                <w:sz w:val="22"/>
              </w:rPr>
              <w:t>Δpoints, n</w:t>
            </w:r>
          </w:p>
        </w:tc>
        <w:tc>
          <w:tcPr>
            <w:tcW w:type="dxa" w:w="2041"/>
          </w:tcPr>
          <w:p>
            <w:pPr>
              <w:spacing w:before="0" w:after="0" w:line="240" w:lineRule="auto"/>
            </w:pPr>
            <w:r/>
            <w:r>
              <w:rPr>
                <w:rFonts w:ascii="Times New Roman" w:hAnsi="Times New Roman" w:cs="Times New Roman"/>
                <w:b/>
                <w:i w:val="0"/>
                <w:sz w:val="22"/>
              </w:rPr>
              <w:t>Δraw, cm</w:t>
            </w:r>
          </w:p>
        </w:tc>
        <w:tc>
          <w:tcPr>
            <w:tcW w:type="dxa" w:w="2665"/>
          </w:tcPr>
          <w:p>
            <w:pPr>
              <w:spacing w:before="0" w:after="0" w:line="240" w:lineRule="auto"/>
            </w:pPr>
            <w:r/>
            <w:r>
              <w:rPr>
                <w:rFonts w:ascii="Times New Roman" w:hAnsi="Times New Roman" w:cs="Times New Roman"/>
                <w:b/>
                <w:i w:val="0"/>
                <w:sz w:val="22"/>
              </w:rPr>
              <w:t>RMS jerk, m/s³</w:t>
            </w:r>
          </w:p>
        </w:tc>
      </w:tr>
      <w:tr>
        <w:tc>
          <w:tcPr>
            <w:tcW w:type="dxa" w:w="3061"/>
          </w:tcPr>
          <w:p>
            <w:pPr>
              <w:spacing w:before="0" w:after="0" w:line="240" w:lineRule="auto"/>
            </w:pPr>
            <w:r/>
            <w:r>
              <w:rPr>
                <w:rFonts w:ascii="Times New Roman" w:hAnsi="Times New Roman" w:cs="Times New Roman"/>
                <w:b w:val="0"/>
                <w:i w:val="0"/>
                <w:sz w:val="22"/>
              </w:rPr>
              <w:t>Raw landmarks</w:t>
            </w:r>
          </w:p>
        </w:tc>
        <w:tc>
          <w:tcPr>
            <w:tcW w:type="dxa" w:w="1814"/>
          </w:tcPr>
          <w:p>
            <w:pPr>
              <w:spacing w:before="0" w:after="0" w:line="240" w:lineRule="auto"/>
            </w:pPr>
            <w:r/>
            <w:r>
              <w:rPr>
                <w:rFonts w:ascii="Times New Roman" w:hAnsi="Times New Roman" w:cs="Times New Roman"/>
                <w:b w:val="0"/>
                <w:i w:val="0"/>
                <w:sz w:val="22"/>
              </w:rPr>
              <w:t>0</w:t>
            </w:r>
          </w:p>
        </w:tc>
        <w:tc>
          <w:tcPr>
            <w:tcW w:type="dxa" w:w="2041"/>
          </w:tcPr>
          <w:p>
            <w:pPr>
              <w:spacing w:before="0" w:after="0" w:line="240" w:lineRule="auto"/>
            </w:pPr>
            <w:r/>
            <w:r>
              <w:rPr>
                <w:rFonts w:ascii="Times New Roman" w:hAnsi="Times New Roman" w:cs="Times New Roman"/>
                <w:b w:val="0"/>
                <w:i w:val="0"/>
                <w:sz w:val="22"/>
              </w:rPr>
              <w:t>0.0</w:t>
            </w:r>
          </w:p>
        </w:tc>
        <w:tc>
          <w:tcPr>
            <w:tcW w:type="dxa" w:w="2665"/>
          </w:tcPr>
          <w:p>
            <w:pPr>
              <w:spacing w:before="0" w:after="0" w:line="240" w:lineRule="auto"/>
            </w:pPr>
            <w:r/>
            <w:r>
              <w:rPr>
                <w:rFonts w:ascii="Times New Roman" w:hAnsi="Times New Roman" w:cs="Times New Roman"/>
                <w:b w:val="0"/>
                <w:i w:val="0"/>
                <w:sz w:val="22"/>
              </w:rPr>
              <w:t>17334</w:t>
            </w:r>
          </w:p>
        </w:tc>
      </w:tr>
      <w:tr>
        <w:tc>
          <w:tcPr>
            <w:tcW w:type="dxa" w:w="3061"/>
          </w:tcPr>
          <w:p>
            <w:pPr>
              <w:spacing w:before="0" w:after="0" w:line="240" w:lineRule="auto"/>
            </w:pPr>
            <w:r/>
            <w:r>
              <w:rPr>
                <w:rFonts w:ascii="Times New Roman" w:hAnsi="Times New Roman" w:cs="Times New Roman"/>
                <w:b w:val="0"/>
                <w:i w:val="0"/>
                <w:sz w:val="22"/>
              </w:rPr>
              <w:t>Median only</w:t>
            </w:r>
          </w:p>
        </w:tc>
        <w:tc>
          <w:tcPr>
            <w:tcW w:type="dxa" w:w="1814"/>
          </w:tcPr>
          <w:p>
            <w:pPr>
              <w:spacing w:before="0" w:after="0" w:line="240" w:lineRule="auto"/>
            </w:pPr>
            <w:r/>
            <w:r>
              <w:rPr>
                <w:rFonts w:ascii="Times New Roman" w:hAnsi="Times New Roman" w:cs="Times New Roman"/>
                <w:b w:val="0"/>
                <w:i w:val="0"/>
                <w:sz w:val="22"/>
              </w:rPr>
              <w:t>143</w:t>
            </w:r>
          </w:p>
        </w:tc>
        <w:tc>
          <w:tcPr>
            <w:tcW w:type="dxa" w:w="2041"/>
          </w:tcPr>
          <w:p>
            <w:pPr>
              <w:spacing w:before="0" w:after="0" w:line="240" w:lineRule="auto"/>
            </w:pPr>
            <w:r/>
            <w:r>
              <w:rPr>
                <w:rFonts w:ascii="Times New Roman" w:hAnsi="Times New Roman" w:cs="Times New Roman"/>
                <w:b w:val="0"/>
                <w:i w:val="0"/>
                <w:sz w:val="22"/>
              </w:rPr>
              <w:t>15.3</w:t>
            </w:r>
          </w:p>
        </w:tc>
        <w:tc>
          <w:tcPr>
            <w:tcW w:type="dxa" w:w="2665"/>
          </w:tcPr>
          <w:p>
            <w:pPr>
              <w:spacing w:before="0" w:after="0" w:line="240" w:lineRule="auto"/>
            </w:pPr>
            <w:r/>
            <w:r>
              <w:rPr>
                <w:rFonts w:ascii="Times New Roman" w:hAnsi="Times New Roman" w:cs="Times New Roman"/>
                <w:b w:val="0"/>
                <w:i w:val="0"/>
                <w:sz w:val="22"/>
              </w:rPr>
              <w:t>14448</w:t>
            </w:r>
          </w:p>
        </w:tc>
      </w:tr>
      <w:tr>
        <w:tc>
          <w:tcPr>
            <w:tcW w:type="dxa" w:w="3061"/>
          </w:tcPr>
          <w:p>
            <w:pPr>
              <w:spacing w:before="0" w:after="0" w:line="240" w:lineRule="auto"/>
            </w:pPr>
            <w:r/>
            <w:r>
              <w:rPr>
                <w:rFonts w:ascii="Times New Roman" w:hAnsi="Times New Roman" w:cs="Times New Roman"/>
                <w:b w:val="0"/>
                <w:i w:val="0"/>
                <w:sz w:val="22"/>
              </w:rPr>
              <w:t>Kalman only</w:t>
            </w:r>
          </w:p>
        </w:tc>
        <w:tc>
          <w:tcPr>
            <w:tcW w:type="dxa" w:w="1814"/>
          </w:tcPr>
          <w:p>
            <w:pPr>
              <w:spacing w:before="0" w:after="0" w:line="240" w:lineRule="auto"/>
            </w:pPr>
            <w:r/>
            <w:r>
              <w:rPr>
                <w:rFonts w:ascii="Times New Roman" w:hAnsi="Times New Roman" w:cs="Times New Roman"/>
                <w:b w:val="0"/>
                <w:i w:val="0"/>
                <w:sz w:val="22"/>
              </w:rPr>
              <w:t>157</w:t>
            </w:r>
          </w:p>
        </w:tc>
        <w:tc>
          <w:tcPr>
            <w:tcW w:type="dxa" w:w="2041"/>
          </w:tcPr>
          <w:p>
            <w:pPr>
              <w:spacing w:before="0" w:after="0" w:line="240" w:lineRule="auto"/>
            </w:pPr>
            <w:r/>
            <w:r>
              <w:rPr>
                <w:rFonts w:ascii="Times New Roman" w:hAnsi="Times New Roman" w:cs="Times New Roman"/>
                <w:b w:val="0"/>
                <w:i w:val="0"/>
                <w:sz w:val="22"/>
              </w:rPr>
              <w:t>9.4</w:t>
            </w:r>
          </w:p>
        </w:tc>
        <w:tc>
          <w:tcPr>
            <w:tcW w:type="dxa" w:w="2665"/>
          </w:tcPr>
          <w:p>
            <w:pPr>
              <w:spacing w:before="0" w:after="0" w:line="240" w:lineRule="auto"/>
            </w:pPr>
            <w:r/>
            <w:r>
              <w:rPr>
                <w:rFonts w:ascii="Times New Roman" w:hAnsi="Times New Roman" w:cs="Times New Roman"/>
                <w:b w:val="0"/>
                <w:i w:val="0"/>
                <w:sz w:val="22"/>
              </w:rPr>
              <w:t>881</w:t>
            </w:r>
          </w:p>
        </w:tc>
      </w:tr>
      <w:tr>
        <w:tc>
          <w:tcPr>
            <w:tcW w:type="dxa" w:w="3061"/>
          </w:tcPr>
          <w:p>
            <w:pPr>
              <w:spacing w:before="0" w:after="0" w:line="240" w:lineRule="auto"/>
            </w:pPr>
            <w:r/>
            <w:r>
              <w:rPr>
                <w:rFonts w:ascii="Times New Roman" w:hAnsi="Times New Roman" w:cs="Times New Roman"/>
                <w:b w:val="0"/>
                <w:i w:val="0"/>
                <w:sz w:val="22"/>
              </w:rPr>
              <w:t>Kalman + RTS</w:t>
            </w:r>
          </w:p>
        </w:tc>
        <w:tc>
          <w:tcPr>
            <w:tcW w:type="dxa" w:w="1814"/>
          </w:tcPr>
          <w:p>
            <w:pPr>
              <w:spacing w:before="0" w:after="0" w:line="240" w:lineRule="auto"/>
            </w:pPr>
            <w:r/>
            <w:r>
              <w:rPr>
                <w:rFonts w:ascii="Times New Roman" w:hAnsi="Times New Roman" w:cs="Times New Roman"/>
                <w:b w:val="0"/>
                <w:i w:val="0"/>
                <w:sz w:val="22"/>
              </w:rPr>
              <w:t>162</w:t>
            </w:r>
          </w:p>
        </w:tc>
        <w:tc>
          <w:tcPr>
            <w:tcW w:type="dxa" w:w="2041"/>
          </w:tcPr>
          <w:p>
            <w:pPr>
              <w:spacing w:before="0" w:after="0" w:line="240" w:lineRule="auto"/>
            </w:pPr>
            <w:r/>
            <w:r>
              <w:rPr>
                <w:rFonts w:ascii="Times New Roman" w:hAnsi="Times New Roman" w:cs="Times New Roman"/>
                <w:b w:val="0"/>
                <w:i w:val="0"/>
                <w:sz w:val="22"/>
              </w:rPr>
              <w:t>141.4</w:t>
            </w:r>
          </w:p>
        </w:tc>
        <w:tc>
          <w:tcPr>
            <w:tcW w:type="dxa" w:w="2665"/>
          </w:tcPr>
          <w:p>
            <w:pPr>
              <w:spacing w:before="0" w:after="0" w:line="240" w:lineRule="auto"/>
            </w:pPr>
            <w:r/>
            <w:r>
              <w:rPr>
                <w:rFonts w:ascii="Times New Roman" w:hAnsi="Times New Roman" w:cs="Times New Roman"/>
                <w:b w:val="0"/>
                <w:i w:val="0"/>
                <w:sz w:val="22"/>
              </w:rPr>
              <w:t>181</w:t>
            </w:r>
          </w:p>
        </w:tc>
      </w:tr>
      <w:tr>
        <w:tc>
          <w:tcPr>
            <w:tcW w:type="dxa" w:w="3061"/>
          </w:tcPr>
          <w:p>
            <w:pPr>
              <w:spacing w:before="0" w:after="0" w:line="240" w:lineRule="auto"/>
            </w:pPr>
            <w:r/>
            <w:r>
              <w:rPr>
                <w:rFonts w:ascii="Times New Roman" w:hAnsi="Times New Roman" w:cs="Times New Roman"/>
                <w:b w:val="0"/>
                <w:i w:val="0"/>
                <w:sz w:val="22"/>
              </w:rPr>
              <w:t>Kalman + RTS + despiking</w:t>
            </w:r>
          </w:p>
        </w:tc>
        <w:tc>
          <w:tcPr>
            <w:tcW w:type="dxa" w:w="1814"/>
          </w:tcPr>
          <w:p>
            <w:pPr>
              <w:spacing w:before="0" w:after="0" w:line="240" w:lineRule="auto"/>
            </w:pPr>
            <w:r/>
            <w:r>
              <w:rPr>
                <w:rFonts w:ascii="Times New Roman" w:hAnsi="Times New Roman" w:cs="Times New Roman"/>
                <w:b w:val="0"/>
                <w:i w:val="0"/>
                <w:sz w:val="22"/>
              </w:rPr>
              <w:t>0</w:t>
            </w:r>
          </w:p>
        </w:tc>
        <w:tc>
          <w:tcPr>
            <w:tcW w:type="dxa" w:w="2041"/>
          </w:tcPr>
          <w:p>
            <w:pPr>
              <w:spacing w:before="0" w:after="0" w:line="240" w:lineRule="auto"/>
            </w:pPr>
            <w:r/>
            <w:r>
              <w:rPr>
                <w:rFonts w:ascii="Times New Roman" w:hAnsi="Times New Roman" w:cs="Times New Roman"/>
                <w:b w:val="0"/>
                <w:i w:val="0"/>
                <w:sz w:val="22"/>
              </w:rPr>
              <w:t>141.4</w:t>
            </w:r>
          </w:p>
        </w:tc>
        <w:tc>
          <w:tcPr>
            <w:tcW w:type="dxa" w:w="2665"/>
          </w:tcPr>
          <w:p>
            <w:pPr>
              <w:spacing w:before="0" w:after="0" w:line="240" w:lineRule="auto"/>
            </w:pPr>
            <w:r/>
            <w:r>
              <w:rPr>
                <w:rFonts w:ascii="Times New Roman" w:hAnsi="Times New Roman" w:cs="Times New Roman"/>
                <w:b w:val="0"/>
                <w:i w:val="0"/>
                <w:sz w:val="22"/>
              </w:rPr>
              <w:t>181</w:t>
            </w:r>
          </w:p>
        </w:tc>
      </w:tr>
      <w:tr>
        <w:tc>
          <w:tcPr>
            <w:tcW w:type="dxa" w:w="3061"/>
          </w:tcPr>
          <w:p>
            <w:pPr>
              <w:spacing w:before="0" w:after="0" w:line="240" w:lineRule="auto"/>
            </w:pPr>
            <w:r/>
            <w:r>
              <w:rPr>
                <w:rFonts w:ascii="Times New Roman" w:hAnsi="Times New Roman" w:cs="Times New Roman"/>
                <w:b w:val="0"/>
                <w:i w:val="0"/>
                <w:sz w:val="22"/>
              </w:rPr>
              <w:t>Full pipeline</w:t>
            </w:r>
          </w:p>
        </w:tc>
        <w:tc>
          <w:tcPr>
            <w:tcW w:type="dxa" w:w="1814"/>
          </w:tcPr>
          <w:p>
            <w:pPr>
              <w:spacing w:before="0" w:after="0" w:line="240" w:lineRule="auto"/>
            </w:pPr>
            <w:r/>
            <w:r>
              <w:rPr>
                <w:rFonts w:ascii="Times New Roman" w:hAnsi="Times New Roman" w:cs="Times New Roman"/>
                <w:b w:val="0"/>
                <w:i w:val="0"/>
                <w:sz w:val="22"/>
              </w:rPr>
              <w:t>162</w:t>
            </w:r>
          </w:p>
        </w:tc>
        <w:tc>
          <w:tcPr>
            <w:tcW w:type="dxa" w:w="2041"/>
          </w:tcPr>
          <w:p>
            <w:pPr>
              <w:spacing w:before="0" w:after="0" w:line="240" w:lineRule="auto"/>
            </w:pPr>
            <w:r/>
            <w:r>
              <w:rPr>
                <w:rFonts w:ascii="Times New Roman" w:hAnsi="Times New Roman" w:cs="Times New Roman"/>
                <w:b w:val="0"/>
                <w:i w:val="0"/>
                <w:sz w:val="22"/>
              </w:rPr>
              <w:t>1.9</w:t>
            </w:r>
          </w:p>
        </w:tc>
        <w:tc>
          <w:tcPr>
            <w:tcW w:type="dxa" w:w="2665"/>
          </w:tcPr>
          <w:p>
            <w:pPr>
              <w:spacing w:before="0" w:after="0" w:line="240" w:lineRule="auto"/>
            </w:pPr>
            <w:r/>
            <w:r>
              <w:rPr>
                <w:rFonts w:ascii="Times New Roman" w:hAnsi="Times New Roman" w:cs="Times New Roman"/>
                <w:b w:val="0"/>
                <w:i w:val="0"/>
                <w:sz w:val="22"/>
              </w:rPr>
              <w:t>11835</w:t>
            </w:r>
          </w:p>
        </w:tc>
      </w:tr>
    </w:tbl>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spacing w:before="0" w:after="0" w:line="240" w:lineRule="auto"/>
        <w:ind w:firstLine="0"/>
        <w:rPr>
          <w:sz w:val="2"/>
        </w:rPr>
        <w:sectPr w:rsidR="00E0199E">
          <w:type w:val="continuous"/>
          <w:pgSz w:w="11906" w:h="16838"/>
          <w:pgMar w:top="1134" w:right="1134" w:bottom="1417" w:left="1134" w:header="720" w:footer="720" w:gutter="0"/>
          <w:cols w:num="2" w:space="283"/>
          <w:docGrid w:linePitch="360"/>
        </w:sectPr>
      </w:pPr>
    </w:p>
    <w:p>
      <w:pPr>
        <w:keepNext/>
        <w:spacing w:before="80"/>
        <w:ind w:firstLine="0"/>
        <w:jc w:val="center"/>
      </w:pPr>
      <w:r>
        <w:drawing>
          <wp:inline xmlns:a="http://schemas.openxmlformats.org/drawingml/2006/main" xmlns:pic="http://schemas.openxmlformats.org/drawingml/2006/picture">
            <wp:extent cx="4800000" cy="6300000"/>
            <wp:docPr id="16" name="Picture 16"/>
            <wp:cNvGraphicFramePr>
              <a:graphicFrameLocks noChangeAspect="1"/>
            </wp:cNvGraphicFramePr>
            <a:graphic>
              <a:graphicData uri="http://schemas.openxmlformats.org/drawingml/2006/picture">
                <pic:pic>
                  <pic:nvPicPr>
                    <pic:cNvPr id="0" name="fig_ablation_jerk_reduction.png"/>
                    <pic:cNvPicPr/>
                  </pic:nvPicPr>
                  <pic:blipFill>
                    <a:blip r:embed="rId29"/>
                    <a:stretch>
                      <a:fillRect/>
                    </a:stretch>
                  </pic:blipFill>
                  <pic:spPr>
                    <a:xfrm>
                      <a:off x="0" y="0"/>
                      <a:ext cx="4800000" cy="6300000"/>
                    </a:xfrm>
                    <a:prstGeom prst="rect"/>
                  </pic:spPr>
                </pic:pic>
              </a:graphicData>
            </a:graphic>
          </wp:inline>
        </w:drawing>
      </w:r>
    </w:p>
    <w:p>
      <w:pPr>
        <w:keepNext/>
        <w:ind w:firstLine="0"/>
        <w:jc w:val="center"/>
      </w:pPr>
      <w:r>
        <w:rPr>
          <w:rFonts w:ascii="Times New Roman" w:hAnsi="Times New Roman" w:cs="Times New Roman"/>
          <w:b w:val="0"/>
          <w:i/>
          <w:sz w:val="22"/>
        </w:rPr>
        <w:t xml:space="preserve">Fig. 7. </w:t>
      </w:r>
      <w:r>
        <w:rPr>
          <w:rFonts w:ascii="Times New Roman" w:hAnsi="Times New Roman" w:cs="Times New Roman"/>
          <w:b/>
          <w:i w:val="0"/>
          <w:sz w:val="22"/>
        </w:rPr>
        <w:t>Root-mean-square jerk across production stages</w:t>
      </w:r>
    </w:p>
    <w:p>
      <w:pPr>
        <w:spacing w:after="120"/>
        <w:ind w:firstLine="0"/>
        <w:jc w:val="center"/>
      </w:pPr>
      <w:r>
        <w:rPr>
          <w:rFonts w:ascii="Times New Roman" w:hAnsi="Times New Roman" w:cs="Times New Roman"/>
          <w:b/>
          <w:i/>
          <w:sz w:val="16"/>
        </w:rPr>
        <w:t>Source: compiled by the authors</w:t>
      </w:r>
    </w:p>
    <w:p>
      <w:pPr>
        <w:spacing w:before="0" w:after="0" w:line="240" w:lineRule="auto"/>
        <w:ind w:firstLine="0"/>
        <w:rPr>
          <w:sz w:val="2"/>
        </w:rPr>
        <w:sectPr w:rsidR="00E0199E">
          <w:type w:val="continuous"/>
          <w:pgSz w:w="11906" w:h="16838"/>
          <w:pgMar w:top="1134" w:right="1134" w:bottom="1417" w:left="1134" w:header="720" w:footer="720" w:gutter="0"/>
          <w:cols w:num="1" w:space="283"/>
          <w:docGrid w:linePitch="360"/>
        </w:sectPr>
      </w:pPr>
    </w:p>
    <w:p>
      <w:pPr>
        <w:keepNext/>
        <w:spacing w:before="120" w:after="120" w:line="240" w:lineRule="auto"/>
        <w:ind w:firstLine="0"/>
        <w:jc w:val="center"/>
      </w:pPr>
      <w:r>
        <w:rPr>
          <w:rFonts w:ascii="Times New Roman" w:hAnsi="Times New Roman" w:cs="Times New Roman"/>
          <w:b/>
          <w:i w:val="0"/>
          <w:sz w:val="22"/>
        </w:rPr>
        <w:t>DISCUSSION OF RESULTS</w:t>
      </w:r>
    </w:p>
    <w:p>
      <w:pPr>
        <w:spacing w:before="0" w:after="0" w:line="240" w:lineRule="auto"/>
        <w:ind w:firstLine="425"/>
        <w:jc w:val="both"/>
      </w:pPr>
      <w:r>
        <w:rPr>
          <w:rFonts w:ascii="Times New Roman" w:hAnsi="Times New Roman" w:cs="Times New Roman"/>
          <w:b w:val="0"/>
          <w:i w:val="0"/>
          <w:sz w:val="22"/>
        </w:rPr>
        <w:t>The central result is bounded by the reference rather than by the algorithm. Selected-frame clubhead positions agreed with the two-annotator consensus to a session-level median of 2.54% of the image diagonal, and the point-level discrepancy was smaller than the disagreement between the two annotators on the same frames. That ordering is the key interpretive fact: with a reference whose own median disagreement is 4.03% of the diagonal, and whose within-observer repetition is no tighter, this design cannot demonstrate tracker accuracy below a few per cent of the frame. Reporting a single number without that comparison would overstate what a sparse visual reference can support, and the threefold change in magnitude between the consensus and a single-annotator reference makes the same point quantitatively. The centimetre estimate remains secondary because the evaluated workflow supplied its own scale and actual club lengths were not available.</w:t>
      </w:r>
    </w:p>
    <w:p>
      <w:pPr>
        <w:spacing w:before="0" w:after="0" w:line="240" w:lineRule="auto"/>
        <w:ind w:firstLine="425"/>
        <w:jc w:val="both"/>
      </w:pPr>
      <w:r>
        <w:rPr>
          <w:rFonts w:ascii="Times New Roman" w:hAnsi="Times New Roman" w:cs="Times New Roman"/>
          <w:b w:val="0"/>
          <w:i w:val="0"/>
          <w:sz w:val="22"/>
        </w:rPr>
        <w:t>Adding a second annotator and a repeat round therefore did more than satisfy a reviewer requirement: it changed the conclusion. The intra-rater round shows that the dispersion is not a disagreement between people about swing mechanics, since one observer repeating the same frames scattered as widely as two observers did. What limits precision is the operational definition of a clubhead point on blurred, fast-moving frames, and improving it - for example by annotating a geometrically defined landmark such as the shaft-head junction, or by restricting annotation to frames with a resolvable head - is a prerequisite for any tighter geometric claim.</w:t>
      </w:r>
    </w:p>
    <w:p>
      <w:pPr>
        <w:spacing w:before="0" w:after="0" w:line="240" w:lineRule="auto"/>
        <w:ind w:firstLine="425"/>
        <w:jc w:val="both"/>
      </w:pPr>
      <w:r>
        <w:rPr>
          <w:rFonts w:ascii="Times New Roman" w:hAnsi="Times New Roman" w:cs="Times New Roman"/>
          <w:b w:val="0"/>
          <w:i w:val="0"/>
          <w:sz w:val="22"/>
        </w:rPr>
        <w:t>The timing audit materially changes interpretation of the event result. Presentation-time and landmark-grid discrepancies were at most tens of milliseconds and the inter-rater event disagreement was 4 frames, whereas the automatic event disagreement was 38 to 40 frames, or 780 to 940 ms. The large early bias therefore survives both a processed-video time-base check and an explicit measurement of reference uncertainty, which is what distinguishes it from the trajectory result. The transition comparison additionally exposed a definition problem: one automatic transition output had been presented as if it independently detected top of backswing and downswing transition. The revised analysis treats these as two comparisons of one proxy, and the human data support that treatment, because the annotators themselves separated the two events by a median of only 3 frames. Source-video trimming and preprocessing history remain unverified.</w:t>
      </w:r>
    </w:p>
    <w:p>
      <w:pPr>
        <w:spacing w:before="0" w:after="0" w:line="240" w:lineRule="auto"/>
        <w:ind w:firstLine="425"/>
        <w:jc w:val="both"/>
      </w:pPr>
      <w:r>
        <w:rPr>
          <w:rFonts w:ascii="Times New Roman" w:hAnsi="Times New Roman" w:cs="Times New Roman"/>
          <w:b w:val="0"/>
          <w:i w:val="0"/>
          <w:sz w:val="22"/>
        </w:rPr>
        <w:t>The perturbation study supports a relative statement, not a validity claim. Path efficiency and smoothness index responded less than the other tested outputs and reached no high-response scenario, but neither has been validated against expertise, shot outcome, coach judgement, or user benefit, and path efficiency still changed by 24.8% under the larger jitter dose. Rank preservation ran in the opposite direction to magnitude stability, with curvature RMS and maximum angular velocity retaining session ordering better than the two least responsive metrics, which shows why a single "robust" label is inadequate. Numerical stability is one property of an implementation; construct validity and application tolerance are separate questions.</w:t>
      </w:r>
    </w:p>
    <w:p>
      <w:pPr>
        <w:spacing w:before="0" w:after="0" w:line="240" w:lineRule="auto"/>
        <w:ind w:firstLine="425"/>
        <w:jc w:val="both"/>
      </w:pPr>
      <w:r>
        <w:rPr>
          <w:rFonts w:ascii="Times New Roman" w:hAnsi="Times New Roman" w:cs="Times New Roman"/>
          <w:b w:val="0"/>
          <w:i w:val="0"/>
          <w:sz w:val="22"/>
        </w:rPr>
        <w:t>The production-stage ablation is a central diagnostic result of the study. Correcting the smoother's predicted covariance was necessary for the production and ablation paths to describe the same algorithm, but the corrected stage still moved the trajectory more than a metre from the observed path. Despiking did not activate under the current thresholds, whereas bounded reconstruction returned the trajectory toward the observations while increasing derivative variation. These findings show that the visually acceptable final output is partly produced by compensating behaviour between stages rather than by monotonic improvement through the processing chain.</w:t>
      </w:r>
    </w:p>
    <w:p>
      <w:pPr>
        <w:spacing w:before="0" w:after="0" w:line="240" w:lineRule="auto"/>
        <w:ind w:firstLine="425"/>
        <w:jc w:val="both"/>
      </w:pPr>
      <w:r>
        <w:rPr>
          <w:rFonts w:ascii="Times New Roman" w:hAnsi="Times New Roman" w:cs="Times New Roman"/>
          <w:b w:val="0"/>
          <w:i w:val="0"/>
          <w:sz w:val="22"/>
        </w:rPr>
        <w:t>This stage-level behaviour is precisely why evaluation of the implemented production configuration is informative. The purpose of the present study is not to certify every pipeline component as successful, but to determine whether the available evidence supports the final output and to expose internal failure modes that would remain hidden if only visually plausible trajectories were inspected. The smoother, despiking, and reconstruction findings therefore define explicit redesign targets and establish a diagnostic baseline for the next development stage. Their presence does not weaken the logic of the evaluation; it demonstrates the need for production-stage ablation as part of a rigorous markerless-motion assessment.</w:t>
      </w:r>
    </w:p>
    <w:p>
      <w:pPr>
        <w:spacing w:before="0" w:after="0" w:line="240" w:lineRule="auto"/>
        <w:ind w:firstLine="425"/>
        <w:jc w:val="both"/>
      </w:pPr>
      <w:r>
        <w:rPr>
          <w:rFonts w:ascii="Times New Roman" w:hAnsi="Times New Roman" w:cs="Times New Roman"/>
          <w:b w:val="0"/>
          <w:i w:val="0"/>
          <w:sz w:val="22"/>
        </w:rPr>
        <w:t>The present article should therefore be read as a diagnostic baseline study of the current production workflow. Retuning the smoother, changing the inactive despiking thresholds, or redesigning the reconstruction stage would create a new algorithmic configuration and should be evaluated against this baseline in a subsequent development cycle. Keeping the current configuration as the evaluated object preserves the causal interpretability of the reported failure modes and prevents post hoc optimization from being conflated with independent assessment.</w:t>
      </w:r>
    </w:p>
    <w:p>
      <w:pPr>
        <w:spacing w:before="0" w:after="0" w:line="240" w:lineRule="auto"/>
        <w:ind w:firstLine="425"/>
        <w:jc w:val="both"/>
      </w:pPr>
      <w:r>
        <w:rPr>
          <w:rFonts w:ascii="Times New Roman" w:hAnsi="Times New Roman" w:cs="Times New Roman"/>
          <w:b w:val="0"/>
          <w:i w:val="0"/>
          <w:sz w:val="22"/>
        </w:rPr>
        <w:t>The study has substantial limitations. The reference is sparse, two-dimensional, and imprecise at the scale discussed above, and it covers frames chosen because a click was possible, which creates verification bias. Two annotators and one repeat round support agreement statistics but no intraclass correlation, standard error of measurement, or minimal detectable change, because participant identities and repeated athlete trials are unavailable. Points are clustered within sessions and viewpoint groups are imbalanced. The consensus mean rule is disclosed but arbitrary; an expert re-adjudication of each disagreement would give a different reference. The perturbations are author-defined stress tests with one stochastic realization per session. Monocular two-dimensional coordinates cannot resolve depth, perspective, or foreshortening. Participant identities and detailed acquisition metadata are unavailable in the export. These limitations affect the strength of the conclusions and are not dismissed as inconsequential.</w:t>
      </w:r>
    </w:p>
    <w:p>
      <w:pPr>
        <w:spacing w:before="0" w:after="0" w:line="240" w:lineRule="auto"/>
        <w:ind w:firstLine="425"/>
        <w:jc w:val="both"/>
      </w:pPr>
      <w:r>
        <w:rPr>
          <w:rFonts w:ascii="Times New Roman" w:hAnsi="Times New Roman" w:cs="Times New Roman"/>
          <w:b w:val="0"/>
          <w:i w:val="0"/>
          <w:sz w:val="22"/>
        </w:rPr>
        <w:t>For application, the observed agreement may be compatible with coarse trajectory visualization in some settings, but application-specific acceptability thresholds have not been established, and the event output is not usable for phase-based feedback. The data do not justify biomechanical impact analysis, athlete-to-athlete comparison, real-time reliability claims, or unqualified coaching and virtual-reality feedback. Such uses require an independently calibrated reference, verified provenance, repeated athlete trials, a tighter annotation definition, and a user- or task-specific tolerance study.</w:t>
      </w:r>
    </w:p>
    <w:p>
      <w:pPr>
        <w:keepNext/>
        <w:spacing w:before="120" w:after="120" w:line="240" w:lineRule="auto"/>
        <w:ind w:firstLine="0"/>
        <w:jc w:val="center"/>
      </w:pPr>
      <w:r>
        <w:rPr>
          <w:rFonts w:ascii="Times New Roman" w:hAnsi="Times New Roman" w:cs="Times New Roman"/>
          <w:b/>
          <w:i w:val="0"/>
          <w:sz w:val="22"/>
        </w:rPr>
        <w:t>CONCLUSIONS</w:t>
      </w:r>
    </w:p>
    <w:p>
      <w:pPr>
        <w:spacing w:before="0" w:after="0" w:line="240" w:lineRule="auto"/>
        <w:ind w:firstLine="425"/>
        <w:jc w:val="both"/>
      </w:pPr>
      <w:r>
        <w:rPr>
          <w:rFonts w:ascii="Times New Roman" w:hAnsi="Times New Roman" w:cs="Times New Roman"/>
          <w:b w:val="0"/>
          <w:i w:val="0"/>
          <w:sz w:val="22"/>
        </w:rPr>
        <w:t>The study demonstrates that the current workflow disagrees substantially with a two-annotator consensus on event frames, firing a median 38 to 40 frames, or 780 to 940 ms, early. That disagreement is about ten times the inter-rater event disagreement of 4 frames and two orders of magnitude larger than the 67 ms maximum time-base discrepancy, so it reflects detector behaviour rather than reference noise or synchronization error. One automatic transition output had additionally been compared with two manual definitions that the annotators themselves separated by a median of only 3 frames.</w:t>
      </w:r>
    </w:p>
    <w:p>
      <w:pPr>
        <w:spacing w:before="0" w:after="0" w:line="240" w:lineRule="auto"/>
        <w:ind w:firstLine="425"/>
        <w:jc w:val="both"/>
      </w:pPr>
      <w:r>
        <w:rPr>
          <w:rFonts w:ascii="Times New Roman" w:hAnsi="Times New Roman" w:cs="Times New Roman"/>
          <w:b w:val="0"/>
          <w:i w:val="0"/>
          <w:sz w:val="22"/>
        </w:rPr>
        <w:t>For selected clubhead frames, the median of session-specific discrepancies with the consensus was 2.54% of the image diagonal, or 46.2 pixels, with 14.7% of points above 100 pixels and 2.0% above 500 pixels. Because the two annotators disagreed by a median of 4.03% of the diagonal, and because one annotator repeating the same frames was no more consistent, this result establishes agreement at the resolution the reference can support and does not establish tracker accuracy below that level.</w:t>
      </w:r>
    </w:p>
    <w:p>
      <w:pPr>
        <w:spacing w:before="0" w:after="0" w:line="240" w:lineRule="auto"/>
        <w:ind w:firstLine="425"/>
        <w:jc w:val="both"/>
      </w:pPr>
      <w:r>
        <w:rPr>
          <w:rFonts w:ascii="Times New Roman" w:hAnsi="Times New Roman" w:cs="Times New Roman"/>
          <w:b w:val="0"/>
          <w:i w:val="0"/>
          <w:sz w:val="22"/>
        </w:rPr>
        <w:t>Path efficiency and smoothness index showed the lowest response to the 12 study-specific perturbations, with no high-response scenario, while derivative metrics showed larger magnitude responses but sometimes better rank preservation. These results describe numerical sensitivity only. They do not establish that any metric validly measures swing quality or is suitable for cross-athlete comparison.</w:t>
      </w:r>
    </w:p>
    <w:p>
      <w:pPr>
        <w:spacing w:before="0" w:after="0" w:line="240" w:lineRule="auto"/>
        <w:ind w:firstLine="425"/>
        <w:jc w:val="both"/>
      </w:pPr>
      <w:r>
        <w:rPr>
          <w:rFonts w:ascii="Times New Roman" w:hAnsi="Times New Roman" w:cs="Times New Roman"/>
          <w:b w:val="0"/>
          <w:i w:val="0"/>
          <w:sz w:val="22"/>
        </w:rPr>
        <w:t>The production-stage ablation identified three concrete redesign targets in the current configuration: excessive departure of the Rauch-Tung-Striebel smoothed trajectory from the observed path, no activation of despiking under the tested thresholds, and renewed derivative variation after final bounded reconstruction. These stage-level findings are part of the study's contribution because they explain how a visually plausible final trajectory can coexist with problematic internal behaviour. The current results therefore establish a reproducible diagnostic baseline against which a retuned or redesigned pipeline can subsequently be evaluated. The contribution of this article is a multi-rater reference protocol, an explicit measurement of reference precision, a bounded 2D algorithm-reference agreement analysis, and a production-level stress-test and failure-mode characterization; it does not claim full external biomechanical validation or athlete-level reliability.</w:t>
      </w:r>
    </w:p>
    <w:p>
      <w:pPr>
        <w:keepNext/>
        <w:spacing w:before="120" w:after="120" w:line="240" w:lineRule="auto"/>
        <w:ind w:firstLine="0"/>
        <w:jc w:val="center"/>
      </w:pPr>
      <w:r>
        <w:rPr>
          <w:rFonts w:ascii="Times New Roman" w:hAnsi="Times New Roman" w:cs="Times New Roman"/>
          <w:b/>
          <w:i w:val="0"/>
          <w:sz w:val="22"/>
        </w:rPr>
        <w:t>ACKNOWLEDGMENTS</w:t>
      </w:r>
    </w:p>
    <w:p>
      <w:pPr>
        <w:spacing w:before="0" w:after="0" w:line="240" w:lineRule="auto"/>
        <w:ind w:firstLine="425"/>
        <w:jc w:val="both"/>
      </w:pPr>
      <w:r>
        <w:rPr>
          <w:rFonts w:ascii="Times New Roman" w:hAnsi="Times New Roman" w:cs="Times New Roman"/>
          <w:b w:val="0"/>
          <w:i w:val="0"/>
          <w:sz w:val="22"/>
        </w:rPr>
        <w:t>The authors thank Daria Plokhotniuk for independent reference annotation, and the research supervisor and collaborators who reviewed the manuscript and the motion-analysis workflow. Responsibility for the data, analysis, interpretation, and final text remains with the authors.</w:t>
      </w:r>
    </w:p>
    <w:p>
      <w:pPr>
        <w:spacing w:before="0" w:after="0" w:line="240" w:lineRule="auto"/>
        <w:ind w:firstLine="425"/>
        <w:jc w:val="both"/>
      </w:pPr>
      <w:r>
        <w:rPr>
          <w:rFonts w:ascii="Times New Roman" w:hAnsi="Times New Roman" w:cs="Times New Roman"/>
          <w:b w:val="0"/>
          <w:i w:val="0"/>
          <w:sz w:val="22"/>
        </w:rPr>
        <w:t>Use of generative AI tools: AI-assisted language revision, consistency checking, and code review were performed with GPT-5.6 Sol, Claude Opus 5, and Cursor Grok 4.6 in Cursor during manuscript preparation in 2026. The authors reviewed the resulting text and remain responsible for the data, methods, interpretation, references, and final manuscript.</w:t>
      </w:r>
    </w:p>
    <w:p w14:paraId="462F68ED" w14:textId="77777777" w:rsidR="00E0199E" w:rsidRDefault="00E0199E">
      <w:pPr>
        <w:spacing w:line="240" w:lineRule="auto"/>
        <w:ind w:firstLine="0"/>
        <w:sectPr w:rsidR="00E0199E">
          <w:type w:val="continuous"/>
          <w:pgSz w:w="11906" w:h="16838"/>
          <w:pgMar w:top="1134" w:right="1134" w:bottom="1417" w:left="1134" w:header="720" w:footer="720" w:gutter="0"/>
          <w:cols w:num="2" w:space="283"/>
          <w:docGrid w:linePitch="360"/>
        </w:sectPr>
      </w:pPr>
    </w:p>
    <w:p w14:paraId="23D934ED" w14:textId="77777777" w:rsidR="00E0199E" w:rsidRDefault="007E0DC9">
      <w:pPr>
        <w:spacing w:before="240" w:after="120" w:line="240" w:lineRule="auto"/>
        <w:ind w:firstLine="0"/>
        <w:jc w:val="center"/>
      </w:pPr>
      <w:r>
        <w:rPr>
          <w:rFonts w:ascii="Times New Roman" w:hAnsi="Times New Roman" w:cs="Times New Roman" w:eastAsia="Times New Roman"/>
          <w:b/>
          <w:i w:val="0"/>
          <w:sz w:val="22"/>
        </w:rPr>
        <w:t>REFERENCES</w:t>
      </w:r>
    </w:p>
    <w:p>
      <w:pPr>
        <w:spacing w:before="0" w:after="0" w:line="240" w:lineRule="auto"/>
        <w:ind w:firstLine="425"/>
        <w:jc w:val="both"/>
      </w:pPr>
      <w:r>
        <w:rPr>
          <w:rFonts w:ascii="Times New Roman" w:hAnsi="Times New Roman" w:cs="Times New Roman" w:eastAsia="Times New Roman"/>
          <w:b w:val="0"/>
          <w:i w:val="0"/>
          <w:sz w:val="22"/>
        </w:rPr>
        <w:t xml:space="preserve">1. </w:t>
      </w:r>
      <w:r>
        <w:rPr>
          <w:rFonts w:ascii="Times New Roman" w:hAnsi="Times New Roman" w:cs="Times New Roman" w:eastAsia="Times New Roman"/>
          <w:b w:val="0"/>
          <w:i w:val="0"/>
          <w:sz w:val="22"/>
        </w:rPr>
        <w:t xml:space="preserve">Winter, D. A. </w:t>
      </w:r>
      <w:r>
        <w:rPr>
          <w:rFonts w:ascii="Times New Roman" w:hAnsi="Times New Roman" w:cs="Times New Roman" w:eastAsia="Times New Roman"/>
          <w:b w:val="0"/>
          <w:i w:val="0"/>
          <w:sz w:val="22"/>
        </w:rPr>
        <w:t xml:space="preserve">“Biomechanics and Motor Control of Human Movement”. </w:t>
      </w:r>
      <w:r>
        <w:rPr>
          <w:rFonts w:ascii="Times New Roman" w:hAnsi="Times New Roman" w:cs="Times New Roman" w:eastAsia="Times New Roman"/>
          <w:b w:val="0"/>
          <w:i w:val="0"/>
          <w:sz w:val="22"/>
        </w:rPr>
        <w:t>4th ed. Hoboken, NJ, USA: Wiley, 2009.</w:t>
      </w:r>
    </w:p>
    <w:p>
      <w:pPr>
        <w:spacing w:before="0" w:after="0" w:line="240" w:lineRule="auto"/>
        <w:ind w:firstLine="425"/>
        <w:jc w:val="both"/>
      </w:pPr>
      <w:r>
        <w:rPr>
          <w:rFonts w:ascii="Times New Roman" w:hAnsi="Times New Roman" w:cs="Times New Roman" w:eastAsia="Times New Roman"/>
          <w:b w:val="0"/>
          <w:i w:val="0"/>
          <w:sz w:val="22"/>
        </w:rPr>
        <w:t xml:space="preserve">2. </w:t>
      </w:r>
      <w:r>
        <w:rPr>
          <w:rFonts w:ascii="Times New Roman" w:hAnsi="Times New Roman" w:cs="Times New Roman" w:eastAsia="Times New Roman"/>
          <w:b w:val="0"/>
          <w:i w:val="0"/>
          <w:sz w:val="22"/>
        </w:rPr>
        <w:t xml:space="preserve">Bartlett, R. </w:t>
      </w:r>
      <w:r>
        <w:rPr>
          <w:rFonts w:ascii="Times New Roman" w:hAnsi="Times New Roman" w:cs="Times New Roman" w:eastAsia="Times New Roman"/>
          <w:b w:val="0"/>
          <w:i w:val="0"/>
          <w:sz w:val="22"/>
        </w:rPr>
        <w:t xml:space="preserve">“Introduction to Sports Biomechanics: Analysing Human Movement Patterns”. </w:t>
      </w:r>
      <w:r>
        <w:rPr>
          <w:rFonts w:ascii="Times New Roman" w:hAnsi="Times New Roman" w:cs="Times New Roman" w:eastAsia="Times New Roman"/>
          <w:b w:val="0"/>
          <w:i w:val="0"/>
          <w:sz w:val="22"/>
        </w:rPr>
        <w:t>2nd ed. London, UK: Routledge, 2007. DOI: https://doi.org/10.4324/9780203462027.</w:t>
      </w:r>
    </w:p>
    <w:p>
      <w:pPr>
        <w:spacing w:before="0" w:after="0" w:line="240" w:lineRule="auto"/>
        <w:ind w:firstLine="425"/>
        <w:jc w:val="both"/>
      </w:pPr>
      <w:r>
        <w:rPr>
          <w:rFonts w:ascii="Times New Roman" w:hAnsi="Times New Roman" w:cs="Times New Roman" w:eastAsia="Times New Roman"/>
          <w:b w:val="0"/>
          <w:i w:val="0"/>
          <w:sz w:val="22"/>
        </w:rPr>
        <w:t xml:space="preserve">3. </w:t>
      </w:r>
      <w:r>
        <w:rPr>
          <w:rFonts w:ascii="Times New Roman" w:hAnsi="Times New Roman" w:cs="Times New Roman" w:eastAsia="Times New Roman"/>
          <w:b w:val="0"/>
          <w:i w:val="0"/>
          <w:sz w:val="22"/>
        </w:rPr>
        <w:t xml:space="preserve">Cao, Z., Hidalgo, G., Simon, T., Wei, S. E. &amp; Sheikh, Y. </w:t>
      </w:r>
      <w:r>
        <w:rPr>
          <w:rFonts w:ascii="Times New Roman" w:hAnsi="Times New Roman" w:cs="Times New Roman" w:eastAsia="Times New Roman"/>
          <w:b w:val="0"/>
          <w:i w:val="0"/>
          <w:sz w:val="22"/>
        </w:rPr>
        <w:t xml:space="preserve">“OpenPose: Realtime multi-person 2D pose estimation using part affinity fields”. </w:t>
      </w:r>
      <w:r>
        <w:rPr>
          <w:rFonts w:ascii="Times New Roman" w:hAnsi="Times New Roman" w:cs="Times New Roman" w:eastAsia="Times New Roman"/>
          <w:b w:val="0"/>
          <w:i/>
          <w:sz w:val="22"/>
        </w:rPr>
        <w:t xml:space="preserve">IEEE Transactions on Pattern Analysis and Machine Intelligence. </w:t>
      </w:r>
      <w:r>
        <w:rPr>
          <w:rFonts w:ascii="Times New Roman" w:hAnsi="Times New Roman" w:cs="Times New Roman" w:eastAsia="Times New Roman"/>
          <w:b w:val="0"/>
          <w:i w:val="0"/>
          <w:sz w:val="22"/>
        </w:rPr>
        <w:t>2021; Vol. 43, No. 1: 172–186. https://www.scopus.com/record/display.uri?eid=2-s2.0-85070219994. DOI: https://doi.org/10.1109/TPAMI.2019.2929257.</w:t>
      </w:r>
    </w:p>
    <w:p>
      <w:pPr>
        <w:spacing w:before="0" w:after="0" w:line="240" w:lineRule="auto"/>
        <w:ind w:firstLine="425"/>
        <w:jc w:val="both"/>
      </w:pPr>
      <w:r>
        <w:rPr>
          <w:rFonts w:ascii="Times New Roman" w:hAnsi="Times New Roman" w:cs="Times New Roman" w:eastAsia="Times New Roman"/>
          <w:b w:val="0"/>
          <w:i w:val="0"/>
          <w:sz w:val="22"/>
        </w:rPr>
        <w:t xml:space="preserve">4. </w:t>
      </w:r>
      <w:r>
        <w:rPr>
          <w:rFonts w:ascii="Times New Roman" w:hAnsi="Times New Roman" w:cs="Times New Roman" w:eastAsia="Times New Roman"/>
          <w:b w:val="0"/>
          <w:i w:val="0"/>
          <w:sz w:val="22"/>
        </w:rPr>
        <w:t xml:space="preserve">Bazarevsky, V., Grishchenko, I., Raveendran, K., Zhu, T., Zhang, F. &amp; Grundmann, M. </w:t>
      </w:r>
      <w:r>
        <w:rPr>
          <w:rFonts w:ascii="Times New Roman" w:hAnsi="Times New Roman" w:cs="Times New Roman" w:eastAsia="Times New Roman"/>
          <w:b w:val="0"/>
          <w:i w:val="0"/>
          <w:sz w:val="22"/>
        </w:rPr>
        <w:t xml:space="preserve">“BlazePose: On-device real-time body pose tracking”. </w:t>
      </w:r>
      <w:r>
        <w:rPr>
          <w:rFonts w:ascii="Times New Roman" w:hAnsi="Times New Roman" w:cs="Times New Roman" w:eastAsia="Times New Roman"/>
          <w:b w:val="0"/>
          <w:i/>
          <w:sz w:val="22"/>
        </w:rPr>
        <w:t xml:space="preserve">Proceedings of the CVPR Workshop on Computer Vision for Augmented and Virtual Reality. </w:t>
      </w:r>
      <w:r>
        <w:rPr>
          <w:rFonts w:ascii="Times New Roman" w:hAnsi="Times New Roman" w:cs="Times New Roman" w:eastAsia="Times New Roman"/>
          <w:b w:val="0"/>
          <w:i w:val="0"/>
          <w:sz w:val="22"/>
        </w:rPr>
        <w:t>Seattle, WA, USA. June 2020. DOI: https://doi.org/10.48550/arXiv.2006.10204.</w:t>
      </w:r>
    </w:p>
    <w:p>
      <w:pPr>
        <w:spacing w:before="0" w:after="0" w:line="240" w:lineRule="auto"/>
        <w:ind w:firstLine="425"/>
        <w:jc w:val="both"/>
      </w:pPr>
      <w:r>
        <w:rPr>
          <w:rFonts w:ascii="Times New Roman" w:hAnsi="Times New Roman" w:cs="Times New Roman" w:eastAsia="Times New Roman"/>
          <w:b w:val="0"/>
          <w:i w:val="0"/>
          <w:sz w:val="22"/>
        </w:rPr>
        <w:t xml:space="preserve">5. </w:t>
      </w:r>
      <w:r>
        <w:rPr>
          <w:rFonts w:ascii="Times New Roman" w:hAnsi="Times New Roman" w:cs="Times New Roman" w:eastAsia="Times New Roman"/>
          <w:b w:val="0"/>
          <w:i w:val="0"/>
          <w:sz w:val="22"/>
        </w:rPr>
        <w:t xml:space="preserve">Lugaresi, C., Tang, J., Nash, H., McClanahan, C., Uboweja, E., Hays, M., Zhang, F., Chang, C. L., Yong, M. G., Lee, J., Chang, W. T., Hua, W., Georg, M. &amp; Grundmann, M. </w:t>
      </w:r>
      <w:r>
        <w:rPr>
          <w:rFonts w:ascii="Times New Roman" w:hAnsi="Times New Roman" w:cs="Times New Roman" w:eastAsia="Times New Roman"/>
          <w:b w:val="0"/>
          <w:i w:val="0"/>
          <w:sz w:val="22"/>
        </w:rPr>
        <w:t xml:space="preserve">“MediaPipe: A framework for building perception pipelines”. </w:t>
      </w:r>
      <w:r>
        <w:rPr>
          <w:rFonts w:ascii="Times New Roman" w:hAnsi="Times New Roman" w:cs="Times New Roman" w:eastAsia="Times New Roman"/>
          <w:b w:val="0"/>
          <w:i/>
          <w:sz w:val="22"/>
        </w:rPr>
        <w:t xml:space="preserve">arXiv preprint. </w:t>
      </w:r>
      <w:r>
        <w:rPr>
          <w:rFonts w:ascii="Times New Roman" w:hAnsi="Times New Roman" w:cs="Times New Roman" w:eastAsia="Times New Roman"/>
          <w:b w:val="0"/>
          <w:i w:val="0"/>
          <w:sz w:val="22"/>
        </w:rPr>
        <w:t>2019. DOI: https://doi.org/10.48550/arXiv.1906.08172.</w:t>
      </w:r>
    </w:p>
    <w:p>
      <w:pPr>
        <w:spacing w:before="0" w:after="0" w:line="240" w:lineRule="auto"/>
        <w:ind w:firstLine="425"/>
        <w:jc w:val="both"/>
      </w:pPr>
      <w:r>
        <w:rPr>
          <w:rFonts w:ascii="Times New Roman" w:hAnsi="Times New Roman" w:cs="Times New Roman" w:eastAsia="Times New Roman"/>
          <w:b w:val="0"/>
          <w:i w:val="0"/>
          <w:sz w:val="22"/>
        </w:rPr>
        <w:t xml:space="preserve">6. </w:t>
      </w:r>
      <w:r>
        <w:rPr>
          <w:rFonts w:ascii="Times New Roman" w:hAnsi="Times New Roman" w:cs="Times New Roman" w:eastAsia="Times New Roman"/>
          <w:b w:val="0"/>
          <w:i w:val="0"/>
          <w:sz w:val="22"/>
        </w:rPr>
        <w:t xml:space="preserve">Robertson, D. G. E., Caldwell, G. E., Hamill, J., Kamen, G. &amp; Whittlesey, S. N. </w:t>
      </w:r>
      <w:r>
        <w:rPr>
          <w:rFonts w:ascii="Times New Roman" w:hAnsi="Times New Roman" w:cs="Times New Roman" w:eastAsia="Times New Roman"/>
          <w:b w:val="0"/>
          <w:i w:val="0"/>
          <w:sz w:val="22"/>
        </w:rPr>
        <w:t xml:space="preserve">“Research Methods in Biomechanics”. </w:t>
      </w:r>
      <w:r>
        <w:rPr>
          <w:rFonts w:ascii="Times New Roman" w:hAnsi="Times New Roman" w:cs="Times New Roman" w:eastAsia="Times New Roman"/>
          <w:b w:val="0"/>
          <w:i w:val="0"/>
          <w:sz w:val="22"/>
        </w:rPr>
        <w:t>2nd ed. Champaign, IL, USA: Human Kinetics, 2014. DOI: https://doi.org/10.5040/9781492595809.</w:t>
      </w:r>
    </w:p>
    <w:p>
      <w:pPr>
        <w:spacing w:before="0" w:after="0" w:line="240" w:lineRule="auto"/>
        <w:ind w:firstLine="425"/>
        <w:jc w:val="both"/>
      </w:pPr>
      <w:r>
        <w:rPr>
          <w:rFonts w:ascii="Times New Roman" w:hAnsi="Times New Roman" w:cs="Times New Roman"/>
          <w:b w:val="0"/>
          <w:i w:val="0"/>
          <w:sz w:val="22"/>
        </w:rPr>
        <w:t xml:space="preserve">7. Davis, D. J. &amp; Challis, J. H. “Automatic segment filtering procedure for processing non-stationary signals”. </w:t>
      </w:r>
      <w:r>
        <w:rPr>
          <w:rFonts w:ascii="Times New Roman" w:hAnsi="Times New Roman" w:cs="Times New Roman"/>
          <w:b w:val="0"/>
          <w:i/>
          <w:sz w:val="22"/>
        </w:rPr>
        <w:t>Journal of Biomechanics</w:t>
      </w:r>
      <w:r>
        <w:rPr>
          <w:rFonts w:ascii="Times New Roman" w:hAnsi="Times New Roman" w:cs="Times New Roman"/>
          <w:b w:val="0"/>
          <w:i w:val="0"/>
          <w:sz w:val="22"/>
        </w:rPr>
        <w:t>. 2020; Vol. 101: 109619. DOI: https://doi.org/10.1016/j.jbiomech.2020.109619.</w:t>
      </w:r>
    </w:p>
    <w:p>
      <w:pPr>
        <w:spacing w:before="0" w:after="0" w:line="240" w:lineRule="auto"/>
        <w:ind w:firstLine="425"/>
        <w:jc w:val="both"/>
      </w:pPr>
      <w:r>
        <w:rPr>
          <w:rFonts w:ascii="Times New Roman" w:hAnsi="Times New Roman" w:cs="Times New Roman" w:eastAsia="Times New Roman"/>
          <w:b w:val="0"/>
          <w:i w:val="0"/>
          <w:sz w:val="22"/>
        </w:rPr>
        <w:t xml:space="preserve">8. </w:t>
      </w:r>
      <w:r>
        <w:rPr>
          <w:rFonts w:ascii="Times New Roman" w:hAnsi="Times New Roman" w:cs="Times New Roman" w:eastAsia="Times New Roman"/>
          <w:b w:val="0"/>
          <w:i w:val="0"/>
          <w:sz w:val="22"/>
        </w:rPr>
        <w:t xml:space="preserve">Hume, P. A., Keogh, J. &amp; Reid, D. </w:t>
      </w:r>
      <w:r>
        <w:rPr>
          <w:rFonts w:ascii="Times New Roman" w:hAnsi="Times New Roman" w:cs="Times New Roman" w:eastAsia="Times New Roman"/>
          <w:b w:val="0"/>
          <w:i w:val="0"/>
          <w:sz w:val="22"/>
        </w:rPr>
        <w:t xml:space="preserve">“The role of biomechanics in maximising distance and accuracy of golf shots”. </w:t>
      </w:r>
      <w:r>
        <w:rPr>
          <w:rFonts w:ascii="Times New Roman" w:hAnsi="Times New Roman" w:cs="Times New Roman" w:eastAsia="Times New Roman"/>
          <w:b w:val="0"/>
          <w:i/>
          <w:sz w:val="22"/>
        </w:rPr>
        <w:t xml:space="preserve">Sports Medicine. </w:t>
      </w:r>
      <w:r>
        <w:rPr>
          <w:rFonts w:ascii="Times New Roman" w:hAnsi="Times New Roman" w:cs="Times New Roman" w:eastAsia="Times New Roman"/>
          <w:b w:val="0"/>
          <w:i w:val="0"/>
          <w:sz w:val="22"/>
        </w:rPr>
        <w:t>2005; Vol. 35, No. 5: 429–449. https://www.scopus.com/record/display.uri?eid=2-s2.0-18244376551. DOI: https://doi.org/10.2165/00007256-200535050-00005.</w:t>
      </w:r>
    </w:p>
    <w:p>
      <w:pPr>
        <w:spacing w:before="0" w:after="0" w:line="240" w:lineRule="auto"/>
        <w:ind w:firstLine="425"/>
        <w:jc w:val="both"/>
      </w:pPr>
      <w:r>
        <w:rPr>
          <w:rFonts w:ascii="Times New Roman" w:hAnsi="Times New Roman" w:cs="Times New Roman" w:eastAsia="Times New Roman"/>
          <w:b w:val="0"/>
          <w:i w:val="0"/>
          <w:sz w:val="22"/>
        </w:rPr>
        <w:t xml:space="preserve">9. </w:t>
      </w:r>
      <w:r>
        <w:rPr>
          <w:rFonts w:ascii="Times New Roman" w:hAnsi="Times New Roman" w:cs="Times New Roman" w:eastAsia="Times New Roman"/>
          <w:b w:val="0"/>
          <w:i w:val="0"/>
          <w:sz w:val="22"/>
        </w:rPr>
        <w:t xml:space="preserve">Nesbit, S. M. &amp; Serrano, M. </w:t>
      </w:r>
      <w:r>
        <w:rPr>
          <w:rFonts w:ascii="Times New Roman" w:hAnsi="Times New Roman" w:cs="Times New Roman" w:eastAsia="Times New Roman"/>
          <w:b w:val="0"/>
          <w:i w:val="0"/>
          <w:sz w:val="22"/>
        </w:rPr>
        <w:t xml:space="preserve">“Work and power analysis of the golf swing”. </w:t>
      </w:r>
      <w:r>
        <w:rPr>
          <w:rFonts w:ascii="Times New Roman" w:hAnsi="Times New Roman" w:cs="Times New Roman" w:eastAsia="Times New Roman"/>
          <w:b w:val="0"/>
          <w:i/>
          <w:sz w:val="22"/>
        </w:rPr>
        <w:t xml:space="preserve">Journal of Sports Science and Medicine. </w:t>
      </w:r>
      <w:r>
        <w:rPr>
          <w:rFonts w:ascii="Times New Roman" w:hAnsi="Times New Roman" w:cs="Times New Roman" w:eastAsia="Times New Roman"/>
          <w:b w:val="0"/>
          <w:i w:val="0"/>
          <w:sz w:val="22"/>
        </w:rPr>
        <w:t>2005; Vol. 4, No. 4: 520–533. https://www.scopus.com/record/display.uri?eid=2-s2.0-33747125283.</w:t>
      </w:r>
    </w:p>
    <w:p>
      <w:pPr>
        <w:spacing w:before="0" w:after="0" w:line="240" w:lineRule="auto"/>
        <w:ind w:firstLine="425"/>
        <w:jc w:val="both"/>
      </w:pPr>
      <w:r>
        <w:rPr>
          <w:rFonts w:ascii="Times New Roman" w:hAnsi="Times New Roman" w:cs="Times New Roman" w:eastAsia="Times New Roman"/>
          <w:b w:val="0"/>
          <w:i w:val="0"/>
          <w:sz w:val="22"/>
        </w:rPr>
        <w:t xml:space="preserve">10. </w:t>
      </w:r>
      <w:r>
        <w:rPr>
          <w:rFonts w:ascii="Times New Roman" w:hAnsi="Times New Roman" w:cs="Times New Roman" w:eastAsia="Times New Roman"/>
          <w:b w:val="0"/>
          <w:i w:val="0"/>
          <w:sz w:val="22"/>
        </w:rPr>
        <w:t xml:space="preserve">McLaughlin, J. J. &amp; Best, R. J. </w:t>
      </w:r>
      <w:r>
        <w:rPr>
          <w:rFonts w:ascii="Times New Roman" w:hAnsi="Times New Roman" w:cs="Times New Roman" w:eastAsia="Times New Roman"/>
          <w:b w:val="0"/>
          <w:i w:val="0"/>
          <w:sz w:val="22"/>
        </w:rPr>
        <w:t xml:space="preserve">“Three-dimensional kinematic analysis of the golf swing”. </w:t>
      </w:r>
      <w:r>
        <w:rPr>
          <w:rFonts w:ascii="Times New Roman" w:hAnsi="Times New Roman" w:cs="Times New Roman" w:eastAsia="Times New Roman"/>
          <w:b w:val="0"/>
          <w:i w:val="0"/>
          <w:sz w:val="22"/>
        </w:rPr>
        <w:t>In: Cochran, A. J. &amp; Farrally, M. R. (Eds.). Science and Golf II. London, UK: E &amp; FN Spon, 1994. p. 91–96.</w:t>
      </w:r>
    </w:p>
    <w:p>
      <w:pPr>
        <w:spacing w:before="0" w:after="0" w:line="240" w:lineRule="auto"/>
        <w:ind w:firstLine="425"/>
        <w:jc w:val="both"/>
      </w:pPr>
      <w:r>
        <w:rPr>
          <w:rFonts w:ascii="Times New Roman" w:hAnsi="Times New Roman" w:cs="Times New Roman" w:eastAsia="Times New Roman"/>
          <w:b w:val="0"/>
          <w:i w:val="0"/>
          <w:sz w:val="22"/>
        </w:rPr>
        <w:t xml:space="preserve">11. </w:t>
      </w:r>
      <w:r>
        <w:rPr>
          <w:rFonts w:ascii="Times New Roman" w:hAnsi="Times New Roman" w:cs="Times New Roman" w:eastAsia="Times New Roman"/>
          <w:b w:val="0"/>
          <w:i w:val="0"/>
          <w:sz w:val="22"/>
        </w:rPr>
        <w:t xml:space="preserve">Tinmark, F., Hellström, J., Halvorsen, K. &amp; Thorstensson, A. </w:t>
      </w:r>
      <w:r>
        <w:rPr>
          <w:rFonts w:ascii="Times New Roman" w:hAnsi="Times New Roman" w:cs="Times New Roman" w:eastAsia="Times New Roman"/>
          <w:b w:val="0"/>
          <w:i w:val="0"/>
          <w:sz w:val="22"/>
        </w:rPr>
        <w:t xml:space="preserve">“Elite golfers' kinematic sequence in full-swing and partial-swing shots”. </w:t>
      </w:r>
      <w:r>
        <w:rPr>
          <w:rFonts w:ascii="Times New Roman" w:hAnsi="Times New Roman" w:cs="Times New Roman" w:eastAsia="Times New Roman"/>
          <w:b w:val="0"/>
          <w:i/>
          <w:sz w:val="22"/>
        </w:rPr>
        <w:t xml:space="preserve">Sports Biomechanics. </w:t>
      </w:r>
      <w:r>
        <w:rPr>
          <w:rFonts w:ascii="Times New Roman" w:hAnsi="Times New Roman" w:cs="Times New Roman" w:eastAsia="Times New Roman"/>
          <w:b w:val="0"/>
          <w:i w:val="0"/>
          <w:sz w:val="22"/>
        </w:rPr>
        <w:t>2010; Vol. 9, No. 4: 236–244. https://www.scopus.com/record/display.uri?eid=2-s2.0-79551491419. DOI: https://doi.org/10.1080/14763141.2010.535842.</w:t>
      </w:r>
    </w:p>
    <w:p>
      <w:pPr>
        <w:spacing w:before="0" w:after="0" w:line="240" w:lineRule="auto"/>
        <w:ind w:firstLine="425"/>
        <w:jc w:val="both"/>
      </w:pPr>
      <w:r>
        <w:rPr>
          <w:rFonts w:ascii="Times New Roman" w:hAnsi="Times New Roman" w:cs="Times New Roman" w:eastAsia="Times New Roman"/>
          <w:b w:val="0"/>
          <w:i w:val="0"/>
          <w:sz w:val="22"/>
        </w:rPr>
        <w:t xml:space="preserve">12. </w:t>
      </w:r>
      <w:r>
        <w:rPr>
          <w:rFonts w:ascii="Times New Roman" w:hAnsi="Times New Roman" w:cs="Times New Roman" w:eastAsia="Times New Roman"/>
          <w:b w:val="0"/>
          <w:i w:val="0"/>
          <w:sz w:val="22"/>
        </w:rPr>
        <w:t xml:space="preserve">van der Kruk, E. &amp; Reijne, M. M. </w:t>
      </w:r>
      <w:r>
        <w:rPr>
          <w:rFonts w:ascii="Times New Roman" w:hAnsi="Times New Roman" w:cs="Times New Roman" w:eastAsia="Times New Roman"/>
          <w:b w:val="0"/>
          <w:i w:val="0"/>
          <w:sz w:val="22"/>
        </w:rPr>
        <w:t xml:space="preserve">“Accuracy of human motion capture systems for sport applications: state-of-the-art review”. </w:t>
      </w:r>
      <w:r>
        <w:rPr>
          <w:rFonts w:ascii="Times New Roman" w:hAnsi="Times New Roman" w:cs="Times New Roman" w:eastAsia="Times New Roman"/>
          <w:b w:val="0"/>
          <w:i/>
          <w:sz w:val="22"/>
        </w:rPr>
        <w:t xml:space="preserve">European Journal of Sport Science. </w:t>
      </w:r>
      <w:r>
        <w:rPr>
          <w:rFonts w:ascii="Times New Roman" w:hAnsi="Times New Roman" w:cs="Times New Roman" w:eastAsia="Times New Roman"/>
          <w:b w:val="0"/>
          <w:i w:val="0"/>
          <w:sz w:val="22"/>
        </w:rPr>
        <w:t>2018; Vol. 18, No. 6: 806–819. https://www.scopus.com/record/display.uri?eid=2-s2.0-85045751825. DOI: https://doi.org/10.1080/17461391.2018.1463397.</w:t>
      </w:r>
    </w:p>
    <w:p>
      <w:pPr>
        <w:spacing w:before="0" w:after="0" w:line="240" w:lineRule="auto"/>
        <w:ind w:firstLine="425"/>
        <w:jc w:val="both"/>
      </w:pPr>
      <w:r>
        <w:rPr>
          <w:rFonts w:ascii="Times New Roman" w:hAnsi="Times New Roman" w:cs="Times New Roman" w:eastAsia="Times New Roman"/>
          <w:b w:val="0"/>
          <w:i w:val="0"/>
          <w:sz w:val="22"/>
        </w:rPr>
        <w:t xml:space="preserve">13. </w:t>
      </w:r>
      <w:r>
        <w:rPr>
          <w:rFonts w:ascii="Times New Roman" w:hAnsi="Times New Roman" w:cs="Times New Roman" w:eastAsia="Times New Roman"/>
          <w:b w:val="0"/>
          <w:i w:val="0"/>
          <w:sz w:val="22"/>
        </w:rPr>
        <w:t xml:space="preserve">Ota, M., Tateuchi, H., Hashiguchi, T. &amp; Ichihashi, N. </w:t>
      </w:r>
      <w:r>
        <w:rPr>
          <w:rFonts w:ascii="Times New Roman" w:hAnsi="Times New Roman" w:cs="Times New Roman" w:eastAsia="Times New Roman"/>
          <w:b w:val="0"/>
          <w:i w:val="0"/>
          <w:sz w:val="22"/>
        </w:rPr>
        <w:t xml:space="preserve">“Verification of reliability and validity of motion analysis systems during bilateral squat using human pose tracking algorithm”. </w:t>
      </w:r>
      <w:r>
        <w:rPr>
          <w:rFonts w:ascii="Times New Roman" w:hAnsi="Times New Roman" w:cs="Times New Roman" w:eastAsia="Times New Roman"/>
          <w:b w:val="0"/>
          <w:i/>
          <w:sz w:val="22"/>
        </w:rPr>
        <w:t xml:space="preserve">Gait &amp; Posture. </w:t>
      </w:r>
      <w:r>
        <w:rPr>
          <w:rFonts w:ascii="Times New Roman" w:hAnsi="Times New Roman" w:cs="Times New Roman" w:eastAsia="Times New Roman"/>
          <w:b w:val="0"/>
          <w:i w:val="0"/>
          <w:sz w:val="22"/>
        </w:rPr>
        <w:t>2020; Vol. 80: 62–67. https://www.scopus.com/record/display.uri?eid=2-s2.0-85085754655. DOI: https://doi.org/10.1016/j.gaitpost.2020.05.027.</w:t>
      </w:r>
    </w:p>
    <w:p>
      <w:pPr>
        <w:spacing w:before="0" w:after="0" w:line="240" w:lineRule="auto"/>
        <w:ind w:firstLine="425"/>
        <w:jc w:val="both"/>
      </w:pPr>
      <w:r>
        <w:rPr>
          <w:rFonts w:ascii="Times New Roman" w:hAnsi="Times New Roman" w:cs="Times New Roman" w:eastAsia="Times New Roman"/>
          <w:b w:val="0"/>
          <w:i w:val="0"/>
          <w:sz w:val="22"/>
        </w:rPr>
        <w:t xml:space="preserve">14. </w:t>
      </w:r>
      <w:r>
        <w:rPr>
          <w:rFonts w:ascii="Times New Roman" w:hAnsi="Times New Roman" w:cs="Times New Roman" w:eastAsia="Times New Roman"/>
          <w:b w:val="0"/>
          <w:i w:val="0"/>
          <w:sz w:val="22"/>
        </w:rPr>
        <w:t xml:space="preserve">Tukey, J. W. </w:t>
      </w:r>
      <w:r>
        <w:rPr>
          <w:rFonts w:ascii="Times New Roman" w:hAnsi="Times New Roman" w:cs="Times New Roman" w:eastAsia="Times New Roman"/>
          <w:b w:val="0"/>
          <w:i w:val="0"/>
          <w:sz w:val="22"/>
        </w:rPr>
        <w:t xml:space="preserve">“Exploratory Data Analysis”. </w:t>
      </w:r>
      <w:r>
        <w:rPr>
          <w:rFonts w:ascii="Times New Roman" w:hAnsi="Times New Roman" w:cs="Times New Roman" w:eastAsia="Times New Roman"/>
          <w:b w:val="0"/>
          <w:i w:val="0"/>
          <w:sz w:val="22"/>
        </w:rPr>
        <w:t>Reading, MA, USA: Addison-Wesley, 1977.</w:t>
      </w:r>
    </w:p>
    <w:p>
      <w:pPr>
        <w:spacing w:before="0" w:after="0" w:line="240" w:lineRule="auto"/>
        <w:ind w:firstLine="425"/>
        <w:jc w:val="both"/>
      </w:pPr>
      <w:r>
        <w:rPr>
          <w:rFonts w:ascii="Times New Roman" w:hAnsi="Times New Roman" w:cs="Times New Roman" w:eastAsia="Times New Roman"/>
          <w:b w:val="0"/>
          <w:i w:val="0"/>
          <w:sz w:val="22"/>
        </w:rPr>
        <w:t xml:space="preserve">15. </w:t>
      </w:r>
      <w:r>
        <w:rPr>
          <w:rFonts w:ascii="Times New Roman" w:hAnsi="Times New Roman" w:cs="Times New Roman" w:eastAsia="Times New Roman"/>
          <w:b w:val="0"/>
          <w:i w:val="0"/>
          <w:sz w:val="22"/>
        </w:rPr>
        <w:t xml:space="preserve">Kalman, R. E. </w:t>
      </w:r>
      <w:r>
        <w:rPr>
          <w:rFonts w:ascii="Times New Roman" w:hAnsi="Times New Roman" w:cs="Times New Roman" w:eastAsia="Times New Roman"/>
          <w:b w:val="0"/>
          <w:i w:val="0"/>
          <w:sz w:val="22"/>
        </w:rPr>
        <w:t xml:space="preserve">“A new approach to linear filtering and prediction problems”. </w:t>
      </w:r>
      <w:r>
        <w:rPr>
          <w:rFonts w:ascii="Times New Roman" w:hAnsi="Times New Roman" w:cs="Times New Roman" w:eastAsia="Times New Roman"/>
          <w:b w:val="0"/>
          <w:i/>
          <w:sz w:val="22"/>
        </w:rPr>
        <w:t xml:space="preserve">Journal of Basic Engineering. </w:t>
      </w:r>
      <w:r>
        <w:rPr>
          <w:rFonts w:ascii="Times New Roman" w:hAnsi="Times New Roman" w:cs="Times New Roman" w:eastAsia="Times New Roman"/>
          <w:b w:val="0"/>
          <w:i w:val="0"/>
          <w:sz w:val="22"/>
        </w:rPr>
        <w:t>1960; Vol. 82, No. 1: 35–45. DOI: https://doi.org/10.1115/1.3662552.</w:t>
      </w:r>
    </w:p>
    <w:p>
      <w:pPr>
        <w:spacing w:before="0" w:after="0" w:line="240" w:lineRule="auto"/>
        <w:ind w:firstLine="425"/>
        <w:jc w:val="both"/>
      </w:pPr>
      <w:r>
        <w:rPr>
          <w:rFonts w:ascii="Times New Roman" w:hAnsi="Times New Roman" w:cs="Times New Roman" w:eastAsia="Times New Roman"/>
          <w:b w:val="0"/>
          <w:i w:val="0"/>
          <w:sz w:val="22"/>
        </w:rPr>
        <w:t xml:space="preserve">16. </w:t>
      </w:r>
      <w:r>
        <w:rPr>
          <w:rFonts w:ascii="Times New Roman" w:hAnsi="Times New Roman" w:cs="Times New Roman" w:eastAsia="Times New Roman"/>
          <w:b w:val="0"/>
          <w:i w:val="0"/>
          <w:sz w:val="22"/>
        </w:rPr>
        <w:t xml:space="preserve">Welch, G. &amp; Bishop, G. </w:t>
      </w:r>
      <w:r>
        <w:rPr>
          <w:rFonts w:ascii="Times New Roman" w:hAnsi="Times New Roman" w:cs="Times New Roman" w:eastAsia="Times New Roman"/>
          <w:b w:val="0"/>
          <w:i w:val="0"/>
          <w:sz w:val="22"/>
        </w:rPr>
        <w:t xml:space="preserve">“An introduction to the Kalman filter”. </w:t>
      </w:r>
      <w:r>
        <w:rPr>
          <w:rFonts w:ascii="Times New Roman" w:hAnsi="Times New Roman" w:cs="Times New Roman" w:eastAsia="Times New Roman"/>
          <w:b w:val="0"/>
          <w:i w:val="0"/>
          <w:sz w:val="22"/>
        </w:rPr>
        <w:t>Technical Report TR 95-041. Chapel Hill, NC, USA: University of North Carolina at Chapel Hill, 2006. [Online]. – Available from: https://www.cs.unc.edu/~welch/media/pdf/kalman_intro.pdf – [Accessed: Apr. 29, 2026].</w:t>
      </w:r>
    </w:p>
    <w:p>
      <w:pPr>
        <w:spacing w:before="0" w:after="0" w:line="240" w:lineRule="auto"/>
        <w:ind w:firstLine="425"/>
        <w:jc w:val="both"/>
      </w:pPr>
      <w:r>
        <w:rPr>
          <w:rFonts w:ascii="Times New Roman" w:hAnsi="Times New Roman" w:cs="Times New Roman" w:eastAsia="Times New Roman"/>
          <w:b w:val="0"/>
          <w:i w:val="0"/>
          <w:sz w:val="22"/>
        </w:rPr>
        <w:t xml:space="preserve">17. </w:t>
      </w:r>
      <w:r>
        <w:rPr>
          <w:rFonts w:ascii="Times New Roman" w:hAnsi="Times New Roman" w:cs="Times New Roman" w:eastAsia="Times New Roman"/>
          <w:b w:val="0"/>
          <w:i w:val="0"/>
          <w:sz w:val="22"/>
        </w:rPr>
        <w:t xml:space="preserve">Rauch, H. E., Tung, F. &amp; Striebel, C. T. </w:t>
      </w:r>
      <w:r>
        <w:rPr>
          <w:rFonts w:ascii="Times New Roman" w:hAnsi="Times New Roman" w:cs="Times New Roman" w:eastAsia="Times New Roman"/>
          <w:b w:val="0"/>
          <w:i w:val="0"/>
          <w:sz w:val="22"/>
        </w:rPr>
        <w:t xml:space="preserve">“Maximum likelihood estimates of linear dynamic systems”. </w:t>
      </w:r>
      <w:r>
        <w:rPr>
          <w:rFonts w:ascii="Times New Roman" w:hAnsi="Times New Roman" w:cs="Times New Roman" w:eastAsia="Times New Roman"/>
          <w:b w:val="0"/>
          <w:i/>
          <w:sz w:val="22"/>
        </w:rPr>
        <w:t xml:space="preserve">AIAA Journal. </w:t>
      </w:r>
      <w:r>
        <w:rPr>
          <w:rFonts w:ascii="Times New Roman" w:hAnsi="Times New Roman" w:cs="Times New Roman" w:eastAsia="Times New Roman"/>
          <w:b w:val="0"/>
          <w:i w:val="0"/>
          <w:sz w:val="22"/>
        </w:rPr>
        <w:t>1965; Vol. 3, No. 8: 1445–1450. https://www.scopus.com/record/display.uri?eid=2-s2.0-84945697750. DOI: https://doi.org/10.2514/3.3166.</w:t>
      </w:r>
    </w:p>
    <w:p>
      <w:pPr>
        <w:spacing w:before="0" w:after="0" w:line="240" w:lineRule="auto"/>
        <w:ind w:firstLine="425"/>
        <w:jc w:val="both"/>
      </w:pPr>
      <w:r>
        <w:rPr>
          <w:rFonts w:ascii="Times New Roman" w:hAnsi="Times New Roman" w:cs="Times New Roman" w:eastAsia="Times New Roman"/>
          <w:b w:val="0"/>
          <w:i w:val="0"/>
          <w:sz w:val="22"/>
        </w:rPr>
        <w:t xml:space="preserve">18. </w:t>
      </w:r>
      <w:r>
        <w:rPr>
          <w:rFonts w:ascii="Times New Roman" w:hAnsi="Times New Roman" w:cs="Times New Roman" w:eastAsia="Times New Roman"/>
          <w:b w:val="0"/>
          <w:i w:val="0"/>
          <w:sz w:val="22"/>
        </w:rPr>
        <w:t xml:space="preserve">Savitzky, A. &amp; Golay, M. J. E. </w:t>
      </w:r>
      <w:r>
        <w:rPr>
          <w:rFonts w:ascii="Times New Roman" w:hAnsi="Times New Roman" w:cs="Times New Roman" w:eastAsia="Times New Roman"/>
          <w:b w:val="0"/>
          <w:i w:val="0"/>
          <w:sz w:val="22"/>
        </w:rPr>
        <w:t xml:space="preserve">“Smoothing and differentiation of data by simplified least squares procedures”. </w:t>
      </w:r>
      <w:r>
        <w:rPr>
          <w:rFonts w:ascii="Times New Roman" w:hAnsi="Times New Roman" w:cs="Times New Roman" w:eastAsia="Times New Roman"/>
          <w:b w:val="0"/>
          <w:i/>
          <w:sz w:val="22"/>
        </w:rPr>
        <w:t xml:space="preserve">Analytical Chemistry. </w:t>
      </w:r>
      <w:r>
        <w:rPr>
          <w:rFonts w:ascii="Times New Roman" w:hAnsi="Times New Roman" w:cs="Times New Roman" w:eastAsia="Times New Roman"/>
          <w:b w:val="0"/>
          <w:i w:val="0"/>
          <w:sz w:val="22"/>
        </w:rPr>
        <w:t>1964; Vol. 36, No. 8: 1627–1639. https://www.scopus.com/record/display.uri?eid=2-s2.0-33947453419. DOI: https://doi.org/10.1021/ac60214a047.</w:t>
      </w:r>
    </w:p>
    <w:p>
      <w:pPr>
        <w:spacing w:before="0" w:after="0" w:line="240" w:lineRule="auto"/>
        <w:ind w:firstLine="425"/>
        <w:jc w:val="both"/>
      </w:pPr>
      <w:r>
        <w:rPr>
          <w:rFonts w:ascii="Times New Roman" w:hAnsi="Times New Roman" w:cs="Times New Roman" w:eastAsia="Times New Roman"/>
          <w:b w:val="0"/>
          <w:i w:val="0"/>
          <w:sz w:val="22"/>
        </w:rPr>
        <w:t xml:space="preserve">19. </w:t>
      </w:r>
      <w:r>
        <w:rPr>
          <w:rFonts w:ascii="Times New Roman" w:hAnsi="Times New Roman" w:cs="Times New Roman" w:eastAsia="Times New Roman"/>
          <w:b w:val="0"/>
          <w:i w:val="0"/>
          <w:sz w:val="22"/>
        </w:rPr>
        <w:t xml:space="preserve">Balasubramanian, S., Melendez-Calderon, A., Roby-Brami, A. &amp; Burdet, E. </w:t>
      </w:r>
      <w:r>
        <w:rPr>
          <w:rFonts w:ascii="Times New Roman" w:hAnsi="Times New Roman" w:cs="Times New Roman" w:eastAsia="Times New Roman"/>
          <w:b w:val="0"/>
          <w:i w:val="0"/>
          <w:sz w:val="22"/>
        </w:rPr>
        <w:t xml:space="preserve">“On the analysis of movement smoothness”. </w:t>
      </w:r>
      <w:r>
        <w:rPr>
          <w:rFonts w:ascii="Times New Roman" w:hAnsi="Times New Roman" w:cs="Times New Roman" w:eastAsia="Times New Roman"/>
          <w:b w:val="0"/>
          <w:i/>
          <w:sz w:val="22"/>
        </w:rPr>
        <w:t xml:space="preserve">Journal of NeuroEngineering and Rehabilitation. </w:t>
      </w:r>
      <w:r>
        <w:rPr>
          <w:rFonts w:ascii="Times New Roman" w:hAnsi="Times New Roman" w:cs="Times New Roman" w:eastAsia="Times New Roman"/>
          <w:b w:val="0"/>
          <w:i w:val="0"/>
          <w:sz w:val="22"/>
        </w:rPr>
        <w:t>2015; Vol. 12: 112. https://www.scopus.com/record/display.uri?eid=2-s2.0-84953214858. DOI: https://doi.org/10.1186/s12984-015-0090-9.</w:t>
      </w:r>
    </w:p>
    <w:p>
      <w:pPr>
        <w:spacing w:before="0" w:after="0" w:line="240" w:lineRule="auto"/>
        <w:ind w:firstLine="425"/>
        <w:jc w:val="both"/>
      </w:pPr>
      <w:r>
        <w:rPr>
          <w:rFonts w:ascii="Times New Roman" w:hAnsi="Times New Roman" w:cs="Times New Roman" w:eastAsia="Times New Roman"/>
          <w:b w:val="0"/>
          <w:i w:val="0"/>
          <w:sz w:val="22"/>
        </w:rPr>
        <w:t xml:space="preserve">20. </w:t>
      </w:r>
      <w:r>
        <w:rPr>
          <w:rFonts w:ascii="Times New Roman" w:hAnsi="Times New Roman" w:cs="Times New Roman" w:eastAsia="Times New Roman"/>
          <w:b w:val="0"/>
          <w:i w:val="0"/>
          <w:sz w:val="22"/>
        </w:rPr>
        <w:t xml:space="preserve">Atkinson, G. &amp; Nevill, A. M. </w:t>
      </w:r>
      <w:r>
        <w:rPr>
          <w:rFonts w:ascii="Times New Roman" w:hAnsi="Times New Roman" w:cs="Times New Roman" w:eastAsia="Times New Roman"/>
          <w:b w:val="0"/>
          <w:i w:val="0"/>
          <w:sz w:val="22"/>
        </w:rPr>
        <w:t xml:space="preserve">“Statistical methods for assessing measurement error (reliability) in variables relevant to sports medicine”. </w:t>
      </w:r>
      <w:r>
        <w:rPr>
          <w:rFonts w:ascii="Times New Roman" w:hAnsi="Times New Roman" w:cs="Times New Roman" w:eastAsia="Times New Roman"/>
          <w:b w:val="0"/>
          <w:i/>
          <w:sz w:val="22"/>
        </w:rPr>
        <w:t xml:space="preserve">Sports Medicine. </w:t>
      </w:r>
      <w:r>
        <w:rPr>
          <w:rFonts w:ascii="Times New Roman" w:hAnsi="Times New Roman" w:cs="Times New Roman" w:eastAsia="Times New Roman"/>
          <w:b w:val="0"/>
          <w:i w:val="0"/>
          <w:sz w:val="22"/>
        </w:rPr>
        <w:t>1998; Vol. 26, No. 4: 217–238. https://www.scopus.com/record/display.uri?eid=2-s2.0-0031740657. DOI: https://doi.org/10.2165/00007256-199826040-00002.</w:t>
      </w:r>
    </w:p>
    <w:p>
      <w:pPr>
        <w:spacing w:before="0" w:after="0" w:line="240" w:lineRule="auto"/>
        <w:ind w:firstLine="425"/>
        <w:jc w:val="both"/>
      </w:pPr>
      <w:r>
        <w:rPr>
          <w:rFonts w:ascii="Times New Roman" w:hAnsi="Times New Roman" w:cs="Times New Roman" w:eastAsia="Times New Roman"/>
          <w:b w:val="0"/>
          <w:i w:val="0"/>
          <w:sz w:val="22"/>
        </w:rPr>
        <w:t xml:space="preserve">21. </w:t>
      </w:r>
      <w:r>
        <w:rPr>
          <w:rFonts w:ascii="Times New Roman" w:hAnsi="Times New Roman" w:cs="Times New Roman" w:eastAsia="Times New Roman"/>
          <w:b w:val="0"/>
          <w:i w:val="0"/>
          <w:sz w:val="22"/>
        </w:rPr>
        <w:t xml:space="preserve">Koo, T. K. &amp; Li, M. Y. </w:t>
      </w:r>
      <w:r>
        <w:rPr>
          <w:rFonts w:ascii="Times New Roman" w:hAnsi="Times New Roman" w:cs="Times New Roman" w:eastAsia="Times New Roman"/>
          <w:b w:val="0"/>
          <w:i w:val="0"/>
          <w:sz w:val="22"/>
        </w:rPr>
        <w:t xml:space="preserve">“A guideline of selecting and reporting intraclass correlation coefficients for reliability research”. </w:t>
      </w:r>
      <w:r>
        <w:rPr>
          <w:rFonts w:ascii="Times New Roman" w:hAnsi="Times New Roman" w:cs="Times New Roman" w:eastAsia="Times New Roman"/>
          <w:b w:val="0"/>
          <w:i/>
          <w:sz w:val="22"/>
        </w:rPr>
        <w:t xml:space="preserve">Journal of Chiropractic Medicine. </w:t>
      </w:r>
      <w:r>
        <w:rPr>
          <w:rFonts w:ascii="Times New Roman" w:hAnsi="Times New Roman" w:cs="Times New Roman" w:eastAsia="Times New Roman"/>
          <w:b w:val="0"/>
          <w:i w:val="0"/>
          <w:sz w:val="22"/>
        </w:rPr>
        <w:t>2016; Vol. 15, No. 2: 155–163. https://www.scopus.com/record/display.uri?eid=2-s2.0-84963540533. DOI: https://doi.org/10.1016/j.jcm.2016.02.012.</w:t>
      </w:r>
    </w:p>
    <w:p>
      <w:pPr>
        <w:spacing w:before="0" w:after="0" w:line="240" w:lineRule="auto"/>
        <w:ind w:firstLine="425"/>
        <w:jc w:val="both"/>
      </w:pPr>
      <w:r>
        <w:rPr>
          <w:rFonts w:ascii="Times New Roman" w:hAnsi="Times New Roman" w:cs="Times New Roman" w:eastAsia="Times New Roman"/>
          <w:b w:val="0"/>
          <w:i w:val="0"/>
          <w:sz w:val="22"/>
        </w:rPr>
        <w:t xml:space="preserve">22. </w:t>
      </w:r>
      <w:r>
        <w:rPr>
          <w:rFonts w:ascii="Times New Roman" w:hAnsi="Times New Roman" w:cs="Times New Roman" w:eastAsia="Times New Roman"/>
          <w:b w:val="0"/>
          <w:i w:val="0"/>
          <w:sz w:val="22"/>
        </w:rPr>
        <w:t xml:space="preserve">Bland, J. M. &amp; Altman, D. G. </w:t>
      </w:r>
      <w:r>
        <w:rPr>
          <w:rFonts w:ascii="Times New Roman" w:hAnsi="Times New Roman" w:cs="Times New Roman" w:eastAsia="Times New Roman"/>
          <w:b w:val="0"/>
          <w:i w:val="0"/>
          <w:sz w:val="22"/>
        </w:rPr>
        <w:t xml:space="preserve">“Statistical methods for assessing agreement between two methods of clinical measurement”. </w:t>
      </w:r>
      <w:r>
        <w:rPr>
          <w:rFonts w:ascii="Times New Roman" w:hAnsi="Times New Roman" w:cs="Times New Roman" w:eastAsia="Times New Roman"/>
          <w:b w:val="0"/>
          <w:i/>
          <w:sz w:val="22"/>
        </w:rPr>
        <w:t xml:space="preserve">The Lancet. </w:t>
      </w:r>
      <w:r>
        <w:rPr>
          <w:rFonts w:ascii="Times New Roman" w:hAnsi="Times New Roman" w:cs="Times New Roman" w:eastAsia="Times New Roman"/>
          <w:b w:val="0"/>
          <w:i w:val="0"/>
          <w:sz w:val="22"/>
        </w:rPr>
        <w:t>1986; Vol. 327, No. 8476: 307–310. https://www.scopus.com/record/display.uri?eid=2-s2.0-0022571143. DOI: https://doi.org/10.1016/S0140-6736(86)90837-8.</w:t>
      </w:r>
    </w:p>
    <w:p>
      <w:pPr>
        <w:spacing w:before="0" w:after="0" w:line="240" w:lineRule="auto"/>
        <w:ind w:firstLine="425"/>
        <w:jc w:val="both"/>
      </w:pPr>
      <w:r>
        <w:rPr>
          <w:rFonts w:ascii="Times New Roman" w:hAnsi="Times New Roman" w:cs="Times New Roman" w:eastAsia="Times New Roman"/>
          <w:b w:val="0"/>
          <w:i w:val="0"/>
          <w:sz w:val="22"/>
        </w:rPr>
        <w:t xml:space="preserve">23. </w:t>
      </w:r>
      <w:r>
        <w:rPr>
          <w:rFonts w:ascii="Times New Roman" w:hAnsi="Times New Roman" w:cs="Times New Roman" w:eastAsia="Times New Roman"/>
          <w:b w:val="0"/>
          <w:i w:val="0"/>
          <w:sz w:val="22"/>
        </w:rPr>
        <w:t xml:space="preserve">Mo, S. &amp; Chow, D. H. K. </w:t>
      </w:r>
      <w:r>
        <w:rPr>
          <w:rFonts w:ascii="Times New Roman" w:hAnsi="Times New Roman" w:cs="Times New Roman" w:eastAsia="Times New Roman"/>
          <w:b w:val="0"/>
          <w:i w:val="0"/>
          <w:sz w:val="22"/>
        </w:rPr>
        <w:t xml:space="preserve">“Segmental sequencing in golf swing and its relation to clubhead speed”. </w:t>
      </w:r>
      <w:r>
        <w:rPr>
          <w:rFonts w:ascii="Times New Roman" w:hAnsi="Times New Roman" w:cs="Times New Roman" w:eastAsia="Times New Roman"/>
          <w:b w:val="0"/>
          <w:i/>
          <w:sz w:val="22"/>
        </w:rPr>
        <w:t xml:space="preserve">Sports Biomechanics. </w:t>
      </w:r>
      <w:r>
        <w:rPr>
          <w:rFonts w:ascii="Times New Roman" w:hAnsi="Times New Roman" w:cs="Times New Roman" w:eastAsia="Times New Roman"/>
          <w:b w:val="0"/>
          <w:i w:val="0"/>
          <w:sz w:val="22"/>
        </w:rPr>
        <w:t>2018; Vol. 17, No. 3: 429–441. https://www.scopus.com/record/display.uri?eid=2-s2.0-85029525987. DOI: https://doi.org/10.1080/14763141.2017.1371213.</w:t>
      </w:r>
    </w:p>
    <w:p>
      <w:pPr>
        <w:spacing w:before="0" w:after="0" w:line="240" w:lineRule="auto"/>
        <w:ind w:firstLine="425"/>
        <w:jc w:val="both"/>
      </w:pPr>
      <w:r>
        <w:rPr>
          <w:rFonts w:ascii="Times New Roman" w:hAnsi="Times New Roman" w:cs="Times New Roman"/>
          <w:b w:val="0"/>
          <w:i w:val="0"/>
          <w:sz w:val="22"/>
        </w:rPr>
        <w:t xml:space="preserve">24. Kim, S. E., Burket Koltsov, J. C., Richards, A. W., Zhou, J., Schadl, K., Ladd, A. L. &amp; Rose, J. “Validation of inertial measurement units for analyzing golf swing rotational biomechanics”. </w:t>
      </w:r>
      <w:r>
        <w:rPr>
          <w:rFonts w:ascii="Times New Roman" w:hAnsi="Times New Roman" w:cs="Times New Roman"/>
          <w:b w:val="0"/>
          <w:i/>
          <w:sz w:val="22"/>
        </w:rPr>
        <w:t>Sensors</w:t>
      </w:r>
      <w:r>
        <w:rPr>
          <w:rFonts w:ascii="Times New Roman" w:hAnsi="Times New Roman" w:cs="Times New Roman"/>
          <w:b w:val="0"/>
          <w:i w:val="0"/>
          <w:sz w:val="22"/>
        </w:rPr>
        <w:t>. 2023; Vol. 23, No. 20: 8433. DOI: https://doi.org/10.3390/s23208433.</w:t>
      </w:r>
    </w:p>
    <w:p>
      <w:pPr>
        <w:spacing w:before="0" w:after="0" w:line="240" w:lineRule="auto"/>
        <w:ind w:firstLine="425"/>
        <w:jc w:val="both"/>
      </w:pPr>
      <w:r>
        <w:rPr>
          <w:rFonts w:ascii="Times New Roman" w:hAnsi="Times New Roman" w:cs="Times New Roman" w:eastAsia="Times New Roman"/>
          <w:b w:val="0"/>
          <w:i w:val="0"/>
          <w:sz w:val="22"/>
        </w:rPr>
        <w:t xml:space="preserve">25. </w:t>
      </w:r>
      <w:r>
        <w:rPr>
          <w:rFonts w:ascii="Times New Roman" w:hAnsi="Times New Roman" w:cs="Times New Roman" w:eastAsia="Times New Roman"/>
          <w:b w:val="0"/>
          <w:i w:val="0"/>
          <w:sz w:val="22"/>
        </w:rPr>
        <w:t xml:space="preserve">Colyer, S. L., Evans, M., Cosker, D. P. &amp; Salo, A. I. T. </w:t>
      </w:r>
      <w:r>
        <w:rPr>
          <w:rFonts w:ascii="Times New Roman" w:hAnsi="Times New Roman" w:cs="Times New Roman" w:eastAsia="Times New Roman"/>
          <w:b w:val="0"/>
          <w:i w:val="0"/>
          <w:sz w:val="22"/>
        </w:rPr>
        <w:t xml:space="preserve">“A review of the evolution of vision-based motion analysis and the integration of advanced computer vision methods towards developing a markerless system”. </w:t>
      </w:r>
      <w:r>
        <w:rPr>
          <w:rFonts w:ascii="Times New Roman" w:hAnsi="Times New Roman" w:cs="Times New Roman" w:eastAsia="Times New Roman"/>
          <w:b w:val="0"/>
          <w:i/>
          <w:sz w:val="22"/>
        </w:rPr>
        <w:t xml:space="preserve">Sports Medicine – Open. </w:t>
      </w:r>
      <w:r>
        <w:rPr>
          <w:rFonts w:ascii="Times New Roman" w:hAnsi="Times New Roman" w:cs="Times New Roman" w:eastAsia="Times New Roman"/>
          <w:b w:val="0"/>
          <w:i w:val="0"/>
          <w:sz w:val="22"/>
        </w:rPr>
        <w:t>2018; Vol. 4: 24. https://www.scopus.com/record/display.uri?eid=2-s2.0-85048302366. DOI: https://doi.org/10.1186/s40798-018-0139-y.</w:t>
      </w:r>
    </w:p>
    <w:p>
      <w:pPr>
        <w:spacing w:before="0" w:after="0" w:line="240" w:lineRule="auto"/>
        <w:ind w:firstLine="425"/>
        <w:jc w:val="both"/>
      </w:pPr>
      <w:r>
        <w:rPr>
          <w:rFonts w:ascii="Times New Roman" w:hAnsi="Times New Roman" w:cs="Times New Roman" w:eastAsia="Times New Roman"/>
          <w:b w:val="0"/>
          <w:i w:val="0"/>
          <w:sz w:val="22"/>
        </w:rPr>
        <w:t xml:space="preserve">26. </w:t>
      </w:r>
      <w:r>
        <w:rPr>
          <w:rFonts w:ascii="Times New Roman" w:hAnsi="Times New Roman" w:cs="Times New Roman" w:eastAsia="Times New Roman"/>
          <w:b w:val="0"/>
          <w:i w:val="0"/>
          <w:sz w:val="22"/>
        </w:rPr>
        <w:t xml:space="preserve">Wade, L., Needham, L., McGuigan, P. &amp; Bilzon, J. </w:t>
      </w:r>
      <w:r>
        <w:rPr>
          <w:rFonts w:ascii="Times New Roman" w:hAnsi="Times New Roman" w:cs="Times New Roman" w:eastAsia="Times New Roman"/>
          <w:b w:val="0"/>
          <w:i w:val="0"/>
          <w:sz w:val="22"/>
        </w:rPr>
        <w:t xml:space="preserve">“Applications and limitations of current markerless motion capture methods for clinical gait biomechanics”. </w:t>
      </w:r>
      <w:r>
        <w:rPr>
          <w:rFonts w:ascii="Times New Roman" w:hAnsi="Times New Roman" w:cs="Times New Roman" w:eastAsia="Times New Roman"/>
          <w:b w:val="0"/>
          <w:i/>
          <w:sz w:val="22"/>
        </w:rPr>
        <w:t xml:space="preserve">PeerJ. </w:t>
      </w:r>
      <w:r>
        <w:rPr>
          <w:rFonts w:ascii="Times New Roman" w:hAnsi="Times New Roman" w:cs="Times New Roman" w:eastAsia="Times New Roman"/>
          <w:b w:val="0"/>
          <w:i w:val="0"/>
          <w:sz w:val="22"/>
        </w:rPr>
        <w:t>2022; Vol. 10: e12995. https://www.scopus.com/record/display.uri?eid=2-s2.0-85125709321. DOI: https://doi.org/10.7717/peerj.12995.</w:t>
      </w:r>
    </w:p>
    <w:p>
      <w:pPr>
        <w:spacing w:before="0" w:after="0" w:line="240" w:lineRule="auto"/>
        <w:ind w:firstLine="425"/>
        <w:jc w:val="both"/>
      </w:pPr>
      <w:r>
        <w:rPr>
          <w:rFonts w:ascii="Times New Roman" w:hAnsi="Times New Roman" w:cs="Times New Roman" w:eastAsia="Times New Roman"/>
          <w:b w:val="0"/>
          <w:i w:val="0"/>
          <w:sz w:val="22"/>
        </w:rPr>
        <w:t xml:space="preserve">27. </w:t>
      </w:r>
      <w:r>
        <w:rPr>
          <w:rFonts w:ascii="Times New Roman" w:hAnsi="Times New Roman" w:cs="Times New Roman" w:eastAsia="Times New Roman"/>
          <w:b w:val="0"/>
          <w:i w:val="0"/>
          <w:sz w:val="22"/>
        </w:rPr>
        <w:t xml:space="preserve">Needham, L., Evans, M., Cosker, D. P., Wade, L., McGuigan, P. M., Bilzon, J. L. &amp; Colyer, S. L. </w:t>
      </w:r>
      <w:r>
        <w:rPr>
          <w:rFonts w:ascii="Times New Roman" w:hAnsi="Times New Roman" w:cs="Times New Roman" w:eastAsia="Times New Roman"/>
          <w:b w:val="0"/>
          <w:i w:val="0"/>
          <w:sz w:val="22"/>
        </w:rPr>
        <w:t xml:space="preserve">“The accuracy of several pose estimation methods for 3D joint centre localisation”. </w:t>
      </w:r>
      <w:r>
        <w:rPr>
          <w:rFonts w:ascii="Times New Roman" w:hAnsi="Times New Roman" w:cs="Times New Roman" w:eastAsia="Times New Roman"/>
          <w:b w:val="0"/>
          <w:i/>
          <w:sz w:val="22"/>
        </w:rPr>
        <w:t xml:space="preserve">Scientific Reports. </w:t>
      </w:r>
      <w:r>
        <w:rPr>
          <w:rFonts w:ascii="Times New Roman" w:hAnsi="Times New Roman" w:cs="Times New Roman" w:eastAsia="Times New Roman"/>
          <w:b w:val="0"/>
          <w:i w:val="0"/>
          <w:sz w:val="22"/>
        </w:rPr>
        <w:t>2021; Vol. 11, No. 1: 20673. https://www.scopus.com/record/display.uri?eid=2-s2.0-85117132097. DOI: https://doi.org/10.1038/s41598-021-00212-x.</w:t>
      </w:r>
    </w:p>
    <w:p>
      <w:pPr>
        <w:spacing w:before="0" w:after="0" w:line="240" w:lineRule="auto"/>
        <w:ind w:firstLine="425"/>
        <w:jc w:val="both"/>
      </w:pPr>
      <w:r>
        <w:rPr>
          <w:rFonts w:ascii="Times New Roman" w:hAnsi="Times New Roman" w:cs="Times New Roman" w:eastAsia="Times New Roman"/>
          <w:b w:val="0"/>
          <w:i w:val="0"/>
          <w:sz w:val="22"/>
        </w:rPr>
        <w:t xml:space="preserve">28. </w:t>
      </w:r>
      <w:r>
        <w:rPr>
          <w:rFonts w:ascii="Times New Roman" w:hAnsi="Times New Roman" w:cs="Times New Roman" w:eastAsia="Times New Roman"/>
          <w:b w:val="0"/>
          <w:i w:val="0"/>
          <w:sz w:val="22"/>
        </w:rPr>
        <w:t xml:space="preserve">Stenum, J., Rossi, C. &amp; Roemmich, R. T. </w:t>
      </w:r>
      <w:r>
        <w:rPr>
          <w:rFonts w:ascii="Times New Roman" w:hAnsi="Times New Roman" w:cs="Times New Roman" w:eastAsia="Times New Roman"/>
          <w:b w:val="0"/>
          <w:i w:val="0"/>
          <w:sz w:val="22"/>
        </w:rPr>
        <w:t xml:space="preserve">“Two-dimensional video-based analysis of human gait using pose estimation”. </w:t>
      </w:r>
      <w:r>
        <w:rPr>
          <w:rFonts w:ascii="Times New Roman" w:hAnsi="Times New Roman" w:cs="Times New Roman" w:eastAsia="Times New Roman"/>
          <w:b w:val="0"/>
          <w:i/>
          <w:sz w:val="22"/>
        </w:rPr>
        <w:t xml:space="preserve">PLOS Computational Biology. </w:t>
      </w:r>
      <w:r>
        <w:rPr>
          <w:rFonts w:ascii="Times New Roman" w:hAnsi="Times New Roman" w:cs="Times New Roman" w:eastAsia="Times New Roman"/>
          <w:b w:val="0"/>
          <w:i w:val="0"/>
          <w:sz w:val="22"/>
        </w:rPr>
        <w:t>2021; Vol. 17, No. 4: e1008935. https://www.scopus.com/record/display.uri?eid=2-s2.0-85104998893. DOI: https://doi.org/10.1371/journal.pcbi.1008935.</w:t>
      </w:r>
    </w:p>
    <w:p>
      <w:pPr>
        <w:spacing w:before="0" w:after="0" w:line="240" w:lineRule="auto"/>
        <w:ind w:firstLine="425"/>
        <w:jc w:val="both"/>
      </w:pPr>
      <w:r>
        <w:rPr>
          <w:rFonts w:ascii="Times New Roman" w:hAnsi="Times New Roman" w:cs="Times New Roman" w:eastAsia="Times New Roman"/>
          <w:b w:val="0"/>
          <w:i w:val="0"/>
          <w:sz w:val="22"/>
        </w:rPr>
        <w:t xml:space="preserve">29. </w:t>
      </w:r>
      <w:r>
        <w:rPr>
          <w:rFonts w:ascii="Times New Roman" w:hAnsi="Times New Roman" w:cs="Times New Roman" w:eastAsia="Times New Roman"/>
          <w:b w:val="0"/>
          <w:i w:val="0"/>
          <w:sz w:val="22"/>
        </w:rPr>
        <w:t xml:space="preserve">Cust, E. E., Sweeting, A. J., Ball, K. &amp; Robertson, S. </w:t>
      </w:r>
      <w:r>
        <w:rPr>
          <w:rFonts w:ascii="Times New Roman" w:hAnsi="Times New Roman" w:cs="Times New Roman" w:eastAsia="Times New Roman"/>
          <w:b w:val="0"/>
          <w:i w:val="0"/>
          <w:sz w:val="22"/>
        </w:rPr>
        <w:t xml:space="preserve">“Machine and deep learning for sport-specific movement recognition: a systematic review of model development and performance”. </w:t>
      </w:r>
      <w:r>
        <w:rPr>
          <w:rFonts w:ascii="Times New Roman" w:hAnsi="Times New Roman" w:cs="Times New Roman" w:eastAsia="Times New Roman"/>
          <w:b w:val="0"/>
          <w:i/>
          <w:sz w:val="22"/>
        </w:rPr>
        <w:t xml:space="preserve">Journal of Sports Sciences. </w:t>
      </w:r>
      <w:r>
        <w:rPr>
          <w:rFonts w:ascii="Times New Roman" w:hAnsi="Times New Roman" w:cs="Times New Roman" w:eastAsia="Times New Roman"/>
          <w:b w:val="0"/>
          <w:i w:val="0"/>
          <w:sz w:val="22"/>
        </w:rPr>
        <w:t>2019; Vol. 37, No. 5: 568–600. https://www.scopus.com/record/display.uri?eid=2-s2.0-85053196097. DOI: https://doi.org/10.1080/02640414.2018.1521769.</w:t>
      </w:r>
    </w:p>
    <w:p>
      <w:pPr>
        <w:spacing w:before="0" w:after="0" w:line="240" w:lineRule="auto"/>
        <w:ind w:firstLine="425"/>
        <w:jc w:val="both"/>
      </w:pPr>
      <w:r>
        <w:rPr>
          <w:rFonts w:ascii="Times New Roman" w:hAnsi="Times New Roman" w:cs="Times New Roman"/>
          <w:b w:val="0"/>
          <w:i w:val="0"/>
          <w:sz w:val="22"/>
        </w:rPr>
        <w:t xml:space="preserve">30. Ingwersen, C. K., Nørtoft Jensen, J., Rieger Hannemose, M. &amp; Bjorholm Dahl, A. “Evaluating current state of monocular 3D pose models for golf”. </w:t>
      </w:r>
      <w:r>
        <w:rPr>
          <w:rFonts w:ascii="Times New Roman" w:hAnsi="Times New Roman" w:cs="Times New Roman"/>
          <w:b w:val="0"/>
          <w:i/>
          <w:sz w:val="22"/>
        </w:rPr>
        <w:t>Proceedings of the Northern Lights Deep Learning Workshop</w:t>
      </w:r>
      <w:r>
        <w:rPr>
          <w:rFonts w:ascii="Times New Roman" w:hAnsi="Times New Roman" w:cs="Times New Roman"/>
          <w:b w:val="0"/>
          <w:i w:val="0"/>
          <w:sz w:val="22"/>
        </w:rPr>
        <w:t>. 2023; Vol. 4. DOI: https://doi.org/10.7557/18.6793.</w:t>
      </w:r>
    </w:p>
    <w:p>
      <w:pPr>
        <w:spacing w:before="0" w:after="0" w:line="240" w:lineRule="auto"/>
        <w:ind w:firstLine="425"/>
        <w:jc w:val="both"/>
      </w:pPr>
      <w:r>
        <w:rPr>
          <w:rFonts w:ascii="Times New Roman" w:hAnsi="Times New Roman" w:cs="Times New Roman"/>
          <w:b w:val="0"/>
          <w:i w:val="0"/>
          <w:sz w:val="22"/>
        </w:rPr>
        <w:t xml:space="preserve">31. Yamamoto, K., Hasegawa, Y., Suzuki, T., Suzuki, H., Tanabe, H. &amp; Fujii, K. “Extracting proficiency differences and individual characteristics in golfers' swing using single-video markerless motion analysis”. </w:t>
      </w:r>
      <w:r>
        <w:rPr>
          <w:rFonts w:ascii="Times New Roman" w:hAnsi="Times New Roman" w:cs="Times New Roman"/>
          <w:b w:val="0"/>
          <w:i/>
          <w:sz w:val="22"/>
        </w:rPr>
        <w:t>Frontiers in Sports and Active Living</w:t>
      </w:r>
      <w:r>
        <w:rPr>
          <w:rFonts w:ascii="Times New Roman" w:hAnsi="Times New Roman" w:cs="Times New Roman"/>
          <w:b w:val="0"/>
          <w:i w:val="0"/>
          <w:sz w:val="22"/>
        </w:rPr>
        <w:t>. 2023; Vol. 5: 1272038. DOI: https://doi.org/10.3389/fspor.2023.1272038.</w:t>
      </w:r>
    </w:p>
    <w:p>
      <w:pPr>
        <w:spacing w:before="0" w:after="0" w:line="240" w:lineRule="auto"/>
        <w:ind w:firstLine="425"/>
        <w:jc w:val="both"/>
      </w:pPr>
      <w:r>
        <w:rPr>
          <w:rFonts w:ascii="Times New Roman" w:hAnsi="Times New Roman" w:cs="Times New Roman"/>
          <w:b w:val="0"/>
          <w:i w:val="0"/>
          <w:sz w:val="22"/>
        </w:rPr>
        <w:t xml:space="preserve">32. Syniuk, I. M., Maksymov, M. V., Maksymov, O. M. &amp; Iyer, K. “Markerless video-based golf-stick motion analysis using Kalman filtering and RTS smoothing”. </w:t>
      </w:r>
      <w:r>
        <w:rPr>
          <w:rFonts w:ascii="Times New Roman" w:hAnsi="Times New Roman" w:cs="Times New Roman"/>
          <w:b w:val="0"/>
          <w:i/>
          <w:sz w:val="22"/>
        </w:rPr>
        <w:t>Unpublished manuscript</w:t>
      </w:r>
      <w:r>
        <w:rPr>
          <w:rFonts w:ascii="Times New Roman" w:hAnsi="Times New Roman" w:cs="Times New Roman"/>
          <w:b w:val="0"/>
          <w:i w:val="0"/>
          <w:sz w:val="22"/>
        </w:rPr>
        <w:t>. 2026.</w:t>
      </w:r>
    </w:p>
    <w:p w14:paraId="236AEFCA" w14:textId="77777777" w:rsidR="00E0199E" w:rsidRDefault="007E0DC9">
      <w:pPr>
        <w:spacing w:line="240" w:lineRule="auto" w:before="240" w:after="0"/>
        <w:ind w:firstLine="0"/>
        <w:jc w:val="both"/>
      </w:pPr>
      <w:r>
        <w:rPr>
          <w:rFonts w:ascii="Times New Roman" w:hAnsi="Times New Roman" w:cs="Times New Roman" w:eastAsia="Times New Roman"/>
          <w:b/>
          <w:i w:val="0"/>
          <w:sz w:val="18"/>
        </w:rPr>
        <w:t xml:space="preserve">Conflicts of Interest: </w:t>
      </w:r>
      <w:r>
        <w:rPr>
          <w:rFonts w:ascii="Times New Roman" w:hAnsi="Times New Roman" w:cs="Times New Roman" w:eastAsia="Times New Roman"/>
          <w:b w:val="0"/>
          <w:i w:val="0"/>
          <w:sz w:val="18"/>
        </w:rPr>
        <w:t>The authors declare that there is no conflict of interest regarding this study, including financial, personal, authorship, or other interests that could influence the research and its results presented in this article.</w:t>
      </w:r>
    </w:p>
    <w:p w14:paraId="587DEED9" w14:textId="77777777" w:rsidR="00E0199E" w:rsidRDefault="007E0DC9">
      <w:pPr>
        <w:spacing w:line="240" w:lineRule="auto" w:before="120" w:after="0"/>
        <w:ind w:firstLine="0"/>
        <w:jc w:val="both"/>
      </w:pPr>
      <w:r>
        <w:rPr>
          <w:rFonts w:ascii="Times New Roman" w:hAnsi="Times New Roman" w:cs="Times New Roman" w:eastAsia="Times New Roman"/>
          <w:b/>
          <w:i w:val="0"/>
          <w:sz w:val="18"/>
        </w:rPr>
        <w:t xml:space="preserve">Funding: </w:t>
      </w:r>
      <w:r>
        <w:rPr>
          <w:rFonts w:ascii="Times New Roman" w:hAnsi="Times New Roman" w:cs="Times New Roman" w:eastAsia="Times New Roman"/>
          <w:b w:val="0"/>
          <w:i w:val="0"/>
          <w:sz w:val="18"/>
        </w:rPr>
        <w:t>This research was conducted without external financial support.</w:t>
      </w:r>
    </w:p>
    <w:p>
      <w:pPr>
        <w:spacing w:line="240" w:lineRule="auto"/>
        <w:ind w:firstLine="0"/>
        <w:jc w:val="both"/>
      </w:pPr>
      <w:r>
        <w:rPr>
          <w:rFonts w:ascii="Times New Roman" w:hAnsi="Times New Roman" w:cs="Times New Roman"/>
          <w:b w:val="0"/>
          <w:i w:val="0"/>
          <w:sz w:val="22"/>
        </w:rPr>
        <w:t>Ethics and consent: No ethics-committee approval was required. The analysed recordings are anonymized public demonstration footage used for algorithmic evaluation; they do not constitute identifiable human-participant research data for the purposes reported here. No participant image is reproduced.</w:t>
      </w:r>
    </w:p>
    <w:p>
      <w:pPr>
        <w:spacing w:line="240" w:lineRule="auto"/>
        <w:ind w:firstLine="0"/>
        <w:jc w:val="both"/>
      </w:pPr>
      <w:r>
        <w:rPr>
          <w:rFonts w:ascii="Times New Roman" w:hAnsi="Times New Roman" w:cs="Times New Roman"/>
          <w:b w:val="0"/>
          <w:i w:val="0"/>
          <w:sz w:val="22"/>
        </w:rPr>
        <w:t>Data availability: Aggregate tables and diagnostic summaries supporting the findings are reported in the article. Analysis code and de-identified session-level outputs are available in the public repository https://github.com/ivansinuyk/vr_motion. Source demonstration videos are available from the corresponding author on reasonable request and are not released as a separate public video dataset in this submission.</w:t>
      </w:r>
    </w:p>
    <w:p w14:paraId="7240EC32" w14:textId="77777777" w:rsidR="00E0199E" w:rsidRDefault="007E0DC9">
      <w:pPr>
        <w:spacing w:line="240" w:lineRule="auto" w:before="120" w:after="240"/>
        <w:ind w:firstLine="0"/>
        <w:jc w:val="both"/>
      </w:pPr>
      <w:r>
        <w:rPr>
          <w:rFonts w:ascii="Times New Roman" w:hAnsi="Times New Roman" w:cs="Times New Roman" w:eastAsia="Times New Roman"/>
          <w:b w:val="0"/>
          <w:i w:val="0"/>
          <w:sz w:val="20"/>
        </w:rPr>
        <w:t xml:space="preserve">Received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 xml:space="preserve">. Received after revision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 xml:space="preserve">. Accepted </w:t>
      </w:r>
      <w:r>
        <w:rPr>
          <w:rFonts w:ascii="Times New Roman" w:hAnsi="Times New Roman" w:cs="Times New Roman" w:eastAsia="Times New Roman"/>
          <w:b w:val="0"/>
          <w:i w:val="0"/>
          <w:sz w:val="20"/>
        </w:rPr>
        <w:t>[completed by editorial office]</w:t>
      </w:r>
      <w:r>
        <w:rPr>
          <w:rFonts w:ascii="Times New Roman" w:hAnsi="Times New Roman" w:cs="Times New Roman" w:eastAsia="Times New Roman"/>
          <w:b w:val="0"/>
          <w:i w:val="0"/>
          <w:sz w:val="20"/>
        </w:rPr>
        <w:t>.</w:t>
      </w:r>
    </w:p>
    <w:p>
      <w:pPr>
        <w:spacing w:before="240" w:after="0" w:line="240" w:lineRule="auto"/>
        <w:ind w:firstLine="0"/>
        <w:jc w:val="left"/>
      </w:pPr>
      <w:r>
        <w:rPr>
          <w:rFonts w:ascii="Times New Roman" w:hAnsi="Times New Roman" w:cs="Times New Roman" w:eastAsia="Times New Roman"/>
          <w:b/>
          <w:i w:val="0"/>
          <w:sz w:val="22"/>
        </w:rPr>
        <w:t>УДК 004.932:004.94:796.352</w:t>
      </w:r>
    </w:p>
    <w:p>
      <w:pPr>
        <w:spacing w:line="240" w:lineRule="auto"/>
        <w:ind w:firstLine="0"/>
        <w:jc w:val="center"/>
      </w:pPr>
    </w:p>
    <w:p>
      <w:pPr>
        <w:spacing w:before="0" w:after="0" w:line="240" w:lineRule="auto"/>
        <w:ind w:firstLine="0"/>
        <w:jc w:val="center"/>
      </w:pPr>
      <w:r>
        <w:rPr>
          <w:rFonts w:ascii="Times New Roman" w:hAnsi="Times New Roman" w:cs="Times New Roman" w:eastAsia="Times New Roman"/>
          <w:b/>
          <w:i w:val="0"/>
          <w:sz w:val="32"/>
        </w:rPr>
        <w:t>Діагностичне оцінювання безмаркерного відеоаналізу руху ключки для гольфу: еталонна двовимірна узгодженість і чутливість до збурень</w:t>
      </w:r>
    </w:p>
    <w:p>
      <w:pPr>
        <w:spacing w:line="240" w:lineRule="auto"/>
        <w:ind w:firstLine="0"/>
        <w:jc w:val="center"/>
      </w:pPr>
    </w:p>
    <w:p>
      <w:pPr>
        <w:spacing w:before="0" w:after="0" w:line="240" w:lineRule="auto"/>
        <w:ind w:firstLine="0"/>
        <w:jc w:val="right"/>
      </w:pPr>
      <w:r>
        <w:rPr>
          <w:rFonts w:ascii="Times New Roman" w:hAnsi="Times New Roman" w:cs="Times New Roman" w:eastAsia="Times New Roman"/>
          <w:b/>
          <w:i w:val="0"/>
          <w:sz w:val="22"/>
        </w:rPr>
        <w:t>Синюк Іван Миколайович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https://orcid.org/0009-0000-4141-0135; i.syniuk@gmail.com</w:t>
      </w:r>
    </w:p>
    <w:p>
      <w:pPr>
        <w:spacing w:before="0" w:after="0" w:line="240" w:lineRule="auto"/>
        <w:ind w:firstLine="0"/>
        <w:jc w:val="right"/>
      </w:pPr>
      <w:r>
        <w:rPr>
          <w:rFonts w:ascii="Times New Roman" w:hAnsi="Times New Roman" w:cs="Times New Roman" w:eastAsia="Times New Roman"/>
          <w:b/>
          <w:i w:val="0"/>
          <w:sz w:val="22"/>
        </w:rPr>
        <w:t>Максимов Максим Віталійович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https://orcid.org/0000-0002-7536-2570; prof.maksimov@gmail.com. Scopus Author ID: 7005088554</w:t>
      </w:r>
    </w:p>
    <w:p>
      <w:pPr>
        <w:spacing w:before="0" w:after="0" w:line="240" w:lineRule="auto"/>
        <w:ind w:firstLine="0"/>
        <w:jc w:val="right"/>
      </w:pPr>
      <w:r>
        <w:rPr>
          <w:rFonts w:ascii="Times New Roman" w:hAnsi="Times New Roman" w:cs="Times New Roman" w:eastAsia="Times New Roman"/>
          <w:b/>
          <w:i w:val="0"/>
          <w:sz w:val="22"/>
        </w:rPr>
        <w:t>Максимов Олексій Максимович</w:t>
      </w:r>
      <w:r>
        <w:rPr>
          <w:rFonts w:ascii="Times New Roman" w:hAnsi="Times New Roman" w:cs="Times New Roman" w:eastAsia="Times New Roman"/>
          <w:b/>
          <w:i w:val="0"/>
          <w:sz w:val="22"/>
          <w:vertAlign w:val="superscript"/>
        </w:rPr>
        <w:t>1)</w:t>
      </w:r>
    </w:p>
    <w:p>
      <w:pPr>
        <w:spacing w:before="0" w:after="0" w:line="240" w:lineRule="auto"/>
        <w:ind w:firstLine="0"/>
        <w:jc w:val="right"/>
      </w:pPr>
      <w:r>
        <w:rPr>
          <w:rFonts w:ascii="Times New Roman" w:hAnsi="Times New Roman" w:cs="Times New Roman" w:eastAsia="Times New Roman"/>
          <w:b w:val="0"/>
          <w:i w:val="0"/>
          <w:sz w:val="18"/>
        </w:rPr>
        <w:t>ORCID: https://orcid.org/0000-0003-2504-0853; oleksii.maksymov@op.edu.ua. Scopus Author ID: 57220057510</w:t>
      </w:r>
    </w:p>
    <w:p>
      <w:pPr>
        <w:spacing w:before="0" w:after="0" w:line="240" w:lineRule="auto"/>
        <w:ind w:firstLine="0"/>
        <w:jc w:val="right"/>
      </w:pPr>
      <w:r>
        <w:rPr>
          <w:rFonts w:ascii="Times New Roman" w:hAnsi="Times New Roman" w:cs="Times New Roman" w:eastAsia="Times New Roman"/>
          <w:b/>
          <w:i w:val="0"/>
          <w:sz w:val="22"/>
        </w:rPr>
        <w:t>Айєр Картік</w:t>
      </w:r>
      <w:r>
        <w:rPr>
          <w:rFonts w:ascii="Times New Roman" w:hAnsi="Times New Roman" w:cs="Times New Roman" w:eastAsia="Times New Roman"/>
          <w:b/>
          <w:i w:val="0"/>
          <w:sz w:val="22"/>
          <w:vertAlign w:val="superscript"/>
        </w:rPr>
        <w:t>2)</w:t>
      </w:r>
    </w:p>
    <w:p>
      <w:pPr>
        <w:spacing w:before="0" w:after="0" w:line="240" w:lineRule="auto"/>
        <w:ind w:firstLine="0"/>
        <w:jc w:val="right"/>
      </w:pPr>
      <w:r>
        <w:rPr>
          <w:rFonts w:ascii="Times New Roman" w:hAnsi="Times New Roman" w:cs="Times New Roman" w:eastAsia="Times New Roman"/>
          <w:b w:val="0"/>
          <w:i w:val="0"/>
          <w:sz w:val="18"/>
        </w:rPr>
        <w:t>ORCID: https://orcid.org/0009-0003-2520-1810; ki2406@columbia.edu</w:t>
      </w:r>
    </w:p>
    <w:p>
      <w:pPr>
        <w:spacing w:before="0" w:after="0" w:line="240" w:lineRule="auto"/>
        <w:ind w:firstLine="0"/>
        <w:jc w:val="right"/>
      </w:pPr>
      <w:r>
        <w:rPr>
          <w:rFonts w:ascii="Times New Roman" w:hAnsi="Times New Roman" w:cs="Times New Roman" w:eastAsia="Times New Roman"/>
          <w:b w:val="0"/>
          <w:i w:val="0"/>
          <w:sz w:val="18"/>
          <w:vertAlign w:val="superscript"/>
        </w:rPr>
        <w:t>1)</w:t>
      </w:r>
      <w:r>
        <w:rPr>
          <w:rFonts w:ascii="Times New Roman" w:hAnsi="Times New Roman" w:cs="Times New Roman" w:eastAsia="Times New Roman"/>
          <w:b w:val="0"/>
          <w:i w:val="0"/>
          <w:sz w:val="18"/>
        </w:rPr>
        <w:t xml:space="preserve"> Національний університет «Одеська політехніка», просп. Шевченка, 1. Одеса, 65044, Україна</w:t>
      </w:r>
    </w:p>
    <w:p>
      <w:pPr>
        <w:spacing w:before="0" w:after="0" w:line="240" w:lineRule="auto"/>
        <w:ind w:firstLine="0"/>
        <w:jc w:val="right"/>
      </w:pPr>
      <w:r>
        <w:rPr>
          <w:rFonts w:ascii="Times New Roman" w:hAnsi="Times New Roman" w:cs="Times New Roman" w:eastAsia="Times New Roman"/>
          <w:b w:val="0"/>
          <w:i w:val="0"/>
          <w:sz w:val="18"/>
          <w:vertAlign w:val="superscript"/>
        </w:rPr>
        <w:t>2)</w:t>
      </w:r>
      <w:r>
        <w:rPr>
          <w:rFonts w:ascii="Times New Roman" w:hAnsi="Times New Roman" w:cs="Times New Roman" w:eastAsia="Times New Roman"/>
          <w:b w:val="0"/>
          <w:i w:val="0"/>
          <w:sz w:val="18"/>
        </w:rPr>
        <w:t xml:space="preserve"> Колумбійський університет, 116-та вулиця та Бродвей. Нью-Йорк, 10027, США</w:t>
      </w:r>
    </w:p>
    <w:p>
      <w:pPr>
        <w:spacing w:before="240" w:after="240" w:line="240" w:lineRule="auto"/>
        <w:ind w:firstLine="0"/>
        <w:jc w:val="center"/>
      </w:pPr>
      <w:r>
        <w:rPr>
          <w:rFonts w:ascii="Times New Roman" w:hAnsi="Times New Roman" w:cs="Times New Roman" w:eastAsia="Times New Roman"/>
          <w:b/>
          <w:i w:val="0"/>
          <w:sz w:val="24"/>
        </w:rPr>
        <w:t>АНОТАЦІЯ</w:t>
      </w:r>
    </w:p>
    <w:p>
      <w:pPr>
        <w:spacing w:before="0" w:after="0" w:line="240" w:lineRule="auto"/>
        <w:ind w:firstLine="425"/>
        <w:jc w:val="both"/>
      </w:pPr>
      <w:r>
        <w:rPr>
          <w:rFonts w:ascii="Times New Roman" w:hAnsi="Times New Roman" w:cs="Times New Roman"/>
          <w:b/>
          <w:i w:val="0"/>
          <w:sz w:val="18"/>
        </w:rPr>
        <w:t xml:space="preserve">Актуальність. </w:t>
      </w:r>
      <w:r>
        <w:rPr>
          <w:rFonts w:ascii="Times New Roman" w:hAnsi="Times New Roman" w:cs="Times New Roman"/>
          <w:b w:val="0"/>
          <w:i w:val="0"/>
          <w:sz w:val="18"/>
        </w:rPr>
        <w:t xml:space="preserve">Безмаркерний відеоаналіз може розширити доступ до вимірювання гольф-свінгу, однак візуальна правдоподібність не доводить валідності вимірювань, а один анотатор не дає змоги оцінити точність самого еталона. </w:t>
      </w:r>
      <w:r>
        <w:rPr>
          <w:rFonts w:ascii="Times New Roman" w:hAnsi="Times New Roman" w:cs="Times New Roman"/>
          <w:b/>
          <w:i w:val="0"/>
          <w:sz w:val="18"/>
        </w:rPr>
        <w:t xml:space="preserve">Метою статті </w:t>
      </w:r>
      <w:r>
        <w:rPr>
          <w:rFonts w:ascii="Times New Roman" w:hAnsi="Times New Roman" w:cs="Times New Roman"/>
          <w:b w:val="0"/>
          <w:i w:val="0"/>
          <w:sz w:val="18"/>
        </w:rPr>
        <w:t xml:space="preserve">є діагностично оцінити реалізований монокулярний пайплайн аналізу руху ключки для гольфу щодо багатоекспертного візуального еталона, власну невизначеність якого визначено попередньо. </w:t>
      </w:r>
      <w:r>
        <w:rPr>
          <w:rFonts w:ascii="Times New Roman" w:hAnsi="Times New Roman" w:cs="Times New Roman"/>
          <w:b/>
          <w:i w:val="0"/>
          <w:sz w:val="18"/>
        </w:rPr>
        <w:t xml:space="preserve">Завдання. </w:t>
      </w:r>
      <w:r>
        <w:rPr>
          <w:rFonts w:ascii="Times New Roman" w:hAnsi="Times New Roman" w:cs="Times New Roman"/>
          <w:b w:val="0"/>
          <w:i w:val="0"/>
          <w:sz w:val="18"/>
        </w:rPr>
        <w:t xml:space="preserve">Кількісно оцінити міжекспертну та внутрішньоекспертну узгодженість подій і позначень головки ключки на вибраних кадрах; перевірити узгодженість часової прив’язки перед інтерпретацією помилок подій; виміряти узгодженість алгоритму з консенсусом для подій і локалізації головки; стрес-тестувати експортовані метрики за контрольованих збурень; проаналізувати поведінку виробничих етапів шляхом абляції. </w:t>
      </w:r>
      <w:r>
        <w:rPr>
          <w:rFonts w:ascii="Times New Roman" w:hAnsi="Times New Roman" w:cs="Times New Roman"/>
          <w:b/>
          <w:i w:val="0"/>
          <w:sz w:val="18"/>
        </w:rPr>
        <w:t xml:space="preserve">Методи. </w:t>
      </w:r>
      <w:r>
        <w:rPr>
          <w:rFonts w:ascii="Times New Roman" w:hAnsi="Times New Roman" w:cs="Times New Roman"/>
          <w:b w:val="0"/>
          <w:i w:val="0"/>
          <w:sz w:val="18"/>
        </w:rPr>
        <w:t xml:space="preserve">Із 71 неоднорідної сесії відібрано 25 за стратами ракурсу, класу швидкості зйомки та якості. Два анотатори позначили вихідне положення, вершину замаху, перехід до даунсвінгу та удар і клікнули головку ключки на спільному плані з 150 кадрів; один анотатор повторив 10 сесій у засліпленому режимі. Розкрите правило середнього сформувало консенсус для всіх порівнянь з алгоритмом. Проаналізовано узгодженість, нормалізовані похибки локалізації, дванадцять сценаріїв збурень і вкладену абляцію виробничих етапів. </w:t>
      </w:r>
      <w:r>
        <w:rPr>
          <w:rFonts w:ascii="Times New Roman" w:hAnsi="Times New Roman" w:cs="Times New Roman"/>
          <w:b/>
          <w:i w:val="0"/>
          <w:sz w:val="18"/>
        </w:rPr>
        <w:t xml:space="preserve">Наукова новизна. </w:t>
      </w:r>
      <w:r>
        <w:rPr>
          <w:rFonts w:ascii="Times New Roman" w:hAnsi="Times New Roman" w:cs="Times New Roman"/>
          <w:b w:val="0"/>
          <w:i w:val="0"/>
          <w:sz w:val="18"/>
        </w:rPr>
        <w:t xml:space="preserve">Діагностична структура оцінювання, що вимірює точність еталона до порівняння з алгоритмом і розділяє межі доказовості за часовою прив’язкою, узгодженістю, збуреннями та етапами пайплайну. </w:t>
      </w:r>
      <w:r>
        <w:rPr>
          <w:rFonts w:ascii="Times New Roman" w:hAnsi="Times New Roman" w:cs="Times New Roman"/>
          <w:b/>
          <w:i w:val="0"/>
          <w:sz w:val="18"/>
        </w:rPr>
        <w:t xml:space="preserve">Практична значимість. </w:t>
      </w:r>
      <w:r>
        <w:rPr>
          <w:rFonts w:ascii="Times New Roman" w:hAnsi="Times New Roman" w:cs="Times New Roman"/>
          <w:b w:val="0"/>
          <w:i w:val="0"/>
          <w:sz w:val="18"/>
        </w:rPr>
        <w:t xml:space="preserve">Результати показують, які метрики й етапи порівняно стабільні або крихкі за неоднорідного відео, і спрямовують перепроектування до заяв щодо тренерського чи VR-застосування. </w:t>
      </w:r>
      <w:r>
        <w:rPr>
          <w:rFonts w:ascii="Times New Roman" w:hAnsi="Times New Roman" w:cs="Times New Roman"/>
          <w:b/>
          <w:i w:val="0"/>
          <w:sz w:val="18"/>
        </w:rPr>
        <w:t xml:space="preserve">Результати. </w:t>
      </w:r>
      <w:r>
        <w:rPr>
          <w:rFonts w:ascii="Times New Roman" w:hAnsi="Times New Roman" w:cs="Times New Roman"/>
          <w:b w:val="0"/>
          <w:i w:val="0"/>
          <w:sz w:val="18"/>
        </w:rPr>
        <w:t xml:space="preserve">Між анотаторами кадри подій узгоджувалися з медіаною 4 кадри (80 мс), тоді як кліки головки розходилися на медіану 4,03% діагоналі кадру. Автоматичні події спрацьовували на 38–40 кадрів раніше за консенсус. Медіана сесійних розбіжностей головки становила 2,54% діагоналі кадру, нижче міжекспертної розбіжності кліків, із важким хвостом помилок. Ефективність траєкторії та індекс плавності мали найменшу реакцію на збурення, а темп і пікові швидкості — значно більшу. Абляція після корекції шуму процесу показала велике залишкове відхилення шляху після згладжування та відновлення середньоквадратичного ривка після обмеженої реконструкції. </w:t>
      </w:r>
      <w:r>
        <w:rPr>
          <w:rFonts w:ascii="Times New Roman" w:hAnsi="Times New Roman" w:cs="Times New Roman"/>
          <w:b/>
          <w:i w:val="0"/>
          <w:sz w:val="18"/>
        </w:rPr>
        <w:t xml:space="preserve">Висновки. </w:t>
      </w:r>
      <w:r>
        <w:rPr>
          <w:rFonts w:ascii="Times New Roman" w:hAnsi="Times New Roman" w:cs="Times New Roman"/>
          <w:b w:val="0"/>
          <w:i w:val="0"/>
          <w:sz w:val="18"/>
        </w:rPr>
        <w:t xml:space="preserve">Дослідження встановлює відтворювану діагностичну базову лінію та карту режимів відмови поточного робочого процесу; воно не заявляє зовнішньої біомеханічної валідності, надійності повторних вимірювань спортсмена чи прикладної придатності. </w:t>
      </w:r>
    </w:p>
    <w:p>
      <w:pPr>
        <w:spacing w:before="120" w:after="0" w:line="240" w:lineRule="auto"/>
        <w:ind w:firstLine="425"/>
        <w:jc w:val="both"/>
      </w:pPr>
      <w:r>
        <w:rPr>
          <w:rFonts w:ascii="Times New Roman" w:hAnsi="Times New Roman" w:cs="Times New Roman"/>
          <w:b/>
          <w:i w:val="0"/>
          <w:sz w:val="18"/>
        </w:rPr>
        <w:t xml:space="preserve">Ключові слова: </w:t>
      </w:r>
      <w:r>
        <w:rPr>
          <w:rFonts w:ascii="Times New Roman" w:hAnsi="Times New Roman" w:cs="Times New Roman"/>
          <w:b w:val="0"/>
          <w:i w:val="0"/>
          <w:sz w:val="18"/>
        </w:rPr>
        <w:t>безмаркерний аналіз руху; гольф-свінг; відстеження головки ключки; міжекспертна узгодженість; аналіз збурень; узгодженість вимірювань</w:t>
      </w:r>
    </w:p>
    <w:p>
      <w:pPr>
        <w:spacing w:before="240" w:after="120" w:line="240" w:lineRule="auto"/>
        <w:ind w:firstLine="0"/>
        <w:jc w:val="both"/>
      </w:pPr>
      <w:r>
        <w:rPr>
          <w:rFonts w:ascii="Times New Roman" w:hAnsi="Times New Roman" w:cs="Times New Roman"/>
          <w:b/>
          <w:i/>
          <w:sz w:val="16"/>
        </w:rPr>
        <w:t xml:space="preserve">Для цитування: </w:t>
      </w:r>
      <w:r>
        <w:rPr>
          <w:rFonts w:ascii="Times New Roman" w:hAnsi="Times New Roman" w:cs="Times New Roman"/>
          <w:b w:val="0"/>
          <w:i w:val="0"/>
          <w:sz w:val="16"/>
        </w:rPr>
        <w:t>Синюк І. М., Максимов М. В., Максимов О. М., Айєр К. «Діагностичне оцінювання безмаркерного відеоаналізу руху ключки для гольфу: еталонна двовимірна узгодженість і чутливість до збурень». Herald of Advanced Information Technology. - [Рік]. - Т. [..]. - № [..]. - С. [..-..]. DOI: [призначається редакцією]</w:t>
      </w:r>
    </w:p>
    <w:p w14:paraId="620919F0" w14:textId="77777777" w:rsidR="00E0199E" w:rsidRDefault="007E0DC9">
      <w:pPr>
        <w:spacing w:before="240" w:after="240" w:line="240" w:lineRule="auto"/>
        <w:ind w:firstLine="0"/>
        <w:jc w:val="center"/>
      </w:pPr>
      <w:r>
        <w:rPr>
          <w:rFonts w:ascii="Times New Roman" w:hAnsi="Times New Roman" w:cs="Times New Roman" w:eastAsia="Times New Roman"/>
          <w:b/>
          <w:i w:val="0"/>
          <w:sz w:val="22"/>
        </w:rPr>
        <w:t>ABOUT THE AUTHORS</w:t>
      </w:r>
    </w:p>
    <w:tbl>
      <w:tblPr>
        <w:tblStyle w:val="aff2"/>
        <w:tblW w:w="0" w:type="auto"/>
        <w:tblLook w:val="04A0" w:firstRow="1" w:lastRow="0" w:firstColumn="1" w:lastColumn="0" w:noHBand="0" w:noVBand="1"/>
        <w:tblBorders>
          <w:top w:val="nil"/>
          <w:left w:val="nil"/>
          <w:bottom w:val="nil"/>
          <w:right w:val="nil"/>
          <w:insideH w:val="nil"/>
          <w:insideV w:val="nil"/>
        </w:tblBorders>
      </w:tblPr>
      <w:tblGrid>
        <w:gridCol w:w="4819"/>
        <w:gridCol w:w="4819"/>
      </w:tblGrid>
      <w:tr w:rsidR="00FA512F" w14:paraId="62815E66" w14:textId="77777777">
        <w:tc>
          <w:tcPr>
            <w:tcW w:w="1701" w:type="dxa"/>
          </w:tcPr>
          <w:p w14:paraId="11801B1B" w14:textId="7DA994FE" w:rsidR="00FA512F" w:rsidRDefault="00CF4246" w:rsidP="00CF4246">
            <w:pPr>
              <w:spacing w:before="0" w:after="0" w:line="240" w:lineRule="auto"/>
              <w:ind w:firstLine="0"/>
              <w:jc w:val="center"/>
            </w:pPr>
            <w:r>
              <w:rPr>
                <w:rFonts w:ascii="Times New Roman" w:hAnsi="Times New Roman" w:cs="Times New Roman" w:eastAsia="Times New Roman"/>
                <w:noProof/>
                <w:sz w:val="22"/>
              </w:rPr>
              <w:drawing>
                <wp:inline distT="0" distB="0" distL="0" distR="0" wp14:anchorId="6DC5D5F9" wp14:editId="64071270">
                  <wp:extent cx="853440" cy="1179657"/>
                  <wp:effectExtent l="0" t="0" r="381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12192" cy="1260866"/>
                          </a:xfrm>
                          <a:prstGeom prst="rect">
                            <a:avLst/>
                          </a:prstGeom>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Ivan M. Syniuk</w:t>
            </w:r>
            <w:r>
              <w:rPr>
                <w:rFonts w:ascii="Times New Roman" w:hAnsi="Times New Roman" w:cs="Times New Roman" w:eastAsia="Times New Roman"/>
                <w:b w:val="0"/>
                <w:i w:val="0"/>
                <w:sz w:val="16"/>
              </w:rPr>
              <w:t xml:space="preserve"> – PhD student, Department of Computer Intelligent Systems and Networks, Odesa Polytechnic National University, 1, Shevchenko Ave. Odesa, 65044, Ukraine. Author of scientific publications on markerless motion analysis, computer vision pipelines and applied biomechanics. Current PhD research focuses on the development of reproducible video-based measurement workflows for sport biomechanics and virtual-reality training applications, including signal filtering, trajectory smoothing and kinematic feature extraction.</w:t>
            </w:r>
          </w:p>
          <w:p>
            <w:pPr>
              <w:spacing w:before="0" w:after="0" w:line="240" w:lineRule="auto"/>
              <w:ind w:firstLine="0"/>
              <w:jc w:val="both"/>
            </w:pPr>
            <w:r>
              <w:rPr>
                <w:rFonts w:ascii="Times New Roman" w:hAnsi="Times New Roman" w:cs="Times New Roman" w:eastAsia="Times New Roman"/>
                <w:b w:val="0"/>
                <w:i w:val="0"/>
                <w:sz w:val="16"/>
              </w:rPr>
              <w:t>ORCID: https://orcid.org/0009-0000-4141-0135; i.syniuk@gmail.com</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markerless motion analysis; computer vision; Kalman filtering and trajectory smoothing; sport biomechanics; virtual-reality training systems</w:t>
            </w:r>
          </w:p>
          <w:p>
            <w:pPr>
              <w:spacing w:before="0" w:after="0" w:line="240" w:lineRule="auto"/>
              <w:ind w:firstLine="0"/>
              <w:jc w:val="both"/>
            </w:pPr>
            <w:r>
              <w:rPr>
                <w:rFonts w:ascii="Times New Roman" w:hAnsi="Times New Roman" w:cs="Times New Roman" w:eastAsia="Times New Roman"/>
                <w:b/>
                <w:i w:val="0"/>
                <w:sz w:val="16"/>
              </w:rPr>
              <w:t>Синюк Іван Миколайович</w:t>
            </w:r>
            <w:r>
              <w:rPr>
                <w:rFonts w:ascii="Times New Roman" w:hAnsi="Times New Roman" w:cs="Times New Roman" w:eastAsia="Times New Roman"/>
                <w:b w:val="0"/>
                <w:i w:val="0"/>
                <w:sz w:val="16"/>
              </w:rPr>
              <w:t xml:space="preserve"> – аспірант кафедри комп’ютерних інтелектуальних систем і мереж, Національний університет «Одеська політехніка», просп. Шевченка, 1. Одеса, 65044, Україна. Сфера наукових інтересів охоплює безмаркерний відеоаналіз рухів людини та спортивного інвентарю, фільтрацію Калмана, згладжування траєкторій, кінематичні індикатори техніки виконання та застосування відеоаналітики у системах віртуальної реальності.</w:t>
            </w:r>
          </w:p>
        </w:tc>
      </w:tr>
      <w:tr w:rsidR="00FA512F" w14:paraId="1B68495E" w14:textId="77777777">
        <w:tc>
          <w:tcPr>
            <w:tcW w:w="1701" w:type="dxa"/>
          </w:tcPr>
          <w:p w14:paraId="180F4E97" w14:textId="12DC0F19" w:rsidR="00FA512F" w:rsidRDefault="00CF4246" w:rsidP="00CF4246">
            <w:pPr>
              <w:spacing w:before="0" w:after="0" w:line="240" w:lineRule="auto"/>
              <w:ind w:firstLine="0"/>
              <w:jc w:val="center"/>
            </w:pPr>
            <w:r>
              <w:rPr>
                <w:rFonts w:ascii="Times New Roman" w:hAnsi="Times New Roman" w:cs="Times New Roman" w:eastAsia="Times New Roman"/>
                <w:noProof/>
                <w:sz w:val="22"/>
              </w:rPr>
              <w:drawing>
                <wp:inline distT="0" distB="0" distL="0" distR="0" wp14:anchorId="44122026" wp14:editId="6797FFC1">
                  <wp:extent cx="871728" cy="1161789"/>
                  <wp:effectExtent l="0" t="0" r="5080" b="635"/>
                  <wp:docPr id="8" name="Рисунок 8" descr="Максимов Максим Віталійович | Odesa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аксимов Максим Віталійович | Odesa Polytechni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2607" cy="1202943"/>
                          </a:xfrm>
                          <a:prstGeom prst="rect">
                            <a:avLst/>
                          </a:prstGeom>
                          <a:noFill/>
                          <a:ln>
                            <a:noFill/>
                          </a:ln>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Maksym V. Maksymov</w:t>
            </w:r>
            <w:r>
              <w:rPr>
                <w:rFonts w:ascii="Times New Roman" w:hAnsi="Times New Roman" w:cs="Times New Roman" w:eastAsia="Times New Roman"/>
                <w:b w:val="0"/>
                <w:i w:val="0"/>
                <w:sz w:val="16"/>
              </w:rPr>
              <w:t xml:space="preserve"> – Doctor of Technical Sciences, Professor, Head of Department, Department of Computer Intelligent Systems and Networks, Odesa Polytechnic National University, 1, Shevchenko Ave. Odesa, 65044, Ukraine. Author and co-author of more than two hundred scientific publications, monographs, patents and study guides on automated control systems, intelligent measurement systems and applied data analysis. Supervises doctoral and PhD research on intelligent information systems and computer modelling of complex technical objects.</w:t>
            </w:r>
          </w:p>
          <w:p>
            <w:pPr>
              <w:spacing w:before="0" w:after="0" w:line="240" w:lineRule="auto"/>
              <w:ind w:firstLine="0"/>
              <w:jc w:val="both"/>
            </w:pPr>
            <w:r>
              <w:rPr>
                <w:rFonts w:ascii="Times New Roman" w:hAnsi="Times New Roman" w:cs="Times New Roman" w:eastAsia="Times New Roman"/>
                <w:b w:val="0"/>
                <w:i w:val="0"/>
                <w:sz w:val="16"/>
              </w:rPr>
              <w:t>ORCID: https://orcid.org/0000-0002-7536-2570; prof.maksimov@gmail.com; Scopus Author ID: 7005088554</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automation and control systems; intelligent measurement systems; data analysis and processing; computer modelling of complex technical objects; decision-support systems</w:t>
            </w:r>
          </w:p>
          <w:p>
            <w:pPr>
              <w:spacing w:before="0" w:after="0" w:line="240" w:lineRule="auto"/>
              <w:ind w:firstLine="0"/>
              <w:jc w:val="both"/>
            </w:pPr>
            <w:r>
              <w:rPr>
                <w:rFonts w:ascii="Times New Roman" w:hAnsi="Times New Roman" w:cs="Times New Roman" w:eastAsia="Times New Roman"/>
                <w:b/>
                <w:i w:val="0"/>
                <w:sz w:val="16"/>
              </w:rPr>
              <w:t>Максимов Максим Віталійович</w:t>
            </w:r>
            <w:r>
              <w:rPr>
                <w:rFonts w:ascii="Times New Roman" w:hAnsi="Times New Roman" w:cs="Times New Roman" w:eastAsia="Times New Roman"/>
                <w:b w:val="0"/>
                <w:i w:val="0"/>
                <w:sz w:val="16"/>
              </w:rPr>
              <w:t xml:space="preserve"> – доктор технічних наук, професор, завідувач кафедри комп’ютерних інтелектуальних систем і мереж, Національний університет «Одеська політехніка», просп. Шевченка, 1. Одеса, 65044, Україна. Автор і співавтор понад двохсот наукових публікацій, монографій, патентів та навчально-методичних видань у галузі автоматизованих систем управління, інтелектуальних вимірювальних систем та аналізу даних.</w:t>
            </w:r>
          </w:p>
        </w:tc>
      </w:tr>
      <w:tr w:rsidR="00FA512F" w14:paraId="0C0C79E7" w14:textId="77777777">
        <w:tc>
          <w:tcPr>
            <w:tcW w:w="1701" w:type="dxa"/>
          </w:tcPr>
          <w:p>
            <w:pPr>
              <w:jc w:val="center"/>
            </w:pPr>
            <w:r/>
            <w:r>
              <w:drawing>
                <wp:inline xmlns:a="http://schemas.openxmlformats.org/drawingml/2006/main" xmlns:pic="http://schemas.openxmlformats.org/drawingml/2006/picture">
                  <wp:extent cx="1080000" cy="1440000"/>
                  <wp:docPr id="17" name="Picture 17"/>
                  <wp:cNvGraphicFramePr>
                    <a:graphicFrameLocks noChangeAspect="1"/>
                  </wp:cNvGraphicFramePr>
                  <a:graphic>
                    <a:graphicData uri="http://schemas.openxmlformats.org/drawingml/2006/picture">
                      <pic:pic>
                        <pic:nvPicPr>
                          <pic:cNvPr id="0" name="oleksii_maksymov_3x4.jpg"/>
                          <pic:cNvPicPr/>
                        </pic:nvPicPr>
                        <pic:blipFill>
                          <a:blip r:embed="rId30"/>
                          <a:stretch>
                            <a:fillRect/>
                          </a:stretch>
                        </pic:blipFill>
                        <pic:spPr>
                          <a:xfrm>
                            <a:off x="0" y="0"/>
                            <a:ext cx="1080000" cy="1440000"/>
                          </a:xfrm>
                          <a:prstGeom prst="rect"/>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Oleksii M. Maksymov</w:t>
            </w:r>
            <w:r>
              <w:rPr>
                <w:rFonts w:ascii="Times New Roman" w:hAnsi="Times New Roman" w:cs="Times New Roman" w:eastAsia="Times New Roman"/>
                <w:b w:val="0"/>
                <w:i w:val="0"/>
                <w:sz w:val="16"/>
              </w:rPr>
              <w:t xml:space="preserve"> – PhD in Engineering, Associate Professor, Department of Computer Intelligent Systems and Networks, Odesa Polytechnic National University, 1, Shevchenko Ave. Odesa, 65044, Ukraine. Author of scientific publications in the field of computer vision, applied signal processing and intelligent information systems. Participates in research and educational projects related to image processing, software engineering and the development of analytical pipelines for heterogeneous measurement data.</w:t>
            </w:r>
          </w:p>
          <w:p>
            <w:pPr>
              <w:spacing w:before="0" w:after="0" w:line="240" w:lineRule="auto"/>
              <w:ind w:firstLine="0"/>
              <w:jc w:val="both"/>
            </w:pPr>
            <w:r>
              <w:rPr>
                <w:rFonts w:ascii="Times New Roman" w:hAnsi="Times New Roman" w:cs="Times New Roman" w:eastAsia="Times New Roman"/>
                <w:b w:val="0"/>
                <w:i w:val="0"/>
                <w:sz w:val="16"/>
              </w:rPr>
              <w:t>ORCID: https://orcid.org/0000-0003-2504-0853; oleksii.maksymov@op.edu.ua; Scopus Author ID: 57220057510</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computer vision; digital signal and image processing; intelligent information systems; software engineering; applied machine learning</w:t>
            </w:r>
          </w:p>
          <w:p>
            <w:pPr>
              <w:spacing w:before="0" w:after="0" w:line="240" w:lineRule="auto"/>
              <w:ind w:firstLine="0"/>
              <w:jc w:val="both"/>
            </w:pPr>
            <w:r>
              <w:rPr>
                <w:rFonts w:ascii="Times New Roman" w:hAnsi="Times New Roman" w:cs="Times New Roman" w:eastAsia="Times New Roman"/>
                <w:b/>
                <w:i w:val="0"/>
                <w:sz w:val="16"/>
              </w:rPr>
              <w:t>Максимов Олексій Максимович</w:t>
            </w:r>
            <w:r>
              <w:rPr>
                <w:rFonts w:ascii="Times New Roman" w:hAnsi="Times New Roman" w:cs="Times New Roman" w:eastAsia="Times New Roman"/>
                <w:b w:val="0"/>
                <w:i w:val="0"/>
                <w:sz w:val="16"/>
              </w:rPr>
              <w:t xml:space="preserve"> – кандидат технічних наук, доцент кафедри комп’ютерних інтелектуальних систем і мереж, Національний університет «Одеська політехніка», просп. Шевченка, 1. Одеса, 65044, Україна. Автор наукових публікацій у галузі комп’ютерного зору, цифрової обробки сигналів і зображень, інтелектуальних інформаційних систем та програмної інженерії.</w:t>
            </w:r>
          </w:p>
        </w:tc>
      </w:tr>
      <w:tr w:rsidR="00FA512F" w14:paraId="435A0D14" w14:textId="77777777">
        <w:tc>
          <w:tcPr>
            <w:tcW w:w="1701" w:type="dxa"/>
          </w:tcPr>
          <w:p>
            <w:pPr>
              <w:jc w:val="center"/>
            </w:pPr>
            <w:r/>
            <w:r>
              <w:drawing>
                <wp:inline xmlns:a="http://schemas.openxmlformats.org/drawingml/2006/main" xmlns:pic="http://schemas.openxmlformats.org/drawingml/2006/picture">
                  <wp:extent cx="1080000" cy="1440000"/>
                  <wp:docPr id="18" name="Picture 18"/>
                  <wp:cNvGraphicFramePr>
                    <a:graphicFrameLocks noChangeAspect="1"/>
                  </wp:cNvGraphicFramePr>
                  <a:graphic>
                    <a:graphicData uri="http://schemas.openxmlformats.org/drawingml/2006/picture">
                      <pic:pic>
                        <pic:nvPicPr>
                          <pic:cNvPr id="0" name="karthik_iyer_3x4.jpg"/>
                          <pic:cNvPicPr/>
                        </pic:nvPicPr>
                        <pic:blipFill>
                          <a:blip r:embed="rId31"/>
                          <a:stretch>
                            <a:fillRect/>
                          </a:stretch>
                        </pic:blipFill>
                        <pic:spPr>
                          <a:xfrm>
                            <a:off x="0" y="0"/>
                            <a:ext cx="1080000" cy="1440000"/>
                          </a:xfrm>
                          <a:prstGeom prst="rect"/>
                        </pic:spPr>
                      </pic:pic>
                    </a:graphicData>
                  </a:graphic>
                </wp:inline>
              </w:drawing>
            </w:r>
          </w:p>
        </w:tc>
        <w:tc>
          <w:tcPr>
            <w:tcW w:w="7937" w:type="dxa"/>
          </w:tcPr>
          <w:p>
            <w:pPr>
              <w:spacing w:before="0" w:after="0" w:line="240" w:lineRule="auto"/>
              <w:ind w:firstLine="0"/>
              <w:jc w:val="both"/>
            </w:pPr>
            <w:r>
              <w:rPr>
                <w:rFonts w:ascii="Times New Roman" w:hAnsi="Times New Roman" w:cs="Times New Roman" w:eastAsia="Times New Roman"/>
                <w:b/>
                <w:i w:val="0"/>
                <w:sz w:val="16"/>
              </w:rPr>
              <w:t>Karthik Iyer</w:t>
            </w:r>
            <w:r>
              <w:rPr>
                <w:rFonts w:ascii="Times New Roman" w:hAnsi="Times New Roman" w:cs="Times New Roman" w:eastAsia="Times New Roman"/>
                <w:b w:val="0"/>
                <w:i w:val="0"/>
                <w:sz w:val="16"/>
              </w:rPr>
              <w:t xml:space="preserve"> – Researcher, Columbia University, 116th Street and Broadway. New York, NY 10027, USA. Conducts research on computer vision, applied machine learning and biomedical engineering, with particular interest in image-based measurement of human motion, sport biomechanics and assistive technologies. Co-author of publications on motion analysis and applied signal processing in healthcare and sport-related domains.</w:t>
            </w:r>
          </w:p>
          <w:p>
            <w:pPr>
              <w:spacing w:before="0" w:after="0" w:line="240" w:lineRule="auto"/>
              <w:ind w:firstLine="0"/>
              <w:jc w:val="both"/>
            </w:pPr>
            <w:r>
              <w:rPr>
                <w:rFonts w:ascii="Times New Roman" w:hAnsi="Times New Roman" w:cs="Times New Roman" w:eastAsia="Times New Roman"/>
                <w:b w:val="0"/>
                <w:i w:val="0"/>
                <w:sz w:val="16"/>
              </w:rPr>
              <w:t>ORCID: https://orcid.org/0009-0003-2520-1810; ki2406@columbia.edu</w:t>
            </w:r>
          </w:p>
          <w:p>
            <w:pPr>
              <w:spacing w:before="0" w:after="0" w:line="240" w:lineRule="auto"/>
              <w:ind w:firstLine="0"/>
              <w:jc w:val="both"/>
            </w:pPr>
            <w:r>
              <w:rPr>
                <w:rFonts w:ascii="Times New Roman" w:hAnsi="Times New Roman" w:cs="Times New Roman" w:eastAsia="Times New Roman"/>
                <w:b/>
                <w:i/>
                <w:sz w:val="16"/>
              </w:rPr>
              <w:t xml:space="preserve">Research field: </w:t>
            </w:r>
            <w:r>
              <w:rPr>
                <w:rFonts w:ascii="Times New Roman" w:hAnsi="Times New Roman" w:cs="Times New Roman" w:eastAsia="Times New Roman"/>
                <w:b w:val="0"/>
                <w:i w:val="0"/>
                <w:sz w:val="16"/>
              </w:rPr>
              <w:t>computer vision; applied machine learning; biomedical engineering; image-based motion measurement; sport and rehabilitation technologies</w:t>
            </w:r>
          </w:p>
          <w:p>
            <w:pPr>
              <w:spacing w:before="0" w:after="0" w:line="240" w:lineRule="auto"/>
              <w:ind w:firstLine="0"/>
              <w:jc w:val="both"/>
            </w:pPr>
            <w:r>
              <w:rPr>
                <w:rFonts w:ascii="Times New Roman" w:hAnsi="Times New Roman" w:cs="Times New Roman" w:eastAsia="Times New Roman"/>
                <w:b/>
                <w:i w:val="0"/>
                <w:sz w:val="16"/>
              </w:rPr>
              <w:t>Айєр Картік</w:t>
            </w:r>
            <w:r>
              <w:rPr>
                <w:rFonts w:ascii="Times New Roman" w:hAnsi="Times New Roman" w:cs="Times New Roman" w:eastAsia="Times New Roman"/>
                <w:b w:val="0"/>
                <w:i w:val="0"/>
                <w:sz w:val="16"/>
              </w:rPr>
              <w:t xml:space="preserve"> – дослідник, Колумбійський університет, 116-та вулиця та Бродвей. Нью-Йорк, 10027, США. Сфера наукових інтересів включає комп’ютерний зір, прикладне машинне навчання, біомедичну інженерію, відеоаналіз рухів людини у спортивних і реабілітаційних застосуваннях.</w:t>
            </w:r>
          </w:p>
        </w:tc>
      </w:tr>
    </w:tbl>
    <w:p w14:paraId="7FE5DB5E" w14:textId="16EEBEA9" w:rsidR="00CF4246" w:rsidRDefault="00CF4246" w:rsidP="00CF4246"/>
    <w:sectPr w:rsidR="00CF4246" w:rsidSect="00034616">
      <w:type w:val="continuous"/>
      <w:pgSz w:w="11906" w:h="16838"/>
      <w:pgMar w:top="1134" w:right="1134" w:bottom="1417" w:left="1134" w:header="720" w:footer="720" w:gutter="0"/>
      <w:cols w:space="28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single" w:sz="8" w:color="000000"/>
        <w:left w:val="nil"/>
        <w:bottom w:val="nil"/>
        <w:right w:val="nil"/>
        <w:insideH w:val="nil"/>
        <w:insideV w:val="nil"/>
      </w:tblBorders>
    </w:tblPr>
    <w:tblGrid>
      <w:gridCol w:w="3213"/>
      <w:gridCol w:w="3213"/>
      <w:gridCol w:w="3213"/>
    </w:tblGrid>
    <w:tr>
      <w:tc>
        <w:tcPr>
          <w:tcW w:type="dxa" w:w="3118"/>
        </w:tcPr>
        <w:p>
          <w:pPr>
            <w:spacing w:before="60" w:after="0" w:line="240" w:lineRule="auto"/>
            <w:ind w:firstLine="0"/>
            <w:jc w:val="left"/>
          </w:pPr>
          <w:r>
            <w:rPr>
              <w:rFonts w:ascii="Times New Roman" w:hAnsi="Times New Roman" w:cs="Times New Roman" w:eastAsia="Times New Roman"/>
              <w:b w:val="0"/>
              <w:i w:val="0"/>
              <w:sz w:val="20"/>
            </w:rPr>
            <w:t>ISSN 2617-4316 (Print)</w:t>
          </w:r>
        </w:p>
        <w:p>
          <w:pPr>
            <w:spacing w:before="60" w:after="0" w:line="240" w:lineRule="auto"/>
            <w:ind w:firstLine="0"/>
            <w:jc w:val="left"/>
          </w:pPr>
          <w:r>
            <w:rPr>
              <w:rFonts w:ascii="Times New Roman" w:hAnsi="Times New Roman" w:cs="Times New Roman" w:eastAsia="Times New Roman"/>
              <w:b w:val="0"/>
              <w:i w:val="0"/>
              <w:sz w:val="20"/>
            </w:rPr>
            <w:t>ISSN 2663-7723 (Online)</w:t>
          </w:r>
        </w:p>
      </w:tc>
      <w:tc>
        <w:tcPr>
          <w:tcW w:type="dxa" w:w="3402"/>
        </w:tcPr>
        <w:p/>
      </w:tc>
      <w:tc>
        <w:tcPr>
          <w:tcW w:type="dxa" w:w="3118"/>
        </w:tcP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Pr>
        <w:rFonts w:ascii="Times New Roman" w:hAnsi="Times New Roman" w:cs="Times New Roman" w:eastAsia="Times New Roman"/>
        <w:b w:val="0"/>
        <w:i w:val="0"/>
        <w:sz w:val="20"/>
      </w:rPr>
      <w:t>Syniuk I. M., Maksymov M. V., Maksymov O. M., Iyer K. / Herald of Advanced Information Technology</w:t>
    </w:r>
  </w:p>
  <w:p>
    <w:pPr>
      <w:spacing w:line="240" w:lineRule="auto"/>
      <w:ind w:firstLine="0"/>
      <w:jc w:val="left"/>
      <w:pBdr>
        <w:bottom w:val="single" w:sz="12" w:space="1" w:color="000000"/>
      </w:pBdr>
    </w:pPr>
    <w:r>
      <w:rPr>
        <w:rFonts w:ascii="Times New Roman" w:hAnsi="Times New Roman" w:cs="Times New Roman" w:eastAsia="Times New Roman"/>
        <w:b w:val="0"/>
        <w:i w:val="0"/>
        <w:sz w:val="20"/>
      </w:rPr>
      <w:t>2026; Vol. ..; No.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2025343">
    <w:abstractNumId w:val="8"/>
  </w:num>
  <w:num w:numId="2" w16cid:durableId="209538525">
    <w:abstractNumId w:val="6"/>
  </w:num>
  <w:num w:numId="3" w16cid:durableId="1392534415">
    <w:abstractNumId w:val="5"/>
  </w:num>
  <w:num w:numId="4" w16cid:durableId="1914270605">
    <w:abstractNumId w:val="4"/>
  </w:num>
  <w:num w:numId="5" w16cid:durableId="1512795098">
    <w:abstractNumId w:val="7"/>
  </w:num>
  <w:num w:numId="6" w16cid:durableId="679087186">
    <w:abstractNumId w:val="3"/>
  </w:num>
  <w:num w:numId="7" w16cid:durableId="986516032">
    <w:abstractNumId w:val="2"/>
  </w:num>
  <w:num w:numId="8" w16cid:durableId="282884922">
    <w:abstractNumId w:val="1"/>
  </w:num>
  <w:num w:numId="9" w16cid:durableId="123863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786"/>
    <w:rsid w:val="00326F90"/>
    <w:rsid w:val="0040530A"/>
    <w:rsid w:val="004C3E46"/>
    <w:rsid w:val="007C29C7"/>
    <w:rsid w:val="007E0DC9"/>
    <w:rsid w:val="00AA1D8D"/>
    <w:rsid w:val="00AD67B4"/>
    <w:rsid w:val="00B47730"/>
    <w:rsid w:val="00CB0664"/>
    <w:rsid w:val="00CF4246"/>
    <w:rsid w:val="00D8278A"/>
    <w:rsid w:val="00E0199E"/>
    <w:rsid w:val="00FA51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3DB8A"/>
  <w14:defaultImageDpi w14:val="300"/>
  <w15:docId w15:val="{760C745D-DEC9-4284-B2F0-1CB804003501}"/>
  <w:evenAndOddHeaders/>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240" w:lineRule="auto"/>
    </w:pPr>
    <w:rPr>
      <w:rFonts w:ascii="Times New Roman" w:hAnsi="Times New Roman" w:cs="Times New Roman" w:eastAsia="Times New Roman"/>
      <w:sz w:val="2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8"/>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2A5786"/>
    <w:rPr>
      <w:color w:val="0000FF" w:themeColor="hyperlink"/>
      <w:u w:val="single"/>
    </w:rPr>
  </w:style>
  <w:style w:type="character" w:styleId="affb">
    <w:name w:val="Unresolved Mention"/>
    <w:basedOn w:val="a2"/>
    <w:uiPriority w:val="99"/>
    <w:semiHidden/>
    <w:unhideWhenUsed/>
    <w:rsid w:val="002A57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jpg"/><Relationship Id="rId31"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24801</Words>
  <Characters>14138</Characters>
  <Application>Microsoft Office Word</Application>
  <DocSecurity>0</DocSecurity>
  <Lines>117</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Іван Синюк</cp:lastModifiedBy>
  <cp:revision>6</cp:revision>
  <dcterms:created xsi:type="dcterms:W3CDTF">2026-05-05T13:22:00Z</dcterms:created>
  <dcterms:modified xsi:type="dcterms:W3CDTF">2026-05-12T12:42:00Z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23a220c5-8050-4b61-855b-3a6a78771252</vt:lpwstr>
  </property>
</Properties>
</file>