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>
          <w:b w:val="1"/>
          <w:sz w:val="36"/>
          <w:szCs w:val="36"/>
        </w:rPr>
      </w:pPr>
      <w:bookmarkStart w:colFirst="0" w:colLast="0" w:name="_aof9g7gzm56n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Plan de Análisis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parte de nuestro proyecto de investigación sobre los efectos del metro en la Calle 72 en Bogotá, se ha definido la realización de un total de 30 encuestas u observaciones, distribuidas equitativamente entre los cinco integrantes del equipo, de modo que cada encuestador aplicará seis encuestas.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Previamente, elaboramos una base de datos con aproximadamente 40 establecimientos comerciales potenciales, ubicados en el área de influencia del proyecto metro, que podrían ser abordados para la aplicación de la encuesta. A partir de esta base, cada encuestador seleccionará seis lugares, procurando que estos estén geográficamente cercanos entre sí con el fin de optimizar los tiempos de desplazamiento y facilitar el trabajo de campo.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recolección de la información se realizará en horario de la tarde, específicamente entre las 3:30 p.m. y las 4:30 p.m., momento en el cual es más factible encontrar al personal disponible sin interrumpir horas pico de atención.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encuestadores se dirigirán directamente a los establecimientos seleccionados y, una vez allí, abordarán al cajero que se encuentre disponible en ese momento, quien será el encuestado. Se garantizará una interacción respetuosa, breve y clara, explicando el propósito del estudio antes de iniciar la aplicación del cuestionario.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6.6958784963597"/>
        <w:gridCol w:w="1590.7936612525946"/>
        <w:gridCol w:w="2723.703093598656"/>
        <w:gridCol w:w="3304.3191776760123"/>
        <w:tblGridChange w:id="0">
          <w:tblGrid>
            <w:gridCol w:w="1406.6958784963597"/>
            <w:gridCol w:w="1590.7936612525946"/>
            <w:gridCol w:w="2723.703093598656"/>
            <w:gridCol w:w="3304.319177676012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 derivada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en la investigación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Análisis estadístico propuesto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  <w:t xml:space="preserve">: Impacto esperado en la afluencia de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Expectativa de cambio en afluencia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Ordinal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Captura si los negocios esperan ganar o perder clientela. Clave para entender optimismo/pesimismo por rango de precios.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🔹Análisis bivariado  entre rango de precios y expectativa de afluencia.🔹Visualización: Gráficos de barras apiladas por segmento.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  <w:t xml:space="preserve">: Cambios físicos percibidos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Percepción de impactos en el entorno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Múltiple elección categórica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Mide cómo se sienten afectados actualmente. Relaciona percepción con acción futura.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🔹Análisis de frecuencias.🔹Cruce múltiple con rango de precios para ver patrones de percepción ( Heatmaps).</w:t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  <w:r w:rsidDel="00000000" w:rsidR="00000000" w:rsidRPr="00000000">
              <w:rPr>
                <w:rtl w:val="0"/>
              </w:rPr>
              <w:t xml:space="preserve">: Cambios esperados en ingresos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Expectativa de ingresos futuros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Ordinal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Refleja optimismo económico. Se compara con percepción actual (P3) y rango de precios.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🔹Análisis bivariado con rango de precios.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  <w:r w:rsidDel="00000000" w:rsidR="00000000" w:rsidRPr="00000000">
              <w:rPr>
                <w:rtl w:val="0"/>
              </w:rPr>
              <w:t xml:space="preserve">: Cambio en tipo de clientela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Cambio en perfil de clientes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Categórica nominal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Detecta si esperan cambios en su público objetivo. Se cruza con el tipo de negocio y rango de precios.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🔹Frecuencias cruzadas con rango de precios.🔹Gráficos comparativos por percepción de nicho.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P5</w:t>
            </w:r>
            <w:r w:rsidDel="00000000" w:rsidR="00000000" w:rsidRPr="00000000">
              <w:rPr>
                <w:rtl w:val="0"/>
              </w:rPr>
              <w:t xml:space="preserve">: Principales riesgos percibidos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Riesgos asociados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Múltiple elección categórica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identificar miedos comunes. Ayuda a segmentar el nivel de vulnerabilidad o preparación.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🔹Conteo de ocurrencias y patrones.🔹Análisis de correspondencia múltiple o segmentación por clúster.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P6</w:t>
            </w:r>
            <w:r w:rsidDel="00000000" w:rsidR="00000000" w:rsidRPr="00000000">
              <w:rPr>
                <w:rtl w:val="0"/>
              </w:rPr>
              <w:t xml:space="preserve">: Medidas de adaptación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de estrategia de adaptación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Múltiple elección categórica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identificar la capacidad de respuesta o nivel de adaptación de los negocios.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🔹Modelos de regresión logística (adaptarse o no) según precio y percepción.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